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260" w:after="260"/>
        <w:jc w:val="center"/>
        <w:rPr/>
      </w:pPr>
      <w:r>
        <w:rPr/>
        <w:t>MATLAB w analizie sygnałów EEG</w:t>
      </w:r>
    </w:p>
    <w:p>
      <w:pPr>
        <w:pStyle w:val="FirstParagraph"/>
        <w:spacing w:lineRule="auto" w:line="274" w:before="180" w:after="100"/>
        <w:jc w:val="both"/>
        <w:rPr/>
      </w:pPr>
      <w:r>
        <w:rPr/>
        <w:t>Poradnik jest przeznaczony dla studentów neuropsychologii, którzy rozpoczynają pracę z sygnałami elektroencefalograficznymi (EEG) w środowisku MATLAB. Przedstawia wymagania techniczne, instalację oprogramowania, import danych oraz kolejne etapy analizy: przetwarzanie wstępne, usuwanie artefaktów, podział na epoki, wyznaczanie cech, analizę statystyczną i wizualizację wyników. Uzupełnieniem są przykłady poleceń i skryptów, porównanie narzędzi, lista kontrolna oraz propozycja zajęć praktycznych.</w:t>
      </w:r>
    </w:p>
    <w:p>
      <w:pPr>
        <w:pStyle w:val="Heading2"/>
        <w:keepNext w:val="true"/>
        <w:spacing w:before="260" w:after="100"/>
        <w:rPr/>
      </w:pPr>
      <w:r>
        <w:rPr/>
        <w:t>2. Wymagania systemowe</w:t>
      </w:r>
    </w:p>
    <w:p>
      <w:pPr>
        <w:pStyle w:val="FirstParagraph"/>
        <w:spacing w:lineRule="auto" w:line="274" w:before="180" w:after="100"/>
        <w:jc w:val="both"/>
        <w:rPr/>
      </w:pPr>
      <w:r>
        <w:rPr/>
        <w:t>Wymagania sprzętowe i systemowe zależą od wydania MATLAB-a. Przed instalacją sprawdź aktualną tabelę zgodności MathWorks [1–3]. Do zajęć z niewielkimi zbiorami EEG zaleca się co najmniej 16 GB RAM i dysk SSD; większe badania mogą wymagać 32 GB RAM lub więcej. Akcelerator GPU nie jest wymagany do standardowej analizy EEG w EEGLAB. Dostępność poszczególnych pakietów narzędziowych należy sprawdzić w ramach licencji.</w:t>
      </w:r>
    </w:p>
    <w:p>
      <w:pPr>
        <w:pStyle w:val="Heading2"/>
        <w:keepNext w:val="true"/>
        <w:spacing w:before="260" w:after="100"/>
        <w:rPr/>
      </w:pPr>
      <w:bookmarkStart w:id="0" w:name="niezbędne-narzędzia-i-toolboxy"/>
      <w:r>
        <w:rPr/>
        <w:t>3. Niezbędne narzędzia i pakiety narzędziowe</w:t>
      </w:r>
    </w:p>
    <w:p>
      <w:pPr>
        <w:pStyle w:val="FirstParagraph"/>
        <w:spacing w:lineRule="auto" w:line="274" w:before="180" w:after="100"/>
        <w:rPr/>
      </w:pPr>
      <w:r>
        <w:rPr/>
        <w:t>W analizie EEG przydatne są następujące pakiety (linki do stron oficjalnych):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EEGLAB</w:t>
      </w:r>
      <w:r>
        <w:rPr/>
        <w:t xml:space="preserve"> (SCCN, UC San Diego) jest środowiskiem do analizy EEG z interfejsem graficznym, skryptami MATLAB, metodami ICA i dodatkowymi wtyczkami. Wymagania wersji należy potwierdzić na stronie projektu [4, 5].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FieldTrip</w:t>
      </w:r>
      <w:r>
        <w:rPr/>
        <w:t xml:space="preserve"> to otwartoźródłowy pakiet MATLAB do analizy EEG, MEG i iEEG, obejmujący m.in. przetwarzanie sygnału, analizę czasowo-częstotliwościową, rekonstrukcję źródeł i statystykę. Praca odbywa się głównie poprzez skrypty; należy używać wersji zgodnej z zainstalowanym MATLAB-em [6, 7].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Brainstorm</w:t>
      </w:r>
      <w:r>
        <w:rPr/>
        <w:t xml:space="preserve"> jest otwartoźródłowym środowiskiem EEG/MEG z interfejsem graficznym. Może działać w MATLAB-ie lub jako aplikacja samodzielna korzystająca z odpowiedniego środowiska wykonawczego. Aktualną procedurę instalacji podaje dokumentacja [8, 9].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Psychtoolbox-3</w:t>
      </w:r>
      <w:r>
        <w:rPr/>
        <w:t xml:space="preserve"> służy do kontrolowanej prezentacji bodźców i rejestracji odpowiedzi, a nie do właściwej analizy sygnału EEG. Dokumentacja wskazuje MATLAB R2025b jako aktualnie testowaną wersję; starsze mogą działać, ale nie muszą być objęte wsparciem. Zgodność zależy także od systemu operacyjnego [10].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 xml:space="preserve">Signal Processing Toolbox </w:t>
      </w:r>
      <w:r>
        <w:rPr/>
        <w:t>zapewnia funkcje takie jak pwelch, butter, filtfilt i spectrogram, wykorzystywane w analizie sygnałów. Nie należy mylić go z odrębnym DSP System Toolbox [11].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Statistics and Machine Learning Toolbox (MATLAB)</w:t>
      </w:r>
      <w:r>
        <w:rPr/>
        <w:t xml:space="preserve"> – pakiet MathWorks z funkcjami statystycznymi i uczenia maszynowego </w:t>
      </w:r>
      <w:hyperlink w:anchor="ref_66">
        <w:r>
          <w:rPr>
            <w:rStyle w:val="Style"/>
            <w:color w:val="0563C1"/>
            <w:u w:val="single"/>
          </w:rPr>
          <w:t>[12]</w:t>
        </w:r>
      </w:hyperlink>
      <w:r>
        <w:rPr/>
        <w:t>. Przydaje się do analizy danych EEG (testów statystycznych, modelowania, korekcji wielokrotnych porównań). Zawiera testy (t-Studenta, ANOVA, nieparametryczne), narzędzia do FDR/Bonferroni, modele regresji i klasyfikacji.</w:t>
      </w:r>
    </w:p>
    <w:p>
      <w:pPr>
        <w:pStyle w:val="Compact"/>
        <w:spacing w:lineRule="auto" w:line="274" w:before="0" w:after="100"/>
        <w:rPr/>
      </w:pPr>
      <w:r>
        <w:rPr>
          <w:rFonts w:ascii="Consolas" w:hAnsi="Consolas"/>
          <w:b/>
          <w:bCs/>
          <w:color w:val="auto"/>
          <w:sz w:val="20"/>
          <w:szCs w:val="20"/>
        </w:rPr>
        <w:t>Inne</w:t>
      </w:r>
      <w:r>
        <w:rPr>
          <w:b/>
          <w:bCs/>
          <w:color w:val="auto"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>
        <w:rPr/>
        <w:t xml:space="preserve">w zależności od potrzeb można rozważyć </w:t>
      </w:r>
      <w:r>
        <w:rPr>
          <w:i/>
          <w:iCs/>
        </w:rPr>
        <w:t>Optimization Toolbox</w:t>
      </w:r>
      <w:r>
        <w:rPr/>
        <w:t xml:space="preserve"> (szukanie parametrów), </w:t>
      </w:r>
      <w:r>
        <w:rPr>
          <w:i/>
          <w:iCs/>
        </w:rPr>
        <w:t>Image Processing Toolbox</w:t>
      </w:r>
      <w:r>
        <w:rPr/>
        <w:t xml:space="preserve"> (przetwarzanie obrazów, używane np. przez niektóre wtyczki FieldTrip), </w:t>
      </w:r>
      <w:r>
        <w:rPr>
          <w:rFonts w:ascii="Consolas" w:hAnsi="Consolas"/>
          <w:i/>
          <w:iCs/>
          <w:color w:val="0E4D67"/>
          <w:sz w:val="18"/>
        </w:rPr>
        <w:t>BioSig</w:t>
      </w:r>
      <w:r>
        <w:rPr>
          <w:rFonts w:ascii="Consolas" w:hAnsi="Consolas"/>
          <w:color w:val="0E4D67"/>
          <w:sz w:val="18"/>
        </w:rPr>
        <w:t xml:space="preserve"> lub </w:t>
      </w:r>
      <w:r>
        <w:rPr>
          <w:rFonts w:ascii="Consolas" w:hAnsi="Consolas"/>
          <w:i/>
          <w:iCs/>
          <w:color w:val="0E4D67"/>
          <w:sz w:val="18"/>
        </w:rPr>
        <w:t>BCILAB</w:t>
      </w:r>
      <w:r>
        <w:rPr/>
        <w:t xml:space="preserve"> (dodatki do analizy sygnału biologicznego).</w:t>
      </w:r>
      <w:bookmarkEnd w:id="0"/>
    </w:p>
    <w:p>
      <w:pPr>
        <w:pStyle w:val="Heading2"/>
        <w:keepNext w:val="true"/>
        <w:spacing w:before="260" w:after="100"/>
        <w:rPr/>
      </w:pPr>
      <w:bookmarkStart w:id="1" w:name="instalacja-i-konfiguracja"/>
      <w:r>
        <w:rPr/>
        <w:t>4. Instalacja i konfiguracja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MATLAB</w:t>
      </w:r>
      <w:r>
        <w:rPr/>
        <w:t>: zainstaluj wydanie zgodne z systemem operacyjnym oraz zweryfikuj posiadane licencje na wymagane dodatki. Po uruchomieniu wpisz ver, aby sprawdzić dostępne pakiety. Instrukcje dotyczące wersji i systemu są dostępne w dokumentacji MathWorks [1–3].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EEGLAB</w:t>
      </w:r>
      <w:r>
        <w:rPr/>
        <w:t>: pobierz pakiet ze strony projektu, rozpakuj go i dodaj wyłącznie główny folder do ścieżki MATLAB-a (bez ręcznego dodawania wszystkich podfolderów). Następnie uruchom eeglab; narzędzie samodzielnie skonfiguruje ścieżki. Wtyczki instaluj zgodnie z instrukcją i wymaganiami ich autorów [4, 5].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FieldTrip:</w:t>
      </w:r>
      <w:r>
        <w:rPr/>
        <w:t xml:space="preserve"> Pobierz najnowszą wersję (GitHub lub strona). Rozpakuj i dodaj główny folder do ścieżki: np. </w:t>
      </w:r>
      <w:r>
        <w:rPr>
          <w:rStyle w:val="VerbatimChar"/>
          <w:color w:val="003C82"/>
        </w:rPr>
        <w:t>addpath('path_to_fieldtrip'); ft_defaults;</w:t>
      </w:r>
      <w:r>
        <w:rPr>
          <w:color w:val="003C82"/>
        </w:rPr>
        <w:t>.</w:t>
      </w:r>
      <w:r>
        <w:rPr/>
        <w:t xml:space="preserve"> To polecenie ustawi podstawową konfigurację. Od tej pory funkcje </w:t>
      </w:r>
      <w:r>
        <w:rPr>
          <w:rFonts w:ascii="Consolas" w:hAnsi="Consolas"/>
          <w:color w:val="0E4D67"/>
          <w:sz w:val="18"/>
        </w:rPr>
        <w:t>FieldTrip</w:t>
      </w:r>
      <w:r>
        <w:rPr/>
        <w:t xml:space="preserve"> są dostępne, np. </w:t>
      </w:r>
      <w:r>
        <w:rPr>
          <w:rStyle w:val="VerbatimChar"/>
          <w:color w:val="003C82"/>
        </w:rPr>
        <w:t>ft_przetwarzanie wstępne</w:t>
      </w:r>
      <w:r>
        <w:rPr/>
        <w:t xml:space="preserve">, </w:t>
      </w:r>
      <w:r>
        <w:rPr>
          <w:rStyle w:val="VerbatimChar"/>
          <w:rFonts w:ascii="Consolas" w:hAnsi="Consolas"/>
          <w:color w:val="0E4D67"/>
          <w:sz w:val="18"/>
        </w:rPr>
        <w:t>ft_freqanalysis</w:t>
      </w:r>
      <w:r>
        <w:rPr/>
        <w:t xml:space="preserve">. W dokumentacji </w:t>
      </w:r>
      <w:r>
        <w:rPr>
          <w:rFonts w:ascii="Consolas" w:hAnsi="Consolas"/>
          <w:color w:val="0E4D67"/>
          <w:sz w:val="18"/>
        </w:rPr>
        <w:t>FieldTrip</w:t>
      </w:r>
      <w:r>
        <w:rPr/>
        <w:t xml:space="preserve"> zaleca się ustawianie ścieżki przy starcie każdego skryptu.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Brainstorm:</w:t>
      </w:r>
      <w:r>
        <w:rPr/>
        <w:t xml:space="preserve"> Załóż konto i pobierz najnowszą paczkę (Linux/Mac/Win) ze strony Brainstorm. Wypakuj do folderu i uruchom </w:t>
      </w:r>
      <w:r>
        <w:rPr>
          <w:rStyle w:val="VerbatimChar"/>
          <w:rFonts w:ascii="Consolas" w:hAnsi="Consolas"/>
          <w:color w:val="0E4D67"/>
          <w:sz w:val="18"/>
        </w:rPr>
        <w:t>brainstorm</w:t>
      </w:r>
      <w:r>
        <w:rPr/>
        <w:t xml:space="preserve"> (skrypt </w:t>
      </w:r>
      <w:r>
        <w:rPr>
          <w:rStyle w:val="VerbatimChar"/>
          <w:color w:val="003C82"/>
        </w:rPr>
        <w:t>brainstorm.m</w:t>
      </w:r>
      <w:r>
        <w:rPr/>
        <w:t>). Program zaproponuje utworzenie bazy danych. Alternatywnie, można zastosować MATLAB do zainstalowania Brainstorm (dodanie ścieżki) oraz uruchomienia interfejs graficzny. Przykład w konsoli:</w:t>
      </w:r>
    </w:p>
    <w:p>
      <w:pPr>
        <w:pStyle w:val="SourceCode"/>
        <w:numPr>
          <w:ilvl w:val="0"/>
          <w:numId w:val="1"/>
        </w:numPr>
        <w:shd w:fill="EEF4F7" w:val="clear"/>
        <w:spacing w:lineRule="auto" w:line="259"/>
        <w:ind w:hanging="360" w:left="181" w:right="57"/>
        <w:rPr/>
      </w:pPr>
      <w:r>
        <w:rPr>
          <w:rStyle w:val="VerbatimChar"/>
          <w:color w:val="003C82"/>
          <w:sz w:val="16"/>
        </w:rPr>
        <w:t>addpath('ścieżka_do_brainstorm\toolbox\brainstorm3');</w:t>
      </w:r>
      <w:r>
        <w:rPr>
          <w:color w:val="003C82"/>
          <w:sz w:val="16"/>
        </w:rPr>
        <w:br/>
      </w:r>
      <w:r>
        <w:rPr>
          <w:rStyle w:val="VerbatimChar"/>
          <w:color w:val="003C82"/>
          <w:sz w:val="16"/>
        </w:rPr>
        <w:t>brainstorm;  % otwiera GUI Brainstorm</w:t>
      </w:r>
    </w:p>
    <w:p>
      <w:pPr>
        <w:pStyle w:val="FirstParagraph"/>
        <w:spacing w:lineRule="auto" w:line="274" w:before="180" w:after="100"/>
        <w:rPr/>
      </w:pPr>
      <w:r>
        <w:rPr>
          <w:b/>
          <w:bCs/>
        </w:rPr>
        <w:t>Brainstorm</w:t>
      </w:r>
      <w:r>
        <w:rPr/>
        <w:t xml:space="preserve"> poprosi o utworzenie folderu bazy danych i import danych.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Psychtoolbox-3:</w:t>
      </w:r>
      <w:r>
        <w:rPr/>
        <w:t xml:space="preserve"> postępuj zgodnie z instrukcją instalacji właściwą dla systemu i wydania MATLAB-a. Przed uruchomieniem eksperymentu zweryfikuj działanie prezentacji bodźców oraz dokładność znaczników czasu [10].</w:t>
      </w:r>
    </w:p>
    <w:p>
      <w:pPr>
        <w:pStyle w:val="SourceCode"/>
        <w:numPr>
          <w:ilvl w:val="0"/>
          <w:numId w:val="1"/>
        </w:numPr>
        <w:shd w:fill="EEF4F7" w:val="clear"/>
        <w:spacing w:lineRule="auto" w:line="259"/>
        <w:ind w:hanging="360" w:left="181" w:right="57"/>
        <w:rPr/>
      </w:pPr>
      <w:r>
        <w:rPr>
          <w:rStyle w:val="VerbatimChar"/>
          <w:color w:val="003C82"/>
          <w:sz w:val="16"/>
        </w:rPr>
        <w:t>cd 'ścieżka_do_Psychtoolbox';</w:t>
      </w:r>
      <w:r>
        <w:rPr>
          <w:color w:val="003C82"/>
          <w:sz w:val="16"/>
        </w:rPr>
        <w:br/>
      </w:r>
      <w:r>
        <w:rPr>
          <w:rStyle w:val="VerbatimChar"/>
          <w:color w:val="003C82"/>
          <w:sz w:val="16"/>
        </w:rPr>
        <w:t>SetupPsychtoolbox;</w:t>
      </w:r>
    </w:p>
    <w:p>
      <w:pPr>
        <w:pStyle w:val="FirstParagraph"/>
        <w:spacing w:lineRule="auto" w:line="274" w:before="180" w:after="100"/>
        <w:rPr/>
      </w:pPr>
      <w:r>
        <w:rPr/>
        <w:t>Wersję instalacji można sprawdzić poleceniem PsychtoolboxVersion. Przed badaniem EEG przetestuj synchronizację bodźców i wyzwalaczy (triggerów) ze sprzętem rejestrującym.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Inne pakiety narzędziowe MATLAB:</w:t>
      </w:r>
      <w:r>
        <w:rPr/>
        <w:t xml:space="preserve"> Zainstaluj przez </w:t>
      </w:r>
      <w:r>
        <w:rPr>
          <w:i/>
          <w:iCs/>
        </w:rPr>
        <w:t>Add-On Explorer</w:t>
      </w:r>
      <w:r>
        <w:rPr/>
        <w:t xml:space="preserve"> w środowisku MATLAB lub Menedżera Pakietów (Add-Ons) pakiety Signal Processing, Statistics and Machine Learning, itp. Po instalacji uruchom </w:t>
      </w:r>
      <w:r>
        <w:rPr>
          <w:rStyle w:val="VerbatimChar"/>
          <w:rFonts w:ascii="Consolas" w:hAnsi="Consolas"/>
          <w:color w:val="0E4D67"/>
          <w:sz w:val="18"/>
        </w:rPr>
        <w:t>ver</w:t>
      </w:r>
      <w:r>
        <w:rPr/>
        <w:t xml:space="preserve"> aby sprawdzić dostępność.</w:t>
      </w:r>
      <w:bookmarkEnd w:id="1"/>
    </w:p>
    <w:p>
      <w:pPr>
        <w:pStyle w:val="Heading2"/>
        <w:keepNext w:val="true"/>
        <w:spacing w:before="260" w:after="100"/>
        <w:rPr/>
      </w:pPr>
      <w:bookmarkStart w:id="2" w:name="import-formatów-eeg"/>
      <w:r>
        <w:rPr/>
        <w:t>5. Import formatów EEG</w:t>
      </w:r>
    </w:p>
    <w:p>
      <w:pPr>
        <w:pStyle w:val="FirstParagraph"/>
        <w:spacing w:lineRule="auto" w:line="274" w:before="180" w:after="100"/>
        <w:jc w:val="both"/>
        <w:rPr/>
      </w:pPr>
      <w:r>
        <w:rPr/>
        <w:t>Pierwszym etapem pracy jest zaimportowanie danych EEG z różnych formatów. Najczęściej spotykane formaty to: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EDF/BDF</w:t>
      </w:r>
      <w:r>
        <w:rPr/>
        <w:t>: formaty zapisu biosygnałów. W EEGLAB można importować je przez wtyczkę BIOSIG, np. pop_biosig (jeżeli jest zainstalowana). W FieldTrip wykorzystuje się konfigurację cfg.dataset. Po imporcie sprawdź jednostki, częstość próbkowania, typy kanałów i znaczniki zdarzeń [4, 6].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BrainVision</w:t>
      </w:r>
      <w:r>
        <w:rPr/>
        <w:t>: zestaw plików, zwykle .vhdr, .vmrk i .eeg. Przy imporcie należy zachować komplet plików oraz ich wzajemne odwołania. W EEGLAB stosuje się m.in. odpowiednią wtyczkę importu (np. bva-io) lub File-IO; w FieldTrip używa się cfg.dataset wskazującego plik nagłówka.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EEGLAB (.set/.fdt):</w:t>
      </w:r>
      <w:r>
        <w:rPr/>
        <w:t xml:space="preserve"> format własny EEGLAB. Łatwa obsługa: </w:t>
      </w:r>
      <w:r>
        <w:rPr>
          <w:rStyle w:val="VerbatimChar"/>
          <w:rFonts w:ascii="Consolas" w:hAnsi="Consolas"/>
          <w:color w:val="0E4D67"/>
          <w:sz w:val="18"/>
        </w:rPr>
        <w:t>EEG = pop_loadset('nazwa.set')</w:t>
      </w:r>
      <w:r>
        <w:rPr/>
        <w:t>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Pozostałe możliwości:</w:t>
      </w:r>
      <w:r>
        <w:rPr/>
        <w:t xml:space="preserve"> .mat z danymi (EEGLAB, FieldTrip), .txt/.csv (konwertowane do struktur EEG), .cnt, .gdf itp. Wiele narzędzi (EEGLAB, FieldTrip, Brainstorm) oferuje import wieloformatowy </w:t>
      </w:r>
      <w:hyperlink w:anchor="ref_27">
        <w:r>
          <w:rPr>
            <w:rStyle w:val="Style"/>
            <w:color w:val="0563C1"/>
            <w:u w:val="single"/>
          </w:rPr>
          <w:t>[4]</w:t>
        </w:r>
      </w:hyperlink>
      <w:r>
        <w:rPr/>
        <w:t>. W razie potrzeby przekształć formaty (np. z .edf do .set) za pomocą odpowiednich funkcji lub konwerterów (np. EEGLAB BIOSIG).</w:t>
      </w:r>
    </w:p>
    <w:p>
      <w:pPr>
        <w:pStyle w:val="FirstParagraph"/>
        <w:spacing w:lineRule="auto" w:line="274" w:before="180" w:after="100"/>
        <w:rPr/>
      </w:pPr>
      <w:r>
        <w:rPr/>
        <w:t>Przykład wczytania sygnału BDF i filtrowania w EEGLAB:</w:t>
      </w:r>
    </w:p>
    <w:p>
      <w:pPr>
        <w:pStyle w:val="SourceCode"/>
        <w:shd w:fill="EEF4F7" w:val="clear"/>
        <w:spacing w:lineRule="auto" w:line="259"/>
        <w:ind w:left="181" w:right="57"/>
        <w:rPr/>
      </w:pPr>
      <w:r>
        <w:rPr>
          <w:rStyle w:val="VerbatimChar"/>
          <w:color w:val="003C82"/>
          <w:sz w:val="16"/>
        </w:rPr>
        <w:t>EEG = pop_biosig('EEGdata.bdf');             % import surowych danych</w:t>
      </w:r>
      <w:r>
        <w:rPr>
          <w:color w:val="003C82"/>
          <w:sz w:val="16"/>
        </w:rPr>
        <w:br/>
      </w:r>
      <w:r>
        <w:rPr>
          <w:rStyle w:val="VerbatimChar"/>
          <w:color w:val="003C82"/>
          <w:sz w:val="16"/>
        </w:rPr>
        <w:t>EEG = eeg_checkset(EEG);</w:t>
      </w:r>
      <w:r>
        <w:rPr>
          <w:color w:val="003C82"/>
          <w:sz w:val="16"/>
        </w:rPr>
        <w:br/>
      </w:r>
      <w:r>
        <w:rPr>
          <w:rStyle w:val="VerbatimChar"/>
          <w:color w:val="003C82"/>
          <w:sz w:val="16"/>
        </w:rPr>
        <w:t>EEG = pop_eegfiltnew(EEG, 1, 40);            % filtr pasmowy 1–40 Hz</w:t>
      </w:r>
    </w:p>
    <w:p>
      <w:pPr>
        <w:pStyle w:val="FirstParagraph"/>
        <w:spacing w:lineRule="auto" w:line="274" w:before="180" w:after="100"/>
        <w:rPr/>
      </w:pPr>
      <w:r>
        <w:rPr/>
        <w:t>Lub w FieldTrip:</w:t>
      </w:r>
    </w:p>
    <w:p>
      <w:pPr>
        <w:pStyle w:val="SourceCode"/>
        <w:shd w:fill="EEF4F7" w:val="clear"/>
        <w:spacing w:lineRule="auto" w:line="259"/>
        <w:ind w:left="181" w:right="57"/>
        <w:rPr/>
      </w:pPr>
      <w:r>
        <w:rPr>
          <w:rStyle w:val="VerbatimChar"/>
          <w:color w:val="003C82"/>
          <w:sz w:val="16"/>
        </w:rPr>
        <w:t>cfg = [];</w:t>
      </w:r>
      <w:r>
        <w:rPr>
          <w:color w:val="003C82"/>
          <w:sz w:val="16"/>
        </w:rPr>
        <w:br/>
      </w:r>
      <w:r>
        <w:rPr>
          <w:rStyle w:val="VerbatimChar"/>
          <w:color w:val="003C82"/>
          <w:sz w:val="16"/>
        </w:rPr>
        <w:t>cfg.dataset = 'EEGdata.bdf';</w:t>
      </w:r>
      <w:r>
        <w:rPr>
          <w:color w:val="003C82"/>
          <w:sz w:val="16"/>
        </w:rPr>
        <w:br/>
      </w:r>
      <w:r>
        <w:rPr>
          <w:rStyle w:val="VerbatimChar"/>
          <w:color w:val="003C82"/>
          <w:sz w:val="16"/>
        </w:rPr>
        <w:t>cfg.trialdef.eventtype = 'Stimulus';</w:t>
      </w:r>
      <w:r>
        <w:rPr>
          <w:color w:val="003C82"/>
          <w:sz w:val="16"/>
        </w:rPr>
        <w:br/>
      </w:r>
      <w:r>
        <w:rPr>
          <w:rStyle w:val="VerbatimChar"/>
          <w:color w:val="003C82"/>
          <w:sz w:val="16"/>
        </w:rPr>
        <w:t>cfg.trialdef.eventvalue = 1;</w:t>
      </w:r>
      <w:r>
        <w:rPr>
          <w:color w:val="003C82"/>
          <w:sz w:val="16"/>
        </w:rPr>
        <w:br/>
      </w:r>
      <w:r>
        <w:rPr>
          <w:rStyle w:val="VerbatimChar"/>
          <w:color w:val="003C82"/>
          <w:sz w:val="16"/>
        </w:rPr>
        <w:t>cfg.trialdef.prestim = 0.2;</w:t>
      </w:r>
      <w:r>
        <w:rPr>
          <w:color w:val="003C82"/>
          <w:sz w:val="16"/>
        </w:rPr>
        <w:br/>
      </w:r>
      <w:r>
        <w:rPr>
          <w:rStyle w:val="VerbatimChar"/>
          <w:color w:val="003C82"/>
          <w:sz w:val="16"/>
        </w:rPr>
        <w:t>cfg.trialdef.poststim = 0.8;</w:t>
      </w:r>
      <w:r>
        <w:rPr>
          <w:color w:val="003C82"/>
          <w:sz w:val="16"/>
        </w:rPr>
        <w:br/>
      </w:r>
      <w:r>
        <w:rPr>
          <w:rStyle w:val="VerbatimChar"/>
          <w:color w:val="003C82"/>
          <w:sz w:val="16"/>
        </w:rPr>
        <w:t>cfg = ft_definetrial(cfg);</w:t>
      </w:r>
      <w:r>
        <w:rPr>
          <w:color w:val="003C82"/>
          <w:sz w:val="16"/>
        </w:rPr>
        <w:br/>
      </w:r>
      <w:r>
        <w:rPr>
          <w:rStyle w:val="VerbatimChar"/>
          <w:color w:val="003C82"/>
          <w:sz w:val="16"/>
        </w:rPr>
        <w:t>data = ft_preprocessing(cfg);</w:t>
      </w:r>
      <w:bookmarkEnd w:id="2"/>
    </w:p>
    <w:p>
      <w:pPr>
        <w:pStyle w:val="Heading2"/>
        <w:keepNext w:val="true"/>
        <w:spacing w:before="260" w:after="100"/>
        <w:rPr/>
      </w:pPr>
      <w:r>
        <w:rPr/>
        <w:t>6. Przetwarzanie wstępne</w:t>
      </w:r>
    </w:p>
    <w:p>
      <w:pPr>
        <w:pStyle w:val="FirstParagraph"/>
        <w:spacing w:lineRule="auto" w:line="274" w:before="180" w:after="100"/>
        <w:rPr/>
      </w:pPr>
      <w:r>
        <w:rPr/>
        <w:t>Kroki przetwarzania wstępnego obejmują m.in.: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Filtrowanie</w:t>
      </w:r>
      <w:r>
        <w:rPr/>
        <w:t>: parametry zależą od celu badania. Dla ERP z wolnymi komponentami często rozważa się łagodniejszy filtr górnoprzepustowy (np. 0,01–0,1 Hz), natomiast do obliczania ICA może być przydatna kopia sygnału przefiltrowana od około 1 Hz. Nie należy bezrefleksyjnie stosować filtru 1 Hz do ostatecznej analizy wolnych ERP. Filtr 50 Hz stosuj przy stwierdzonych zakłóceniach sieciowych, z uwzględnieniem możliwych zniekształceń [4, 13, 14].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Zmiana odniesienia</w:t>
      </w:r>
      <w:r>
        <w:rPr/>
        <w:t xml:space="preserve"> (re-referencja): wybierz odniesienie na podstawie montażu elektrod i planu analizy; wykonaj je na odpowiednim, udokumentowanym etapie przetwarzania, a nie dopiero po zakończeniu analiz. Średnie odniesienie wymaga odpowiedniej liczby i rozmieszczenia sprawnych elektrod. Zmiana odniesienia wpływa na amplitudy i przestrzenne zależności między kanałami.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Usuwanie artefaktów</w:t>
      </w:r>
      <w:r>
        <w:rPr/>
        <w:t>: w pierwszej kolejności oceń zapis i wykryj wadliwe kanały oraz silnie zakłócone fragmenty. ICA rozdziela aktywność na składowe statystycznie niezależne; nie utożsamiaj konkretnej składowej z pojedynczą elektrodą Fp1/Fp2. Składowe przeznaczone do odrzucenia należy identyfikować na podstawie topografii, widma, przebiegu czasowego i ewentualnie klasyfikatora ICLabel, a decyzję zapisać. Przed ICA sprawdź rangę danych.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Kontrola jakości</w:t>
      </w:r>
      <w:r>
        <w:rPr/>
        <w:t>: sprawdź brakujące próbki, saturację, skoki amplitudy, dryft, szum liniowy i uszkodzone elektrody. Kryteria odrzucania kanałów zależą od systemu rejestrującego, jednostek oraz rodzaju zadania; pojedynczy uniwersalny próg amplitudy nie jest wystarczający. Interpolację wykonuj tylko dla uzasadnionych przypadków i opisuj jej zakres.</w:t>
      </w:r>
    </w:p>
    <w:p>
      <w:pPr>
        <w:pStyle w:val="Heading2"/>
        <w:keepNext w:val="true"/>
        <w:spacing w:before="260" w:after="100"/>
        <w:rPr/>
      </w:pPr>
      <w:r>
        <w:rPr/>
        <w:t>7. Segmentacja i podział na epoki</w:t>
      </w:r>
    </w:p>
    <w:p>
      <w:pPr>
        <w:pStyle w:val="FirstParagraph"/>
        <w:spacing w:lineRule="auto" w:line="274" w:before="180" w:after="100"/>
        <w:jc w:val="both"/>
        <w:rPr/>
      </w:pPr>
      <w:r>
        <w:rPr/>
        <w:t>Segmenty (epoki) wyznacza się względem znaczników zdarzeń, np. od −200 do 800 ms. Korekcja poziomu bazowego polega na odjęciu średniej z wybranego okresu odniesienia, np. −200–0 ms; nie zastępuje automatycznie prawidłowej filtracji ani kontroli artefaktów. Przed uśrednianiem sprawdź liczebność prób, zgodność kodów bodźców, odrzucone epoki i poprawność synchronizacji znaczników.</w:t>
      </w:r>
    </w:p>
    <w:p>
      <w:pPr>
        <w:pStyle w:val="Heading2"/>
        <w:keepNext w:val="true"/>
        <w:spacing w:before="260" w:after="100"/>
        <w:rPr/>
      </w:pPr>
      <w:r>
        <w:rPr/>
        <w:t>8. Ekstrakcja cech</w:t>
      </w:r>
    </w:p>
    <w:p>
      <w:pPr>
        <w:pStyle w:val="FirstParagraph"/>
        <w:spacing w:lineRule="auto" w:line="274" w:before="180" w:after="100"/>
        <w:rPr/>
      </w:pPr>
      <w:r>
        <w:rPr/>
        <w:t>Z przetworzonych epok można wydobyć różne miary (cechy):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PSD</w:t>
      </w:r>
      <w:r>
        <w:rPr/>
        <w:t xml:space="preserve"> (gęstość widmowa mocy): szacuje się ją m.in. metodą Welcha (pwelch). Rozdzielczość wynikająca z długości obserwacji wynosi w przybliżeniu 1/T: okno 1 s pozwala rozdzielać składowe w skali około 1 Hz. Zwiększenie nfft przez dopełnienie zerami zagęszcza próbki widma, ale nie poprawia rzeczywistej zdolności rozdzielczej. Analiza najniższych pasm wymaga odpowiednio długich okien.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ERP</w:t>
      </w:r>
      <w:r>
        <w:rPr/>
        <w:t xml:space="preserve"> (potencjały związane ze zdarzeniem): uśredniony przebieg epok przypisanych do tego samego warunku. Po właściwym oczyszczeniu, korekcji bazowej i uśrednieniu można wyznaczać amplitudę oraz latencję składników, takich jak N100 lub P300. Okno pomiarowe i zestaw elektrod należy określić przed analizą lub uzasadnić je na podstawie niezależnych przesłanek.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Analiza czasowo-częstotliwościowa</w:t>
      </w:r>
      <w:r>
        <w:rPr/>
        <w:t>: wykorzystuje m.in. falki Morleta i metodę wielookienkową. Liczba cykli falki, długość okna i krok czasowy decydują o kompromisie między rozdzielczością czasową i częstotliwościową. Dla niskich częstotliwości konieczne są dostatecznie długie okna; nie każda kombinacja 1 Hz i krótkich epok umożliwia wiarygodną estymację [7].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Łączność funkcjonalna</w:t>
      </w:r>
      <w:r>
        <w:rPr/>
        <w:t>: koherencja, PLV i pokrewne miary opisują statystyczne zależności między sygnałami, ale same nie dowodzą połączeń anatomicznych ani kierunku przepływu informacji. Wyniki mogą być zawyżone przez przewodnictwo objętościowe, wspólne odniesienie i artefakty. Należy rozważyć miary mniej wrażliwe na sprzężenie o zerowym opóźnieniu oraz odpowiednie analizy kontrolne.</w:t>
      </w:r>
    </w:p>
    <w:p>
      <w:pPr>
        <w:pStyle w:val="Heading2"/>
        <w:keepNext w:val="true"/>
        <w:spacing w:before="260" w:after="100"/>
        <w:rPr/>
      </w:pPr>
      <w:r>
        <w:rPr/>
        <w:t>9. Analiza statystyczna</w:t>
      </w:r>
    </w:p>
    <w:p>
      <w:pPr>
        <w:pStyle w:val="FirstParagraph"/>
        <w:spacing w:lineRule="auto" w:line="274" w:before="180" w:after="100"/>
        <w:rPr/>
      </w:pPr>
      <w:r>
        <w:rPr/>
        <w:t>Wyniki analizy cech (np. rozkłady mocy, amplitudy ERP) często poddaje się testom statystycznym: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Testy parametryczn</w:t>
      </w:r>
      <w:r>
        <w:rPr/>
        <w:t>e: test t dla prób zależnych lub niezależnych i ANOVA wymagają właściwego planu badania oraz weryfikacji założeń. Jednostką niezależnej obserwacji jest zwykle uczestnik, a nie każda próbka sygnału. Dla badań z powtarzanymi pomiarami należy uwzględnić zależność wewnątrzosobniczą.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Testy permutacyjne</w:t>
      </w:r>
      <w:r>
        <w:rPr/>
        <w:t>: umożliwiają ocenę statystyki pod hipotezą zerową przy poprawnie zdefiniowanej wymienialności obserwacji. W analizie klastrowej należy określić sąsiedztwo kanałów, próg tworzenia klastrów oraz schemat randomizacji. Liczba permutacji i sposób testowania wymagają raportowania; test klastrowy nie pozwala automatycznie precyzyjnie lokalizować efektu w czasie i przestrzeni.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Wielokrotne porównania</w:t>
      </w:r>
      <w:r>
        <w:rPr/>
        <w:t>: korekcja Bonferroniego kontroluje rodzinny błąd I rodzaju (FWER), procedury FDR kontrolują oczekiwany odsetek fałszywych odkryć, a testy permutacyjne oparte na maksimum statystyki lub klastrach mogą kontrolować FWER w określonej rodzinie testów. Metody te nie są zamienne; wybór należy uzasadnić.</w:t>
      </w:r>
    </w:p>
    <w:p>
      <w:pPr>
        <w:pStyle w:val="Heading2"/>
        <w:keepNext w:val="true"/>
        <w:spacing w:before="260" w:after="100"/>
        <w:rPr/>
      </w:pPr>
      <w:bookmarkStart w:id="3" w:name="wizualizacja-wyników"/>
      <w:r>
        <w:rPr/>
        <w:t>10. Wizualizacja wyników</w:t>
      </w:r>
    </w:p>
    <w:p>
      <w:pPr>
        <w:pStyle w:val="FirstParagraph"/>
        <w:spacing w:lineRule="auto" w:line="274" w:before="180" w:after="100"/>
        <w:rPr/>
      </w:pPr>
      <w:r>
        <w:rPr/>
        <w:t>Po analizie wygeneruj wykresy ilustrujące wyniki: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Mapy topograficzne:</w:t>
      </w:r>
      <w:r>
        <w:rPr/>
        <w:t xml:space="preserve"> Graficzny rozkład mocy lub amplitudy na powierzchni głowy. W EEGLAB: </w:t>
      </w:r>
      <w:r>
        <w:rPr>
          <w:rStyle w:val="VerbatimChar"/>
          <w:rFonts w:ascii="Consolas" w:hAnsi="Consolas"/>
          <w:color w:val="0E4D67"/>
          <w:sz w:val="18"/>
        </w:rPr>
        <w:t>topoplot</w:t>
      </w:r>
      <w:r>
        <w:rPr/>
        <w:t xml:space="preserve"> (mapy 2D). W Brainstorm: zakładka „2D Heads” czy „3D Brain”. Przykłady: topografia mocy alfa, rozkład ERP (widmo topograficzne).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Wykresy czasowe:</w:t>
      </w:r>
      <w:r>
        <w:rPr/>
        <w:t xml:space="preserve"> Przebiegi ERP lub sygnałów kanałowych – użyj </w:t>
      </w:r>
      <w:r>
        <w:rPr>
          <w:rStyle w:val="VerbatimChar"/>
          <w:rFonts w:ascii="Consolas" w:hAnsi="Consolas"/>
          <w:color w:val="0E4D67"/>
          <w:sz w:val="18"/>
        </w:rPr>
        <w:t>plot</w:t>
      </w:r>
      <w:r>
        <w:rPr>
          <w:rFonts w:ascii="Consolas" w:hAnsi="Consolas"/>
          <w:color w:val="0E4D67"/>
          <w:sz w:val="18"/>
        </w:rPr>
        <w:t xml:space="preserve"> lub </w:t>
      </w:r>
      <w:r>
        <w:rPr>
          <w:rStyle w:val="VerbatimChar"/>
          <w:rFonts w:ascii="Consolas" w:hAnsi="Consolas"/>
          <w:color w:val="0E4D67"/>
          <w:sz w:val="18"/>
        </w:rPr>
        <w:t>ft_singleplotER</w:t>
      </w:r>
      <w:r>
        <w:rPr/>
        <w:t>. Wyświetl średnią i np. błąd standardowy.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Widma i spektrogramy:</w:t>
      </w:r>
      <w:r>
        <w:rPr/>
        <w:t xml:space="preserve"> Wykres PSD dla wybranych kanałów (</w:t>
      </w:r>
      <w:r>
        <w:rPr>
          <w:rStyle w:val="VerbatimChar"/>
          <w:rFonts w:ascii="Consolas" w:hAnsi="Consolas"/>
          <w:color w:val="0E4D67"/>
          <w:sz w:val="18"/>
        </w:rPr>
        <w:t>plot(freq, psd)</w:t>
      </w:r>
      <w:r>
        <w:rPr/>
        <w:t xml:space="preserve">) oraz spektrogram (np. </w:t>
      </w:r>
      <w:r>
        <w:rPr>
          <w:rStyle w:val="VerbatimChar"/>
          <w:rFonts w:ascii="Consolas" w:hAnsi="Consolas"/>
          <w:color w:val="0E4D67"/>
          <w:sz w:val="18"/>
        </w:rPr>
        <w:t>spectrogram</w:t>
      </w:r>
      <w:r>
        <w:rPr/>
        <w:t xml:space="preserve"> w środowisku MATLAB) pokazujący rozkład mocy w czasie. W Brainstorm można tworzyć mapy czasowo-częstotliwościowe lub wykorzystać </w:t>
      </w:r>
      <w:r>
        <w:rPr>
          <w:rStyle w:val="VerbatimChar"/>
          <w:rFonts w:ascii="Consolas" w:hAnsi="Consolas"/>
          <w:color w:val="0E4D67"/>
          <w:sz w:val="18"/>
        </w:rPr>
        <w:t>ft_multiplotTFR</w:t>
      </w:r>
      <w:r>
        <w:rPr/>
        <w:t xml:space="preserve"> w FieldTrip.</w:t>
      </w:r>
    </w:p>
    <w:p>
      <w:pPr>
        <w:pStyle w:val="Compact"/>
        <w:spacing w:lineRule="auto" w:line="274" w:before="0" w:after="100"/>
        <w:rPr/>
      </w:pPr>
      <w:r>
        <w:rPr>
          <w:b/>
          <w:bCs/>
        </w:rPr>
        <w:t>Pozostałe możliwości:</w:t>
      </w:r>
      <w:r>
        <w:rPr/>
        <w:t xml:space="preserve"> Rysowanie macierzy korelacji/spoistości czy dynamiczne wykresy (animacje wyników) może być użyteczne. Ważne jest czytelne oznaczenie osi i legend.</w:t>
      </w:r>
      <w:bookmarkEnd w:id="3"/>
    </w:p>
    <w:p>
      <w:pPr>
        <w:pStyle w:val="Heading2"/>
        <w:keepNext w:val="true"/>
        <w:spacing w:before="260" w:after="100"/>
        <w:rPr/>
      </w:pPr>
      <w:r>
        <w:rPr/>
        <w:t>11. Przykładowe skrypty w języku MATLAB</w:t>
      </w:r>
    </w:p>
    <w:p>
      <w:pPr>
        <w:pStyle w:val="Normal"/>
        <w:shd w:fill="EEF4F7" w:val="clear"/>
        <w:spacing w:lineRule="auto" w:line="259" w:before="0" w:after="200"/>
        <w:ind w:left="181" w:right="57"/>
        <w:rPr/>
      </w:pPr>
      <w:r>
        <w:rPr>
          <w:rFonts w:ascii="Consolas" w:hAnsi="Consolas"/>
          <w:color w:val="14425E"/>
          <w:sz w:val="16"/>
        </w:rPr>
        <w:t>% EEGLAB: przykład edukacyjny, nie gotowy protokół kliniczny</w:t>
        <w:br/>
        <w:t>EEG = pop_loadset('filename', 'przyklad.set', 'filepath', './dane/');</w:t>
        <w:br/>
        <w:t>EEG = eeg_checkset(EEG);</w:t>
        <w:br/>
        <w:t>% Filtrację wybierz zgodnie z hipotezą i rodzajem ERP.</w:t>
        <w:br/>
        <w:t>EEG = pop_eegfiltnew(EEG, 0.1, 30);</w:t>
        <w:br/>
        <w:t>% Przed ICA sprawdź kanały, rangę danych i jakość zapisu.</w:t>
        <w:br/>
        <w:t>% ICA uruchamiaj dopiero po odpowiednim przygotowaniu danych.</w:t>
        <w:br/>
        <w:t>% EEG = pop_runica(EEG, 'icatype', 'runica', 'extended', 1);</w:t>
        <w:br/>
        <w:t>% Nie usuwaj składowych na podstawie stałych numerów [1 2].</w:t>
        <w:br/>
        <w:t>% Po zweryfikowaniu składowych można użyć pop_subcomp.</w:t>
        <w:br/>
        <w:t>EEG = pop_epoch(EEG, {'1'}, [-0.2 0.8]);</w:t>
        <w:br/>
        <w:t>EEG = pop_rmbase(EEG, [-200 0]);</w:t>
        <w:br/>
        <w:t>% ERP dla kanału 1 (jeżeli kanał jest właściwym kanałem EEG):</w:t>
        <w:br/>
        <w:t>czas_ms = EEG.times;</w:t>
        <w:br/>
        <w:t>erp_uV = mean(double(EEG.data(1, :, :)), 3);</w:t>
        <w:br/>
        <w:t>figure; plot(czas_ms, erp_uV); grid on;</w:t>
        <w:br/>
        <w:t>xlabel('Czas [ms]'); ylabel('Amplituda [\muV]');</w:t>
        <w:br/>
        <w:t>title('ERP: średnia z epok, kanał 1');</w:t>
      </w:r>
    </w:p>
    <w:p>
      <w:pPr>
        <w:pStyle w:val="Normal"/>
        <w:shd w:fill="EEF4F7" w:val="clear"/>
        <w:spacing w:lineRule="auto" w:line="259" w:before="0" w:after="200"/>
        <w:ind w:left="181" w:right="57"/>
        <w:rPr/>
      </w:pPr>
      <w:r>
        <w:rPr>
          <w:rFonts w:ascii="Consolas" w:hAnsi="Consolas"/>
          <w:color w:val="14425E"/>
          <w:sz w:val="16"/>
        </w:rPr>
        <w:t>% FieldTrip: przykład importu i widma mocy</w:t>
        <w:br/>
        <w:t>addpath('path_to_fieldtrip');</w:t>
        <w:br/>
        <w:t>ft_defaults;</w:t>
        <w:br/>
        <w:t>cfg = [];</w:t>
        <w:br/>
        <w:t>cfg.dataset = 'przyklad.bdf';</w:t>
        <w:br/>
        <w:t>cfg.trialdef.eventtype = 'Stimulus';  % dostosuj do zapisu</w:t>
        <w:br/>
        <w:t>cfg.trialdef.eventvalue = 1;        % dostosuj do zapisu</w:t>
        <w:br/>
        <w:t>cfg.trialdef.prestim = 0.2;</w:t>
        <w:br/>
        <w:t>cfg.trialdef.poststim = 0.8;</w:t>
        <w:br/>
        <w:t>cfg = ft_definetrial(cfg);</w:t>
        <w:br/>
        <w:t>data = ft_preprocessing(cfg);</w:t>
        <w:br/>
        <w:t>cfg = [];</w:t>
        <w:br/>
        <w:t>cfg.method = 'mtmfft';</w:t>
        <w:br/>
        <w:t>cfg.output = 'pow';</w:t>
        <w:br/>
        <w:t>cfg.foilim = [1 40];</w:t>
        <w:br/>
        <w:t>cfg.taper = 'hanning';</w:t>
        <w:br/>
        <w:t>freq = ft_freqanalysis(cfg, data);</w:t>
        <w:br/>
        <w:t>% Domyślnie powspctrm ma wymiary: kanał x częstotliwość.</w:t>
        <w:br/>
        <w:t>figure; plot(freq.freq, freq.powspctrm(1, :)); grid on;</w:t>
        <w:br/>
        <w:t>xlabel('Częstotliwość [Hz]'); ylabel('Moc [jednostki^2/Hz]');</w:t>
        <w:br/>
        <w:t>% Dla epok 1 s interpretacja widma 1 Hz jest ograniczona.</w:t>
      </w:r>
    </w:p>
    <w:p>
      <w:pPr>
        <w:pStyle w:val="Heading2"/>
        <w:keepNext w:val="true"/>
        <w:spacing w:before="260" w:after="100"/>
        <w:rPr/>
      </w:pPr>
      <w:bookmarkStart w:id="4" w:name="najlepsze-praktyki-i-pułapki"/>
      <w:r>
        <w:rPr/>
        <w:t>12. Dobre praktyki i najczęstsze błędy</w:t>
      </w:r>
    </w:p>
    <w:p>
      <w:pPr>
        <w:pStyle w:val="Compact"/>
        <w:spacing w:lineRule="auto" w:line="274" w:before="0" w:after="100"/>
        <w:ind w:hanging="57" w:left="159"/>
        <w:rPr/>
      </w:pPr>
      <w:r>
        <w:rPr>
          <w:b/>
          <w:bCs/>
        </w:rPr>
        <w:t>Dokumentuj każdy krok:</w:t>
      </w:r>
      <w:r>
        <w:rPr/>
        <w:t xml:space="preserve"> Twórz skrypty zamiast ręcznych kliknięć; zapisuj parametry filtrów, wyboru komponentów itp. Dzięki temu proces jest powtarzalny i weryfikowalny.</w:t>
      </w:r>
    </w:p>
    <w:p>
      <w:pPr>
        <w:pStyle w:val="Compact"/>
        <w:spacing w:lineRule="auto" w:line="274" w:before="0" w:after="100"/>
        <w:ind w:hanging="57" w:left="159"/>
        <w:rPr/>
      </w:pPr>
      <w:r>
        <w:rPr/>
        <w:t>Wybór filtrów: nie używaj jednego zestawu parametrów do wszystkich badań. Filtr górnoprzepustowy 1 Hz bywa korzystny dla ICA, ale może zniekształcać wolne ERP; dla takich analiz rozważ łagodniejszą filtrację. Dokumentuj pasmo przejściowe, typ filtru, rząd i sposób filtrowania (jedno- lub dwukierunkowy).</w:t>
      </w:r>
    </w:p>
    <w:p>
      <w:pPr>
        <w:pStyle w:val="Compact"/>
        <w:spacing w:lineRule="auto" w:line="274" w:before="0" w:after="100"/>
        <w:ind w:hanging="57" w:left="159"/>
        <w:rPr/>
      </w:pPr>
      <w:r>
        <w:rPr>
          <w:b/>
          <w:bCs/>
        </w:rPr>
        <w:t>Kontrola artefaktów:</w:t>
      </w:r>
      <w:r>
        <w:rPr/>
        <w:t xml:space="preserve"> Nie usuwaj zbyt dużej liczby komponentów ICA – można przypadkowo odciąć sygnał neurologiczny. Zawsze oglądaj topografie i wykresy komponentów.</w:t>
      </w:r>
    </w:p>
    <w:p>
      <w:pPr>
        <w:pStyle w:val="Compact"/>
        <w:spacing w:lineRule="auto" w:line="274" w:before="0" w:after="100"/>
        <w:ind w:hanging="57" w:left="159"/>
        <w:rPr/>
      </w:pPr>
      <w:r>
        <w:rPr/>
        <w:t>Zmiana odniesienia: zaplanuj i udokumentuj ją przed analizą końcową. Ustal jej kolejność względem wykrywania uszkodzonych kanałów, interpolacji oraz ICA. Nie traktuj zmiany odniesienia wyłącznie jako zabiegu wizualizacyjnego.</w:t>
      </w:r>
    </w:p>
    <w:p>
      <w:pPr>
        <w:pStyle w:val="Compact"/>
        <w:spacing w:lineRule="auto" w:line="274" w:before="0" w:after="100"/>
        <w:ind w:hanging="57" w:left="159"/>
        <w:rPr/>
      </w:pPr>
      <w:r>
        <w:rPr>
          <w:b/>
          <w:bCs/>
        </w:rPr>
        <w:t>Sprawdzenie danych:</w:t>
      </w:r>
      <w:r>
        <w:rPr/>
        <w:t xml:space="preserve"> Po każdym etapie obejrzyj dane (np. </w:t>
      </w:r>
      <w:r>
        <w:rPr>
          <w:rStyle w:val="VerbatimChar"/>
          <w:rFonts w:ascii="Consolas" w:hAnsi="Consolas"/>
          <w:color w:val="0E4D67"/>
          <w:sz w:val="18"/>
        </w:rPr>
        <w:t>eegplot</w:t>
      </w:r>
      <w:r>
        <w:rPr/>
        <w:t xml:space="preserve"> w EEGLAB) – upewnij się, że filtr nie wprowadził artefaktów na krawędziach, a ICA oddzieliła oczekiwane sygnały.</w:t>
      </w:r>
    </w:p>
    <w:p>
      <w:pPr>
        <w:pStyle w:val="Compact"/>
        <w:spacing w:lineRule="auto" w:line="274" w:before="0" w:after="100"/>
        <w:ind w:hanging="57" w:left="159"/>
        <w:rPr/>
      </w:pPr>
      <w:r>
        <w:rPr>
          <w:b/>
          <w:bCs/>
        </w:rPr>
        <w:t>Parametry analizy:</w:t>
      </w:r>
      <w:r>
        <w:rPr/>
        <w:t xml:space="preserve"> Typowe pułapki to niezrozumienie działania funkcji. Przykładowo, w </w:t>
      </w:r>
      <w:r>
        <w:rPr>
          <w:rStyle w:val="VerbatimChar"/>
          <w:rFonts w:ascii="Consolas" w:hAnsi="Consolas"/>
          <w:color w:val="0E4D67"/>
          <w:sz w:val="18"/>
        </w:rPr>
        <w:t>pop_epoch</w:t>
      </w:r>
      <w:r>
        <w:rPr/>
        <w:t xml:space="preserve"> granice są w sekundach. Zawsze weryfikuj wymiary i jednostki.</w:t>
      </w:r>
    </w:p>
    <w:p>
      <w:pPr>
        <w:pStyle w:val="Compact"/>
        <w:spacing w:lineRule="auto" w:line="274" w:before="0" w:after="100"/>
        <w:ind w:hanging="57" w:left="159"/>
        <w:rPr/>
      </w:pPr>
      <w:r>
        <w:rPr>
          <w:b/>
          <w:bCs/>
        </w:rPr>
        <w:t>Wybór narzędzi:</w:t>
      </w:r>
      <w:r>
        <w:rPr/>
        <w:t xml:space="preserve"> Każde narzędzie ma swoją specyfikę – np. Brainstorm ma wygodny interfejs graficzny, ale ma swoją strukturę plików. Zapoznaj się z dokumentacją. Unikaj mieszania surowych formatów – trzymaj się jednego formatu (np. zawsze pracuj na plikach EEGLAB lub FieldTrip).</w:t>
      </w:r>
      <w:bookmarkEnd w:id="4"/>
    </w:p>
    <w:p>
      <w:pPr>
        <w:pStyle w:val="Heading2"/>
        <w:keepNext w:val="true"/>
        <w:spacing w:before="260" w:after="100"/>
        <w:rPr/>
      </w:pPr>
      <w:r>
        <w:rPr/>
        <w:t>1</w:t>
      </w:r>
      <w:r>
        <w:rPr/>
        <w:t>3</w:t>
      </w:r>
      <w:r>
        <w:rPr/>
        <w:t>. Tabele porównawcze</w:t>
      </w:r>
    </w:p>
    <w:p>
      <w:pPr>
        <w:pStyle w:val="FirstParagraph"/>
        <w:spacing w:lineRule="auto" w:line="274" w:before="180" w:after="100"/>
        <w:rPr/>
      </w:pPr>
      <w:r>
        <w:rPr/>
        <w:t>Tabela 1. Porównanie narzędzi do analizy EEG i prowadzenia eksperymentów:</w:t>
      </w:r>
    </w:p>
    <w:tbl>
      <w:tblPr>
        <w:tblStyle w:val="Table"/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478"/>
        <w:gridCol w:w="2662"/>
        <w:gridCol w:w="1583"/>
        <w:gridCol w:w="1988"/>
        <w:gridCol w:w="1928"/>
      </w:tblGrid>
      <w:tr>
        <w:trPr>
          <w:tblHeader w:val="true"/>
        </w:trPr>
        <w:tc>
          <w:tcPr>
            <w:tcW w:w="1478" w:type="dxa"/>
            <w:tcBorders>
              <w:bottom w:val="single" w:sz="6" w:space="0" w:color="000000"/>
            </w:tcBorders>
            <w:shd w:fill="24516B" w:val="clear"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color w:val="FFFFFF"/>
                <w:kern w:val="0"/>
                <w:sz w:val="16"/>
                <w:szCs w:val="16"/>
                <w:lang w:val="pl-PL" w:eastAsia="zh-CN" w:bidi="ar-SA"/>
              </w:rPr>
              <w:t>Narzędzie</w:t>
            </w:r>
          </w:p>
        </w:tc>
        <w:tc>
          <w:tcPr>
            <w:tcW w:w="2662" w:type="dxa"/>
            <w:tcBorders>
              <w:bottom w:val="single" w:sz="6" w:space="0" w:color="000000"/>
            </w:tcBorders>
            <w:shd w:fill="24516B" w:val="clear"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color w:val="FFFFFF"/>
                <w:kern w:val="0"/>
                <w:sz w:val="16"/>
                <w:szCs w:val="16"/>
                <w:lang w:val="pl-PL" w:eastAsia="zh-CN" w:bidi="ar-SA"/>
              </w:rPr>
              <w:t>Główne funkcje / opis</w:t>
            </w:r>
          </w:p>
        </w:tc>
        <w:tc>
          <w:tcPr>
            <w:tcW w:w="1583" w:type="dxa"/>
            <w:tcBorders>
              <w:bottom w:val="single" w:sz="6" w:space="0" w:color="000000"/>
            </w:tcBorders>
            <w:shd w:fill="24516B" w:val="clear"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color w:val="FFFFFF"/>
                <w:kern w:val="0"/>
                <w:sz w:val="16"/>
                <w:szCs w:val="16"/>
                <w:lang w:val="pl-PL" w:eastAsia="zh-CN" w:bidi="ar-SA"/>
              </w:rPr>
              <w:t>Zalety</w:t>
            </w:r>
          </w:p>
        </w:tc>
        <w:tc>
          <w:tcPr>
            <w:tcW w:w="1988" w:type="dxa"/>
            <w:tcBorders>
              <w:bottom w:val="single" w:sz="6" w:space="0" w:color="000000"/>
            </w:tcBorders>
            <w:shd w:fill="24516B" w:val="clear"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color w:val="FFFFFF"/>
                <w:kern w:val="0"/>
                <w:sz w:val="16"/>
                <w:szCs w:val="16"/>
                <w:lang w:val="pl-PL" w:eastAsia="zh-CN" w:bidi="ar-SA"/>
              </w:rPr>
              <w:t>Wady / ograniczenia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shd w:fill="24516B" w:val="clear"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color w:val="FFFFFF"/>
                <w:kern w:val="0"/>
                <w:sz w:val="16"/>
                <w:szCs w:val="16"/>
                <w:lang w:val="pl-PL" w:eastAsia="zh-CN" w:bidi="ar-SA"/>
              </w:rPr>
              <w:t>Wymagania</w:t>
            </w:r>
          </w:p>
        </w:tc>
      </w:tr>
      <w:tr>
        <w:trPr/>
        <w:tc>
          <w:tcPr>
            <w:tcW w:w="1478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EEGLAB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GUI i skrypty MATLAB; ICA, ERP, analiza czasowo-częstotliwościowa [4].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Liczne wtyczki; szerokie zastosowanie badawcze.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Wymaga znajomości parametrów metod i walidacji wyników.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MATLAB; szczegóły zgodności zależne od wersji [5].</w:t>
            </w:r>
          </w:p>
        </w:tc>
      </w:tr>
      <w:tr>
        <w:trPr/>
        <w:tc>
          <w:tcPr>
            <w:tcW w:w="1478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bCs/>
                <w:kern w:val="0"/>
                <w:sz w:val="16"/>
                <w:szCs w:val="16"/>
                <w:lang w:val="pl-PL" w:eastAsia="zh-CN" w:bidi="ar-SA"/>
              </w:rPr>
              <w:t>FieldTrip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Pakiet MATLAB do EEG/MEG/iEEG, źródeł, analizy widmowej i statystyki [6, 7].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Duża elastyczność i przejrzyste skrypty.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Stroma krzywa uczenia; brak głównego GUI.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MATLAB; sprawdź zgodność bieżącego wydania.</w:t>
            </w:r>
          </w:p>
        </w:tc>
      </w:tr>
      <w:tr>
        <w:trPr/>
        <w:tc>
          <w:tcPr>
            <w:tcW w:w="1478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bCs/>
                <w:kern w:val="0"/>
                <w:sz w:val="16"/>
                <w:szCs w:val="16"/>
                <w:lang w:val="pl-PL" w:eastAsia="zh-CN" w:bidi="ar-SA"/>
              </w:rPr>
              <w:t>Brainstorm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Środowisko GUI do analizy EEG/MEG [8, 9].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Przyjazny interfejs; wariant samodzielny.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Własna struktura bazy danych i przebieg pracy.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MATLAB albo kompatybilne środowisko uruchomieniowe.</w:t>
            </w:r>
          </w:p>
        </w:tc>
      </w:tr>
      <w:tr>
        <w:trPr/>
        <w:tc>
          <w:tcPr>
            <w:tcW w:w="1478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Psychtoolbox-3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Prezentacja bodźców, pomiar czasu i rejestracja reakcji [10].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Narzędzia do eksperymentów behawioralnych.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Nie jest pakietem analizy EEG; wymaga kontroli synchronizacji.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MATLAB R2025b: wersja testowana według dokumentacji [10].</w:t>
            </w:r>
          </w:p>
        </w:tc>
      </w:tr>
    </w:tbl>
    <w:p>
      <w:pPr>
        <w:pStyle w:val="BodyText"/>
        <w:spacing w:lineRule="auto" w:line="274" w:before="180" w:after="100"/>
        <w:rPr>
          <w:b/>
          <w:bCs/>
        </w:rPr>
      </w:pPr>
      <w:r>
        <w:rPr>
          <w:b/>
          <w:bCs/>
        </w:rPr>
      </w:r>
    </w:p>
    <w:p>
      <w:pPr>
        <w:pStyle w:val="BodyText"/>
        <w:spacing w:lineRule="auto" w:line="274" w:before="180" w:after="100"/>
        <w:rPr>
          <w:b/>
          <w:bCs/>
        </w:rPr>
      </w:pPr>
      <w:r>
        <w:rPr>
          <w:b/>
          <w:bCs/>
        </w:rPr>
        <w:t xml:space="preserve">Tabela 2. </w:t>
      </w:r>
      <w:r>
        <w:rPr>
          <w:b w:val="false"/>
          <w:bCs w:val="false"/>
        </w:rPr>
        <w:t>Lista kontrolna etapów przetwarzania EEG z typowymi parametrami:</w:t>
      </w:r>
    </w:p>
    <w:tbl>
      <w:tblPr>
        <w:tblStyle w:val="Table"/>
        <w:tblW w:w="963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723"/>
        <w:gridCol w:w="6907"/>
      </w:tblGrid>
      <w:tr>
        <w:trPr>
          <w:tblHeader w:val="true"/>
        </w:trPr>
        <w:tc>
          <w:tcPr>
            <w:tcW w:w="2723" w:type="dxa"/>
            <w:tcBorders>
              <w:bottom w:val="single" w:sz="6" w:space="0" w:color="000000"/>
            </w:tcBorders>
            <w:shd w:fill="24516B" w:val="clear"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color w:val="FFFFFF"/>
                <w:kern w:val="0"/>
                <w:sz w:val="17"/>
                <w:szCs w:val="16"/>
                <w:lang w:val="pl-PL" w:eastAsia="zh-CN" w:bidi="ar-SA"/>
              </w:rPr>
              <w:t>Krok / Etap</w:t>
            </w:r>
          </w:p>
        </w:tc>
        <w:tc>
          <w:tcPr>
            <w:tcW w:w="6907" w:type="dxa"/>
            <w:tcBorders>
              <w:bottom w:val="single" w:sz="6" w:space="0" w:color="000000"/>
            </w:tcBorders>
            <w:shd w:fill="24516B" w:val="clear"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color w:val="FFFFFF"/>
                <w:kern w:val="0"/>
                <w:sz w:val="17"/>
                <w:szCs w:val="16"/>
                <w:lang w:val="pl-PL" w:eastAsia="zh-CN" w:bidi="ar-SA"/>
              </w:rPr>
              <w:t>Przykładowe parametry / uwagi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bCs/>
                <w:kern w:val="0"/>
                <w:sz w:val="17"/>
                <w:szCs w:val="16"/>
                <w:lang w:val="pl-PL" w:eastAsia="zh-CN" w:bidi="ar-SA"/>
              </w:rPr>
              <w:t>Filtrowanie pasmowe (band-pass)</w:t>
            </w:r>
          </w:p>
        </w:tc>
        <w:tc>
          <w:tcPr>
            <w:tcW w:w="6907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Dobierz do celu; np. 0,1–30 Hz dla wybranych analiz ERP; pasmo musi zachować komponenty istotne dla hipotezy.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bCs/>
                <w:kern w:val="0"/>
                <w:sz w:val="17"/>
                <w:szCs w:val="16"/>
                <w:lang w:val="pl-PL" w:eastAsia="zh-CN" w:bidi="ar-SA"/>
              </w:rPr>
              <w:t>Filtracja dolnoprzepustowa</w:t>
            </w:r>
          </w:p>
        </w:tc>
        <w:tc>
          <w:tcPr>
            <w:tcW w:w="6907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Wartość graniczna zależy od rejestrowanego pasma i interesujących cech sygnału.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bCs/>
                <w:kern w:val="0"/>
                <w:sz w:val="17"/>
                <w:szCs w:val="16"/>
                <w:lang w:val="pl-PL" w:eastAsia="zh-CN" w:bidi="ar-SA"/>
              </w:rPr>
              <w:t>Filtracja zaporowa (notch)</w:t>
            </w:r>
          </w:p>
        </w:tc>
        <w:tc>
          <w:tcPr>
            <w:tcW w:w="6907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Tylko gdy występują zakłócenia sieciowe (w Polsce 50 Hz); oceń zniekształcenia i metody alternatywne.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bCs/>
                <w:kern w:val="0"/>
                <w:sz w:val="17"/>
                <w:szCs w:val="16"/>
                <w:lang w:val="pl-PL" w:eastAsia="zh-CN" w:bidi="ar-SA"/>
              </w:rPr>
              <w:t>Filtracja górnoprzepustowa</w:t>
            </w:r>
          </w:p>
        </w:tc>
        <w:tc>
          <w:tcPr>
            <w:tcW w:w="6907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Dla ICA często około 1 Hz; dla wolnych ERP rozważ 0,01–0,1 Hz [13, 14].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bCs/>
                <w:kern w:val="0"/>
                <w:sz w:val="17"/>
                <w:szCs w:val="16"/>
                <w:lang w:val="pl-PL" w:eastAsia="zh-CN" w:bidi="ar-SA"/>
              </w:rPr>
              <w:t>Zmiana odniesienia</w:t>
            </w:r>
          </w:p>
        </w:tc>
        <w:tc>
          <w:tcPr>
            <w:tcW w:w="6907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Wybierz zgodnie z montażem; zastosuj na właściwym etapie, uwzględnij jakość elektrod.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bCs/>
                <w:kern w:val="0"/>
                <w:sz w:val="17"/>
                <w:szCs w:val="16"/>
                <w:lang w:val="pl-PL" w:eastAsia="zh-CN" w:bidi="ar-SA"/>
              </w:rPr>
              <w:t>Wykrywanie uszkodzonych kanałów</w:t>
            </w:r>
          </w:p>
        </w:tc>
        <w:tc>
          <w:tcPr>
            <w:tcW w:w="6907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Oceń szum, brak kontaktu, saturację i wariancję; nie stosuj jednego uniwersalnego progu 100 µV.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bCs/>
                <w:kern w:val="0"/>
                <w:sz w:val="17"/>
                <w:szCs w:val="16"/>
                <w:lang w:val="pl-PL" w:eastAsia="zh-CN" w:bidi="ar-SA"/>
              </w:rPr>
              <w:t>Usuwanie artefaktów (ICA)</w:t>
            </w:r>
          </w:p>
        </w:tc>
        <w:tc>
          <w:tcPr>
            <w:tcW w:w="6907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ICA po kontroli rangi danych; oceniaj topografię, czas, widmo i ewentualnie ICLabel; udokumentuj decyzje.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bCs/>
                <w:kern w:val="0"/>
                <w:sz w:val="17"/>
                <w:szCs w:val="16"/>
                <w:lang w:val="pl-PL" w:eastAsia="zh-CN" w:bidi="ar-SA"/>
              </w:rPr>
              <w:t>Podział na epoki</w:t>
            </w:r>
          </w:p>
        </w:tc>
        <w:tc>
          <w:tcPr>
            <w:tcW w:w="6907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kern w:val="0"/>
                <w:sz w:val="16"/>
                <w:szCs w:val="16"/>
                <w:lang w:val="pl-PL" w:eastAsia="zh-CN" w:bidi="ar-SA"/>
              </w:rPr>
              <w:t>zakres np. –200 ms do 800 ms od zdarzenia; okres odniesienia = –200–0 ms.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bCs/>
                <w:kern w:val="0"/>
                <w:sz w:val="17"/>
                <w:szCs w:val="16"/>
                <w:lang w:val="pl-PL" w:eastAsia="zh-CN" w:bidi="ar-SA"/>
              </w:rPr>
              <w:t>Korekcja bazowa</w:t>
            </w:r>
          </w:p>
        </w:tc>
        <w:tc>
          <w:tcPr>
            <w:tcW w:w="6907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kern w:val="0"/>
                <w:sz w:val="16"/>
                <w:szCs w:val="16"/>
                <w:lang w:val="pl-PL" w:eastAsia="zh-CN" w:bidi="ar-SA"/>
              </w:rPr>
              <w:t>odjęcie średniej z okresu bazowego (np. –200–0 ms) od każdej epoki.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bCs/>
                <w:kern w:val="0"/>
                <w:sz w:val="17"/>
                <w:szCs w:val="16"/>
                <w:lang w:val="pl-PL" w:eastAsia="zh-CN" w:bidi="ar-SA"/>
              </w:rPr>
              <w:t>Ekstrakcja PSD</w:t>
            </w:r>
          </w:p>
        </w:tc>
        <w:tc>
          <w:tcPr>
            <w:tcW w:w="6907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Metoda Welcha: rozdzielczość zależy od długości okna (≈1/T), a nie tylko od nfft.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bCs/>
                <w:kern w:val="0"/>
                <w:sz w:val="17"/>
                <w:szCs w:val="16"/>
                <w:lang w:val="pl-PL" w:eastAsia="zh-CN" w:bidi="ar-SA"/>
              </w:rPr>
              <w:t>Ekstrakcja ERP</w:t>
            </w:r>
          </w:p>
        </w:tc>
        <w:tc>
          <w:tcPr>
            <w:tcW w:w="6907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kern w:val="0"/>
                <w:sz w:val="16"/>
                <w:szCs w:val="16"/>
                <w:lang w:val="pl-PL" w:eastAsia="zh-CN" w:bidi="ar-SA"/>
              </w:rPr>
              <w:t>średnia sygnału w epokach po korekcji bazowej; analiza latencji i amplitudy.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bCs/>
                <w:kern w:val="0"/>
                <w:sz w:val="17"/>
                <w:szCs w:val="16"/>
                <w:lang w:val="pl-PL" w:eastAsia="zh-CN" w:bidi="ar-SA"/>
              </w:rPr>
              <w:t>Analiza czasowo-częst. (TF)</w:t>
            </w:r>
          </w:p>
        </w:tc>
        <w:tc>
          <w:tcPr>
            <w:tcW w:w="6907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Falki Morleta lub wielookienkowa metoda FFT; dobierz długość okna i liczbę cykli do pasma.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bCs/>
                <w:kern w:val="0"/>
                <w:sz w:val="17"/>
                <w:szCs w:val="16"/>
                <w:lang w:val="pl-PL" w:eastAsia="zh-CN" w:bidi="ar-SA"/>
              </w:rPr>
              <w:t>Analiza łączności</w:t>
            </w:r>
          </w:p>
        </w:tc>
        <w:tc>
          <w:tcPr>
            <w:tcW w:w="6907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Raportuj wpływ odniesienia, przewodnictwa objętościowego i artefaktów; łączność ≠ połączenie anatomiczne.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bCs/>
                <w:kern w:val="0"/>
                <w:sz w:val="17"/>
                <w:szCs w:val="16"/>
                <w:lang w:val="pl-PL" w:eastAsia="zh-CN" w:bidi="ar-SA"/>
              </w:rPr>
              <w:t>Testy parametryczne</w:t>
            </w:r>
          </w:p>
        </w:tc>
        <w:tc>
          <w:tcPr>
            <w:tcW w:w="6907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 zależny/niezależny zgodnie z planem; określ jednostkę analizy, rozmiar efektu i korekcję porównań.</w:t>
            </w:r>
          </w:p>
        </w:tc>
      </w:tr>
      <w:tr>
        <w:trPr/>
        <w:tc>
          <w:tcPr>
            <w:tcW w:w="2723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lineRule="auto" w:line="250" w:before="36" w:after="40"/>
              <w:jc w:val="left"/>
              <w:rPr>
                <w:sz w:val="16"/>
                <w:szCs w:val="16"/>
              </w:rPr>
            </w:pPr>
            <w:r>
              <w:rPr>
                <w:rFonts w:eastAsia="" w:cs=""/>
                <w:b/>
                <w:bCs/>
                <w:kern w:val="0"/>
                <w:sz w:val="17"/>
                <w:szCs w:val="16"/>
                <w:lang w:val="pl-PL" w:eastAsia="zh-CN" w:bidi="ar-SA"/>
              </w:rPr>
              <w:t>Testy nieparametryczne</w:t>
            </w:r>
          </w:p>
        </w:tc>
        <w:tc>
          <w:tcPr>
            <w:tcW w:w="6907" w:type="dxa"/>
            <w:tcBorders/>
            <w:vAlign w:val="center"/>
          </w:tcPr>
          <w:p>
            <w:pPr>
              <w:pStyle w:val="Normal"/>
              <w:spacing w:before="0" w:after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Permutacje z zachowaniem wymienialności; określ hipotezę, sąsiedztwo i sposób kontroli FWER/FDR.</w:t>
            </w:r>
          </w:p>
        </w:tc>
      </w:tr>
    </w:tbl>
    <w:p>
      <w:pPr>
        <w:pStyle w:val="Normal"/>
        <w:widowControl/>
        <w:bidi w:val="0"/>
        <w:spacing w:lineRule="auto" w:line="274" w:before="0" w:after="100"/>
        <w:jc w:val="left"/>
        <w:rPr/>
      </w:pPr>
      <w:r>
        <w:rPr/>
      </w:r>
      <w:bookmarkStart w:id="5" w:name="citations"/>
      <w:bookmarkEnd w:id="5"/>
    </w:p>
    <w:p>
      <w:pPr>
        <w:pStyle w:val="Heading1"/>
        <w:keepNext w:val="true"/>
        <w:spacing w:before="260" w:after="100"/>
        <w:rPr>
          <w:sz w:val="20"/>
          <w:szCs w:val="20"/>
        </w:rPr>
      </w:pPr>
      <w:r>
        <w:rPr>
          <w:rFonts w:ascii="Consolas" w:hAnsi="Consolas"/>
          <w:color w:val="0E4D67"/>
          <w:sz w:val="20"/>
          <w:szCs w:val="20"/>
        </w:rPr>
        <w:t>Bibliografia</w:t>
      </w:r>
    </w:p>
    <w:p>
      <w:pPr>
        <w:pStyle w:val="Normal"/>
        <w:spacing w:lineRule="auto" w:line="274" w:before="0" w:after="60"/>
        <w:ind w:hanging="227" w:left="227"/>
        <w:rPr/>
      </w:pPr>
      <w:bookmarkStart w:id="6" w:name="ref_20"/>
      <w:bookmarkEnd w:id="6"/>
      <w:r>
        <w:rPr>
          <w:sz w:val="16"/>
          <w:szCs w:val="16"/>
        </w:rPr>
        <w:t xml:space="preserve">[1] MathWorks. MATLAB: wymagania systemowe dla Windows. </w:t>
      </w:r>
      <w:hyperlink r:id="rId2">
        <w:r>
          <w:rPr>
            <w:rStyle w:val="Style"/>
            <w:color w:val="0563C1"/>
            <w:sz w:val="16"/>
            <w:szCs w:val="16"/>
            <w:u w:val="single"/>
          </w:rPr>
          <w:t>https://www.mathworks.com/support/requirements/matlab-system-requirements.html</w:t>
        </w:r>
      </w:hyperlink>
    </w:p>
    <w:p>
      <w:pPr>
        <w:pStyle w:val="Normal"/>
        <w:spacing w:lineRule="auto" w:line="274" w:before="0" w:after="60"/>
        <w:ind w:hanging="227" w:left="227"/>
        <w:rPr/>
      </w:pPr>
      <w:bookmarkStart w:id="7" w:name="ref_21"/>
      <w:bookmarkEnd w:id="7"/>
      <w:r>
        <w:rPr>
          <w:sz w:val="16"/>
          <w:szCs w:val="16"/>
        </w:rPr>
        <w:t xml:space="preserve">[2] MathWorks. MATLAB: wymagania systemowe dla macOS. </w:t>
      </w:r>
      <w:hyperlink r:id="rId3">
        <w:r>
          <w:rPr>
            <w:rStyle w:val="Style"/>
            <w:color w:val="0563C1"/>
            <w:sz w:val="16"/>
            <w:szCs w:val="16"/>
            <w:u w:val="single"/>
          </w:rPr>
          <w:t>https://www.mathworks.com/support/requirements/matlab-system-requirements.html</w:t>
        </w:r>
      </w:hyperlink>
    </w:p>
    <w:p>
      <w:pPr>
        <w:pStyle w:val="Normal"/>
        <w:spacing w:lineRule="auto" w:line="274" w:before="0" w:after="60"/>
        <w:ind w:hanging="227" w:left="227"/>
        <w:rPr/>
      </w:pPr>
      <w:bookmarkStart w:id="8" w:name="ref_22"/>
      <w:bookmarkEnd w:id="8"/>
      <w:r>
        <w:rPr>
          <w:sz w:val="16"/>
          <w:szCs w:val="16"/>
        </w:rPr>
        <w:t xml:space="preserve">[3] MathWorks. MATLAB: wymagania systemowe dla Linux. </w:t>
      </w:r>
      <w:hyperlink r:id="rId4">
        <w:r>
          <w:rPr>
            <w:rStyle w:val="Style"/>
            <w:color w:val="0563C1"/>
            <w:sz w:val="16"/>
            <w:szCs w:val="16"/>
            <w:u w:val="single"/>
          </w:rPr>
          <w:t>https://www.mathworks.com/support/requirements/matlab-system-requirements.html</w:t>
        </w:r>
      </w:hyperlink>
    </w:p>
    <w:p>
      <w:pPr>
        <w:pStyle w:val="Normal"/>
        <w:spacing w:lineRule="auto" w:line="274" w:before="0" w:after="60"/>
        <w:ind w:hanging="227" w:left="227"/>
        <w:rPr/>
      </w:pPr>
      <w:bookmarkStart w:id="9" w:name="ref_27"/>
      <w:bookmarkEnd w:id="9"/>
      <w:r>
        <w:rPr>
          <w:sz w:val="16"/>
          <w:szCs w:val="16"/>
        </w:rPr>
        <w:t xml:space="preserve">[4] EEGLAB (SCCN, UC San Diego). Funkcjonalność i dokumentacja. </w:t>
      </w:r>
      <w:hyperlink r:id="rId5">
        <w:r>
          <w:rPr>
            <w:rStyle w:val="Style"/>
            <w:color w:val="0563C1"/>
            <w:sz w:val="16"/>
            <w:szCs w:val="16"/>
            <w:u w:val="single"/>
          </w:rPr>
          <w:t>https://eeglab.org/</w:t>
        </w:r>
      </w:hyperlink>
    </w:p>
    <w:p>
      <w:pPr>
        <w:pStyle w:val="Normal"/>
        <w:spacing w:lineRule="auto" w:line="274" w:before="0" w:after="60"/>
        <w:ind w:hanging="227" w:left="227"/>
        <w:rPr/>
      </w:pPr>
      <w:bookmarkStart w:id="10" w:name="ref_28"/>
      <w:bookmarkEnd w:id="10"/>
      <w:r>
        <w:rPr>
          <w:sz w:val="16"/>
          <w:szCs w:val="16"/>
        </w:rPr>
        <w:t xml:space="preserve">[5] EEGLAB. Wersje, pobieranie i wymagania oprogramowania. </w:t>
      </w:r>
      <w:hyperlink r:id="rId6">
        <w:r>
          <w:rPr>
            <w:rStyle w:val="Style"/>
            <w:color w:val="0563C1"/>
            <w:sz w:val="16"/>
            <w:szCs w:val="16"/>
            <w:u w:val="single"/>
          </w:rPr>
          <w:t>https://sccn.ucsd.edu/eeglab/download.php</w:t>
        </w:r>
      </w:hyperlink>
    </w:p>
    <w:p>
      <w:pPr>
        <w:pStyle w:val="Normal"/>
        <w:spacing w:lineRule="auto" w:line="274" w:before="0" w:after="60"/>
        <w:ind w:hanging="227" w:left="227"/>
        <w:rPr/>
      </w:pPr>
      <w:bookmarkStart w:id="11" w:name="ref_33"/>
      <w:bookmarkEnd w:id="11"/>
      <w:r>
        <w:rPr>
          <w:sz w:val="16"/>
          <w:szCs w:val="16"/>
        </w:rPr>
        <w:t xml:space="preserve">[6] FieldTrip. Dokumentacja i wersje narzędzia. </w:t>
      </w:r>
      <w:hyperlink r:id="rId7">
        <w:r>
          <w:rPr>
            <w:rStyle w:val="Style"/>
            <w:color w:val="0563C1"/>
            <w:sz w:val="16"/>
            <w:szCs w:val="16"/>
            <w:u w:val="single"/>
          </w:rPr>
          <w:t>https://www.fieldtriptoolbox.org/</w:t>
        </w:r>
      </w:hyperlink>
    </w:p>
    <w:p>
      <w:pPr>
        <w:pStyle w:val="Normal"/>
        <w:spacing w:lineRule="auto" w:line="274" w:before="0" w:after="60"/>
        <w:ind w:hanging="227" w:left="227"/>
        <w:rPr/>
      </w:pPr>
      <w:bookmarkStart w:id="12" w:name="ref_38"/>
      <w:bookmarkEnd w:id="12"/>
      <w:r>
        <w:rPr>
          <w:sz w:val="16"/>
          <w:szCs w:val="16"/>
        </w:rPr>
        <w:t xml:space="preserve">[7] FieldTrip. Dokumentacja analizy EEG/MEG i metod czasowo-częstotliwościowych. </w:t>
      </w:r>
      <w:hyperlink r:id="rId8">
        <w:r>
          <w:rPr>
            <w:rStyle w:val="Style"/>
            <w:color w:val="0563C1"/>
            <w:sz w:val="16"/>
            <w:szCs w:val="16"/>
            <w:u w:val="single"/>
          </w:rPr>
          <w:t>https://www.fieldtriptoolbox.org/</w:t>
        </w:r>
      </w:hyperlink>
    </w:p>
    <w:p>
      <w:pPr>
        <w:pStyle w:val="Normal"/>
        <w:spacing w:lineRule="auto" w:line="274" w:before="0" w:after="60"/>
        <w:ind w:hanging="227" w:left="227"/>
        <w:rPr/>
      </w:pPr>
      <w:bookmarkStart w:id="13" w:name="ref_51"/>
      <w:bookmarkEnd w:id="13"/>
      <w:r>
        <w:rPr>
          <w:sz w:val="16"/>
          <w:szCs w:val="16"/>
        </w:rPr>
        <w:t xml:space="preserve">[8] Brainstorm. Dokumentacja i wymagania narzędzia. </w:t>
      </w:r>
      <w:hyperlink r:id="rId9">
        <w:r>
          <w:rPr>
            <w:rStyle w:val="Style"/>
            <w:color w:val="0563C1"/>
            <w:sz w:val="16"/>
            <w:szCs w:val="16"/>
            <w:u w:val="single"/>
          </w:rPr>
          <w:t>https://neuroimage.usc.edu/brainstorm/</w:t>
        </w:r>
      </w:hyperlink>
    </w:p>
    <w:p>
      <w:pPr>
        <w:pStyle w:val="Normal"/>
        <w:spacing w:lineRule="auto" w:line="274" w:before="0" w:after="60"/>
        <w:ind w:hanging="227" w:left="227"/>
        <w:rPr>
          <w:sz w:val="16"/>
          <w:szCs w:val="16"/>
        </w:rPr>
      </w:pPr>
      <w:r>
        <w:rPr>
          <w:sz w:val="16"/>
          <w:szCs w:val="16"/>
        </w:rPr>
        <w:t>[9] Brainstorm. Dokumentacja uruchamiania w trybie MATLAB i samodzielnej. https://neuroimage.usc.edu/brainstorm/</w:t>
      </w:r>
    </w:p>
    <w:p>
      <w:pPr>
        <w:pStyle w:val="Normal"/>
        <w:spacing w:lineRule="auto" w:line="274" w:before="0" w:after="60"/>
        <w:ind w:hanging="227" w:left="227"/>
        <w:rPr>
          <w:sz w:val="16"/>
          <w:szCs w:val="16"/>
        </w:rPr>
      </w:pPr>
      <w:r>
        <w:rPr>
          <w:sz w:val="16"/>
          <w:szCs w:val="16"/>
        </w:rPr>
        <w:t>[10] Psychtoolbox-3. Wymagania systemowe i zasady kompatybilności. https://psychtoolbox.org/requirements</w:t>
      </w:r>
    </w:p>
    <w:p>
      <w:pPr>
        <w:pStyle w:val="Normal"/>
        <w:spacing w:lineRule="auto" w:line="274" w:before="0" w:after="60"/>
        <w:ind w:hanging="227" w:left="227"/>
        <w:rPr/>
      </w:pPr>
      <w:bookmarkStart w:id="14" w:name="ref_59"/>
      <w:bookmarkEnd w:id="14"/>
      <w:r>
        <w:rPr>
          <w:sz w:val="16"/>
          <w:szCs w:val="16"/>
        </w:rPr>
        <w:t xml:space="preserve">[11] MathWorks. Signal Processing Toolbox: dokumentacja. </w:t>
      </w:r>
      <w:hyperlink r:id="rId10">
        <w:r>
          <w:rPr>
            <w:rStyle w:val="Style"/>
            <w:color w:val="0563C1"/>
            <w:sz w:val="16"/>
            <w:szCs w:val="16"/>
            <w:u w:val="single"/>
          </w:rPr>
          <w:t>https://www.mathworks.com/products/signal.html</w:t>
        </w:r>
      </w:hyperlink>
    </w:p>
    <w:p>
      <w:pPr>
        <w:pStyle w:val="Normal"/>
        <w:spacing w:lineRule="auto" w:line="274" w:before="0" w:after="60"/>
        <w:ind w:hanging="227" w:left="227"/>
        <w:rPr/>
      </w:pPr>
      <w:bookmarkStart w:id="15" w:name="ref_66"/>
      <w:bookmarkEnd w:id="15"/>
      <w:r>
        <w:rPr>
          <w:sz w:val="16"/>
          <w:szCs w:val="16"/>
        </w:rPr>
        <w:t xml:space="preserve">[12] MathWorks. Statistics and Machine Learning Toolbox: dokumentacja. </w:t>
      </w:r>
      <w:hyperlink r:id="rId11">
        <w:r>
          <w:rPr>
            <w:rStyle w:val="Style"/>
            <w:color w:val="0563C1"/>
            <w:sz w:val="16"/>
            <w:szCs w:val="16"/>
            <w:u w:val="single"/>
          </w:rPr>
          <w:t>https://www.mathworks.com/products/statistics.html</w:t>
        </w:r>
      </w:hyperlink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[13] EEGLAB. Filtering tutorial. https://eeglab.org/tutorials/05_Preprocess/Filtering.html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[14] EEGLAB SCCN. Makoto’s preprocessing pipeline. https://eeglab.ucsd.edu/wiki/Makoto%27s_preprocessing_pipeline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[15] FieldTrip. Time-frequency analysis tutorial. https://www.fieldtriptoolbox.org/tutorial/sensor/timefrequencyanalysis/</w:t>
      </w:r>
    </w:p>
    <w:p>
      <w:pPr>
        <w:pStyle w:val="Normal"/>
        <w:spacing w:before="0" w:after="200"/>
        <w:rPr>
          <w:sz w:val="16"/>
          <w:szCs w:val="16"/>
        </w:rPr>
      </w:pPr>
      <w:r>
        <w:rPr>
          <w:sz w:val="16"/>
          <w:szCs w:val="16"/>
        </w:rPr>
        <w:t>[16] FieldTrip. ft_freqanalysis, implementacja i opis pól. https://github.com/fieldtrip/fieldtrip/blob/master/ft_freqanalysis.m</w:t>
      </w:r>
    </w:p>
    <w:sectPr>
      <w:footerReference w:type="even" r:id="rId12"/>
      <w:footerReference w:type="default" r:id="rId13"/>
      <w:footerReference w:type="first" r:id="rId14"/>
      <w:type w:val="nextPage"/>
      <w:pgSz w:w="12240" w:h="15840"/>
      <w:pgMar w:left="1332" w:right="1219" w:gutter="0" w:header="0" w:top="675" w:footer="0" w:bottom="107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right"/>
      <w:rPr/>
    </w:pPr>
    <w:r>
      <w:rPr>
        <w:color w:val="697780"/>
        <w:sz w:val="16"/>
      </w:rPr>
      <w:t>Poradnik dydaktyczny  |  MATLAB i EEG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right"/>
      <w:rPr/>
    </w:pPr>
    <w:r>
      <w:rPr>
        <w:color w:val="697780"/>
        <w:sz w:val="16"/>
      </w:rPr>
      <w:t>Poradnik dydaktyczny  |  MATLAB i EEG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pl-PL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27313A"/>
      <w:kern w:val="0"/>
      <w:sz w:val="20"/>
      <w:szCs w:val="24"/>
      <w:lang w:val="pl-PL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b/>
      <w:color w:val="1C4D67"/>
      <w:sz w:val="3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b/>
      <w:color w:val="1C4D67"/>
      <w:sz w:val="25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Znakiprzypiswdolnych">
    <w:name w:val="Znaki przypisów dolnych"/>
    <w:qFormat/>
    <w:rPr>
      <w:vertAlign w:val="superscript"/>
    </w:rPr>
  </w:style>
  <w:style w:type="character" w:styleId="Znakiprzypiswdolnychuser">
    <w:name w:val="Znaki przypisów dolnych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ks">
    <w:name w:val="Indeks"/>
    <w:basedOn w:val="Normal"/>
    <w:qFormat/>
    <w:pPr>
      <w:suppressLineNumbers/>
    </w:pPr>
    <w:rPr>
      <w:rFonts w:cs="Noto Sans Devanagari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0" w:after="113"/>
      <w:jc w:val="both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pacing w:before="100" w:after="180"/>
    </w:pPr>
    <w:rPr>
      <w:rFonts w:ascii="Consolas" w:hAnsi="Consolas"/>
      <w:color w:val="133646"/>
      <w:sz w:val="16"/>
    </w:rPr>
  </w:style>
  <w:style w:type="paragraph" w:styleId="Zawartotabeliuser">
    <w:name w:val="Zawartość tabeli (user)"/>
    <w:basedOn w:val="Normal"/>
    <w:qFormat/>
    <w:pPr>
      <w:widowControl w:val="false"/>
      <w:suppressLineNumbers/>
    </w:pPr>
    <w:rPr/>
  </w:style>
  <w:style w:type="paragraph" w:styleId="Nagwektabeliuser">
    <w:name w:val="Nagłówek tabeli (user)"/>
    <w:basedOn w:val="Zawartotabeliuser"/>
    <w:qFormat/>
    <w:pPr>
      <w:suppressLineNumbers/>
      <w:jc w:val="center"/>
    </w:pPr>
    <w:rPr>
      <w:b/>
      <w:bCs/>
    </w:rPr>
  </w:style>
  <w:style w:type="paragraph" w:styleId="Gwkaistopka">
    <w:name w:val="Główka i stopka"/>
    <w:basedOn w:val="Normal"/>
    <w:qFormat/>
    <w:pPr/>
    <w:rPr/>
  </w:style>
  <w:style w:type="paragraph" w:styleId="Footer">
    <w:name w:val="footer"/>
    <w:basedOn w:val="Gwkaistopka"/>
    <w:pPr/>
    <w:rPr/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athworks.com/support/requirements/matlab-system-requirements.html" TargetMode="External"/><Relationship Id="rId3" Type="http://schemas.openxmlformats.org/officeDocument/2006/relationships/hyperlink" Target="https://www.mathworks.com/support/requirements/matlab-system-requirements.html" TargetMode="External"/><Relationship Id="rId4" Type="http://schemas.openxmlformats.org/officeDocument/2006/relationships/hyperlink" Target="https://www.mathworks.com/support/requirements/matlab-system-requirements.html" TargetMode="External"/><Relationship Id="rId5" Type="http://schemas.openxmlformats.org/officeDocument/2006/relationships/hyperlink" Target="https://eeglab.org/" TargetMode="External"/><Relationship Id="rId6" Type="http://schemas.openxmlformats.org/officeDocument/2006/relationships/hyperlink" Target="https://sccn.ucsd.edu/eeglab/download.php" TargetMode="External"/><Relationship Id="rId7" Type="http://schemas.openxmlformats.org/officeDocument/2006/relationships/hyperlink" Target="https://www.fieldtriptoolbox.org/" TargetMode="External"/><Relationship Id="rId8" Type="http://schemas.openxmlformats.org/officeDocument/2006/relationships/hyperlink" Target="https://www.fieldtriptoolbox.org/" TargetMode="External"/><Relationship Id="rId9" Type="http://schemas.openxmlformats.org/officeDocument/2006/relationships/hyperlink" Target="https://neuroimage.usc.edu/brainstorm/" TargetMode="External"/><Relationship Id="rId10" Type="http://schemas.openxmlformats.org/officeDocument/2006/relationships/hyperlink" Target="https://www.mathworks.com/products/signal.html" TargetMode="External"/><Relationship Id="rId11" Type="http://schemas.openxmlformats.org/officeDocument/2006/relationships/hyperlink" Target="https://www.mathworks.com/products/statistics.html" TargetMode="Externa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LibreOffice/26.2.6.3$Linux_X86_64 LibreOffice_project/620$Build-3</Application>
  <AppVersion>15.0000</AppVersion>
  <Pages>8</Pages>
  <Words>2470</Words>
  <Characters>17563</Characters>
  <CharactersWithSpaces>19914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/>
  <dc:description/>
  <dc:language>pl</dc:language>
  <cp:lastModifiedBy/>
  <dcterms:modified xsi:type="dcterms:W3CDTF">2026-10-10T23:40:22Z</dcterms:modified>
  <cp:revision>15</cp:revision>
  <dc:subject/>
  <dc:title>MATLAB w analizie sygnałów EEG. Poradnik dla studentów neuropsychologii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