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13" w:after="102"/>
        <w:contextualSpacing/>
        <w:rPr>
          <w:lang w:val="pl-PL"/>
        </w:rPr>
      </w:pPr>
      <w:r>
        <w:rPr>
          <w:lang w:val="pl-PL"/>
        </w:rPr>
        <w:t>Python i analiza EEG</w:t>
      </w:r>
    </w:p>
    <w:p>
      <w:pPr>
        <w:pStyle w:val="Normal"/>
        <w:jc w:val="both"/>
        <w:rPr>
          <w:lang w:val="pl-PL"/>
        </w:rPr>
      </w:pPr>
      <w:r>
        <w:rPr>
          <w:lang w:val="pl-PL"/>
        </w:rPr>
        <w:t>Poradnik: instalacja, import danych, przetwarzanie wstępne, ICA, ERP, PSD, analiza czasowo-częstotliwościowa, łączność, statystyka i klasyfikacja.</w:t>
      </w:r>
    </w:p>
    <w:p>
      <w:pPr>
        <w:pStyle w:val="Heading1"/>
        <w:keepNext w:val="true"/>
        <w:rPr/>
      </w:pPr>
      <w:r>
        <w:rPr/>
        <w:t>Wprowadzenie do problematyki: Python jako środowisko badań EEG</w:t>
      </w:r>
    </w:p>
    <w:p>
      <w:pPr>
        <w:pStyle w:val="Normal"/>
        <w:jc w:val="both"/>
        <w:rPr/>
      </w:pPr>
      <w:r>
        <w:rPr/>
        <w:t>Niniejszy materiał jest przeglądem możliwości i ograniczeń analizy EEG w języku Python. Przykłady poleceń pełnią funkcję ilustracyjną: pokazują związki między pojęciami, danymi i narzędziami, ale nie stanowią kompletnego protokołu laboratoryjnego. Dobór parametrów zależy od układu elektrod, celu badania, charakterystyki sygnału oraz planu analizy. Dotychczasowe zestawienia narzędzi i fragmenty kodu pozostawiono jako materiał referencyjny.</w:t>
      </w:r>
    </w:p>
    <w:p>
      <w:pPr>
        <w:pStyle w:val="Normal"/>
        <w:jc w:val="both"/>
        <w:rPr/>
      </w:pPr>
      <w:r>
        <w:rPr/>
        <w:t>Python pozwala zestawić w jednym, audytowalnym środowisku import danych z wielu urządzeń, kontrolę jakości, analizę sygnałów, statystykę i modele predykcyjne. Jego przewaga nie polega na istnieniu jednego „najlepszego” algorytmu, lecz na przejrzystych strukturach danych, integracji bibliotek i możliwości odtworzenia analizy. Podstawą ekosystemu EEG jest MNE-Python, ale dla pytań dotyczących snu, sieci funkcjonalnych lub uczenia głębokiego potrzebne mogą być osobne biblioteki [1, 5, 9, 10].</w:t>
      </w:r>
    </w:p>
    <w:p>
      <w:pPr>
        <w:pStyle w:val="Heading1"/>
        <w:keepNext w:val="true"/>
        <w:rPr>
          <w:lang w:val="pl-PL"/>
        </w:rPr>
      </w:pPr>
      <w:r>
        <w:rPr>
          <w:lang w:val="pl-PL"/>
        </w:rPr>
        <w:t>1. Cel i wymagania</w:t>
      </w:r>
    </w:p>
    <w:p>
      <w:pPr>
        <w:pStyle w:val="Normal"/>
        <w:rPr>
          <w:lang w:val="pl-PL"/>
        </w:rPr>
      </w:pPr>
      <w:r>
        <w:rPr>
          <w:lang w:val="pl-PL"/>
        </w:rPr>
        <w:t>Celem jest nauczenie studentów wykonywania powtarzalnej analizy EEG i krytycznej oceny jej wyników. Wiodącą biblioteką jest MNE-Python. Dodatkowe pakiety należy instalować tylko w razie potrzeby.</w:t>
      </w:r>
    </w:p>
    <w:p>
      <w:pPr>
        <w:pStyle w:val="ListBullet"/>
        <w:numPr>
          <w:ilvl w:val="0"/>
          <w:numId w:val="1"/>
        </w:numPr>
        <w:rPr>
          <w:sz w:val="20"/>
          <w:szCs w:val="20"/>
        </w:rPr>
      </w:pPr>
      <w:r>
        <w:rPr>
          <w:b/>
          <w:bCs/>
          <w:sz w:val="20"/>
          <w:szCs w:val="20"/>
          <w:lang w:val="pl-PL"/>
        </w:rPr>
        <w:t>Python</w:t>
      </w:r>
      <w:r>
        <w:rPr>
          <w:sz w:val="20"/>
          <w:szCs w:val="20"/>
          <w:lang w:val="pl-PL"/>
        </w:rPr>
        <w:t>: dla współczesnego MNE zalecany Python 3.11 lub nowszy; przed instalacją należy sprawdzić wymagania konkretnej wersji pakietu [1].</w:t>
      </w:r>
    </w:p>
    <w:p>
      <w:pPr>
        <w:pStyle w:val="ListBullet"/>
        <w:numPr>
          <w:ilvl w:val="0"/>
          <w:numId w:val="1"/>
        </w:numPr>
        <w:rPr>
          <w:sz w:val="20"/>
          <w:szCs w:val="20"/>
        </w:rPr>
      </w:pPr>
      <w:r>
        <w:rPr>
          <w:b/>
          <w:bCs/>
          <w:sz w:val="20"/>
          <w:szCs w:val="20"/>
          <w:lang w:val="pl-PL"/>
        </w:rPr>
        <w:t>System operacyjny</w:t>
      </w:r>
      <w:r>
        <w:rPr>
          <w:sz w:val="20"/>
          <w:szCs w:val="20"/>
          <w:lang w:val="pl-PL"/>
        </w:rPr>
        <w:t>: aktualny Windows, Linux lub macOS. Zalecane co najmniej 16 GB RAM, szybki dysk SSD i zapas przestrzeni na dane oraz ich kopie. To zalecenia dydaktyczne, nie gwarantowane minima producenta.</w:t>
      </w:r>
    </w:p>
    <w:p>
      <w:pPr>
        <w:pStyle w:val="ListBullet"/>
        <w:numPr>
          <w:ilvl w:val="0"/>
          <w:numId w:val="1"/>
        </w:numPr>
        <w:rPr>
          <w:sz w:val="20"/>
          <w:szCs w:val="20"/>
        </w:rPr>
      </w:pPr>
      <w:r>
        <w:rPr>
          <w:b/>
          <w:bCs/>
          <w:sz w:val="20"/>
          <w:szCs w:val="20"/>
          <w:lang w:val="pl-PL"/>
        </w:rPr>
        <w:t>Środowisko</w:t>
      </w:r>
      <w:r>
        <w:rPr>
          <w:sz w:val="20"/>
          <w:szCs w:val="20"/>
          <w:lang w:val="pl-PL"/>
        </w:rPr>
        <w:t>: Miniforge/conda-forge albo venv i pip. Dla uczelni należy rozważyć warunki licencyjne dystrybucji Anaconda [1].</w:t>
      </w:r>
    </w:p>
    <w:p>
      <w:pPr>
        <w:pStyle w:val="ListBullet"/>
        <w:numPr>
          <w:ilvl w:val="0"/>
          <w:numId w:val="1"/>
        </w:numPr>
        <w:rPr>
          <w:sz w:val="20"/>
          <w:szCs w:val="20"/>
        </w:rPr>
      </w:pPr>
      <w:r>
        <w:rPr>
          <w:b/>
          <w:bCs/>
          <w:sz w:val="20"/>
          <w:szCs w:val="20"/>
          <w:lang w:val="pl-PL"/>
        </w:rPr>
        <w:t>Edytor</w:t>
      </w:r>
      <w:r>
        <w:rPr>
          <w:sz w:val="20"/>
          <w:szCs w:val="20"/>
          <w:lang w:val="pl-PL"/>
        </w:rPr>
        <w:t>: JupyterLab lub Visual Studio Code. Każde ćwiczenie powinno zawierać dane, kod, wersje pakietów oraz zapis wyników.</w:t>
      </w:r>
    </w:p>
    <w:p>
      <w:pPr>
        <w:pStyle w:val="Heading1"/>
        <w:keepNext w:val="true"/>
        <w:rPr>
          <w:lang w:val="pl-PL"/>
        </w:rPr>
      </w:pPr>
      <w:r>
        <w:rPr>
          <w:lang w:val="pl-PL"/>
        </w:rPr>
        <w:t>2. Instalacja i kontrola środowiska</w:t>
      </w:r>
    </w:p>
    <w:p>
      <w:pPr>
        <w:pStyle w:val="Normal"/>
        <w:rPr>
          <w:lang w:val="pl-PL"/>
        </w:rPr>
      </w:pPr>
      <w:r>
        <w:rPr>
          <w:lang w:val="pl-PL"/>
        </w:rPr>
        <w:t>Poniższe polecenia wykonuj w terminalu systemowym, a nie w interpreterze Python.</w:t>
      </w:r>
    </w:p>
    <w:p>
      <w:pPr>
        <w:pStyle w:val="Normal"/>
        <w:shd w:val="clear" w:fill="ECF3F6"/>
        <w:spacing w:before="100" w:after="160"/>
        <w:ind w:start="173" w:end="115"/>
        <w:rPr>
          <w:rFonts w:ascii="Consolas" w:hAnsi="Consolas"/>
          <w:sz w:val="18"/>
          <w:szCs w:val="18"/>
        </w:rPr>
      </w:pPr>
      <w:r>
        <w:rPr>
          <w:rFonts w:ascii="Consolas" w:hAnsi="Consolas"/>
          <w:color w:val="113140"/>
          <w:sz w:val="18"/>
          <w:szCs w:val="18"/>
          <w:lang w:val="pl-PL"/>
        </w:rPr>
        <w:t>conda create -n eeg-lab -c conda-forge python=3.11 mne numpy scipy pandas matplotlib scikit-learn jupyterlab</w:t>
      </w:r>
      <w:r>
        <w:rPr>
          <w:rFonts w:ascii="Consolas" w:hAnsi="Consolas"/>
          <w:sz w:val="18"/>
          <w:szCs w:val="18"/>
          <w:lang w:val="pl-PL"/>
        </w:rPr>
        <w:br/>
      </w:r>
      <w:r>
        <w:rPr>
          <w:rFonts w:ascii="Consolas" w:hAnsi="Consolas"/>
          <w:color w:val="113140"/>
          <w:sz w:val="18"/>
          <w:szCs w:val="18"/>
          <w:lang w:val="pl-PL"/>
        </w:rPr>
        <w:t>conda activate eeg-lab</w:t>
      </w:r>
      <w:r>
        <w:rPr>
          <w:rFonts w:ascii="Consolas" w:hAnsi="Consolas"/>
          <w:sz w:val="18"/>
          <w:szCs w:val="18"/>
          <w:lang w:val="pl-PL"/>
        </w:rPr>
        <w:br/>
      </w:r>
      <w:r>
        <w:rPr>
          <w:rFonts w:ascii="Consolas" w:hAnsi="Consolas"/>
          <w:color w:val="113140"/>
          <w:sz w:val="18"/>
          <w:szCs w:val="18"/>
          <w:lang w:val="pl-PL"/>
        </w:rPr>
        <w:t>python -m pip install mne-bids mne-connectivity autoreject pyedflib neurokit2</w:t>
      </w:r>
      <w:r>
        <w:rPr>
          <w:rFonts w:ascii="Consolas" w:hAnsi="Consolas"/>
          <w:sz w:val="18"/>
          <w:szCs w:val="18"/>
          <w:lang w:val="pl-PL"/>
        </w:rPr>
        <w:br/>
      </w:r>
      <w:r>
        <w:rPr>
          <w:rFonts w:ascii="Consolas" w:hAnsi="Consolas"/>
          <w:color w:val="113140"/>
          <w:sz w:val="18"/>
          <w:szCs w:val="18"/>
          <w:lang w:val="pl-PL"/>
        </w:rPr>
        <w:t>python -m pip check</w:t>
      </w:r>
    </w:p>
    <w:p>
      <w:pPr>
        <w:pStyle w:val="Normal"/>
        <w:jc w:val="both"/>
        <w:rPr>
          <w:lang w:val="pl-PL"/>
        </w:rPr>
      </w:pPr>
      <w:r>
        <w:rPr>
          <w:lang w:val="pl-PL"/>
        </w:rPr>
        <w:t>w środowisku opartym tylko na venv można użyć poleceń `python -m venv .venv`, aktywować środowisko i zainstalować analogiczne pakiety przez pip. Po instalacji zapisz listę zależności:</w:t>
      </w:r>
    </w:p>
    <w:p>
      <w:pPr>
        <w:pStyle w:val="Normal"/>
        <w:shd w:val="clear" w:fill="ECF3F6"/>
        <w:spacing w:before="100" w:after="160"/>
        <w:ind w:start="173" w:end="115"/>
        <w:rPr>
          <w:sz w:val="18"/>
          <w:szCs w:val="18"/>
        </w:rPr>
      </w:pPr>
      <w:r>
        <w:rPr>
          <w:rFonts w:ascii="Consolas" w:hAnsi="Consolas"/>
          <w:color w:val="113140"/>
          <w:sz w:val="18"/>
          <w:szCs w:val="18"/>
          <w:lang w:val="pl-PL"/>
        </w:rPr>
        <w:t>python -m pip freeze &gt; requirements-lock.txt</w:t>
      </w:r>
    </w:p>
    <w:p>
      <w:pPr>
        <w:pStyle w:val="Normal"/>
        <w:rPr>
          <w:lang w:val="pl-PL"/>
        </w:rPr>
      </w:pPr>
      <w:r>
        <w:rPr>
          <w:lang w:val="pl-PL"/>
        </w:rPr>
        <w:t>Test uruchomienia (kod Python):</w:t>
      </w:r>
    </w:p>
    <w:p>
      <w:pPr>
        <w:pStyle w:val="Normal"/>
        <w:shd w:val="clear" w:fill="ECF3F6"/>
        <w:spacing w:before="100" w:after="160"/>
        <w:ind w:start="173" w:end="115"/>
        <w:rPr>
          <w:rFonts w:ascii="Consolas" w:hAnsi="Consolas"/>
          <w:sz w:val="18"/>
          <w:szCs w:val="18"/>
        </w:rPr>
      </w:pPr>
      <w:r>
        <w:rPr>
          <w:rFonts w:ascii="Consolas" w:hAnsi="Consolas"/>
          <w:color w:val="113140"/>
          <w:sz w:val="18"/>
          <w:szCs w:val="18"/>
          <w:lang w:val="pl-PL"/>
        </w:rPr>
        <w:t>import mne, numpy as np</w:t>
      </w:r>
      <w:r>
        <w:rPr>
          <w:rFonts w:ascii="Consolas" w:hAnsi="Consolas"/>
          <w:sz w:val="18"/>
          <w:szCs w:val="18"/>
          <w:lang w:val="pl-PL"/>
        </w:rPr>
        <w:br/>
      </w:r>
      <w:r>
        <w:rPr>
          <w:rFonts w:ascii="Consolas" w:hAnsi="Consolas"/>
          <w:color w:val="113140"/>
          <w:sz w:val="18"/>
          <w:szCs w:val="18"/>
          <w:lang w:val="pl-PL"/>
        </w:rPr>
        <w:t>print("MNE:", mne.__version__)</w:t>
      </w:r>
      <w:r>
        <w:rPr>
          <w:rFonts w:ascii="Consolas" w:hAnsi="Consolas"/>
          <w:sz w:val="18"/>
          <w:szCs w:val="18"/>
          <w:lang w:val="pl-PL"/>
        </w:rPr>
        <w:br/>
      </w:r>
      <w:r>
        <w:rPr>
          <w:rFonts w:ascii="Consolas" w:hAnsi="Consolas"/>
          <w:color w:val="113140"/>
          <w:sz w:val="18"/>
          <w:szCs w:val="18"/>
          <w:lang w:val="pl-PL"/>
        </w:rPr>
        <w:t>print("NumPy:", np.__version__)</w:t>
      </w:r>
    </w:p>
    <w:p>
      <w:pPr>
        <w:pStyle w:val="Heading1"/>
        <w:keepNext w:val="true"/>
        <w:rPr>
          <w:lang w:val="pl-PL"/>
        </w:rPr>
      </w:pPr>
      <w:r>
        <w:rPr>
          <w:lang w:val="pl-PL"/>
        </w:rPr>
        <w:t>3. Najważniejsze biblioteki</w:t>
      </w:r>
    </w:p>
    <w:tbl>
      <w:tblPr>
        <w:tblStyle w:val="LightShading-Accent1"/>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720"/>
        <w:gridCol w:w="3904"/>
        <w:gridCol w:w="3312"/>
      </w:tblGrid>
      <w:tr>
        <w:trPr/>
        <w:tc>
          <w:tcPr>
            <w:tcW w:w="2720" w:type="dxa"/>
            <w:tcBorders/>
          </w:tcPr>
          <w:p>
            <w:pPr>
              <w:pStyle w:val="Normal"/>
              <w:widowControl/>
              <w:suppressAutoHyphens w:val="true"/>
              <w:spacing w:lineRule="auto" w:line="240" w:before="0" w:after="0"/>
              <w:jc w:val="start"/>
              <w:rPr>
                <w:b/>
                <w:bCs/>
              </w:rPr>
            </w:pPr>
            <w:r>
              <w:rPr>
                <w:rFonts w:eastAsia="ＭＳ 明朝" w:cs=""/>
                <w:b/>
                <w:bCs/>
                <w:color w:themeColor="accent1" w:themeShade="bf" w:val="365F91"/>
                <w:kern w:val="0"/>
                <w:sz w:val="16"/>
                <w:szCs w:val="22"/>
                <w:lang w:val="pl-PL" w:eastAsia="en-US" w:bidi="ar-SA"/>
              </w:rPr>
              <w:t>Pakiet</w:t>
            </w:r>
          </w:p>
        </w:tc>
        <w:tc>
          <w:tcPr>
            <w:tcW w:w="3904" w:type="dxa"/>
            <w:tcBorders/>
          </w:tcPr>
          <w:p>
            <w:pPr>
              <w:pStyle w:val="Normal"/>
              <w:widowControl/>
              <w:suppressAutoHyphens w:val="true"/>
              <w:spacing w:lineRule="auto" w:line="240" w:before="0" w:after="0"/>
              <w:jc w:val="start"/>
              <w:rPr>
                <w:b/>
                <w:bCs/>
              </w:rPr>
            </w:pPr>
            <w:r>
              <w:rPr>
                <w:rFonts w:eastAsia="ＭＳ 明朝" w:cs=""/>
                <w:b/>
                <w:bCs/>
                <w:color w:themeColor="accent1" w:themeShade="bf" w:val="365F91"/>
                <w:kern w:val="0"/>
                <w:sz w:val="16"/>
                <w:szCs w:val="22"/>
                <w:lang w:val="pl-PL" w:eastAsia="en-US" w:bidi="ar-SA"/>
              </w:rPr>
              <w:t>Zastosowanie</w:t>
            </w:r>
          </w:p>
        </w:tc>
        <w:tc>
          <w:tcPr>
            <w:tcW w:w="3312" w:type="dxa"/>
            <w:tcBorders/>
          </w:tcPr>
          <w:p>
            <w:pPr>
              <w:pStyle w:val="Normal"/>
              <w:widowControl/>
              <w:suppressAutoHyphens w:val="true"/>
              <w:spacing w:lineRule="auto" w:line="240" w:before="0" w:after="0"/>
              <w:jc w:val="start"/>
              <w:rPr>
                <w:b/>
                <w:bCs/>
              </w:rPr>
            </w:pPr>
            <w:r>
              <w:rPr>
                <w:rFonts w:eastAsia="ＭＳ 明朝" w:cs=""/>
                <w:b/>
                <w:bCs/>
                <w:color w:themeColor="accent1" w:themeShade="bf" w:val="365F91"/>
                <w:kern w:val="0"/>
                <w:sz w:val="16"/>
                <w:szCs w:val="22"/>
                <w:lang w:val="pl-PL" w:eastAsia="en-US" w:bidi="ar-SA"/>
              </w:rPr>
              <w:t>Uwagi</w:t>
            </w:r>
          </w:p>
        </w:tc>
      </w:tr>
      <w:tr>
        <w:trPr/>
        <w:tc>
          <w:tcPr>
            <w:tcW w:w="2720"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b/>
                <w:bCs/>
              </w:rPr>
            </w:pPr>
            <w:r>
              <w:rPr>
                <w:rFonts w:eastAsia="ＭＳ 明朝" w:cs=""/>
                <w:b/>
                <w:bCs/>
                <w:color w:themeColor="accent1" w:themeShade="bf" w:val="365F91"/>
                <w:kern w:val="0"/>
                <w:sz w:val="16"/>
                <w:szCs w:val="22"/>
                <w:lang w:val="pl-PL" w:eastAsia="en-US" w:bidi="ar-SA"/>
              </w:rPr>
              <w:t>MNE-Python</w:t>
            </w:r>
          </w:p>
        </w:tc>
        <w:tc>
          <w:tcPr>
            <w:tcW w:w="3904"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Surowe EEG, epoki, ERP, PSD, TFR, ICA, statystyka</w:t>
            </w:r>
          </w:p>
        </w:tc>
        <w:tc>
          <w:tcPr>
            <w:tcW w:w="3312"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Podstawowe narzędzie [1,2]</w:t>
            </w:r>
          </w:p>
        </w:tc>
      </w:tr>
      <w:tr>
        <w:trPr/>
        <w:tc>
          <w:tcPr>
            <w:tcW w:w="2720" w:type="dxa"/>
            <w:tcBorders>
              <w:top w:val="nil"/>
              <w:bottom w:val="nil"/>
            </w:tcBorders>
            <w:vAlign w:val="center"/>
          </w:tcPr>
          <w:p>
            <w:pPr>
              <w:pStyle w:val="Normal"/>
              <w:widowControl/>
              <w:suppressAutoHyphens w:val="true"/>
              <w:spacing w:lineRule="auto" w:line="240" w:before="0" w:after="0"/>
              <w:jc w:val="start"/>
              <w:rPr>
                <w:b/>
                <w:bCs/>
              </w:rPr>
            </w:pPr>
            <w:r>
              <w:rPr>
                <w:rFonts w:eastAsia="ＭＳ 明朝" w:cs=""/>
                <w:b/>
                <w:bCs/>
                <w:color w:themeColor="accent1" w:themeShade="bf" w:val="365F91"/>
                <w:kern w:val="0"/>
                <w:sz w:val="16"/>
                <w:szCs w:val="22"/>
                <w:lang w:val="pl-PL" w:eastAsia="en-US" w:bidi="ar-SA"/>
              </w:rPr>
              <w:t>MNE-BIDS</w:t>
            </w:r>
          </w:p>
        </w:tc>
        <w:tc>
          <w:tcPr>
            <w:tcW w:w="3904" w:type="dxa"/>
            <w:tcBorders>
              <w:top w:val="nil"/>
              <w:bottom w:val="nil"/>
            </w:tcBorders>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Import i eksport danych w strukturze BIDS</w:t>
            </w:r>
          </w:p>
        </w:tc>
        <w:tc>
          <w:tcPr>
            <w:tcW w:w="3312" w:type="dxa"/>
            <w:tcBorders>
              <w:top w:val="nil"/>
              <w:bottom w:val="nil"/>
            </w:tcBorders>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Wymaga prawidłowych metadanych [3]</w:t>
            </w:r>
          </w:p>
        </w:tc>
      </w:tr>
      <w:tr>
        <w:trPr/>
        <w:tc>
          <w:tcPr>
            <w:tcW w:w="2720"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b/>
                <w:bCs/>
              </w:rPr>
            </w:pPr>
            <w:r>
              <w:rPr>
                <w:rFonts w:eastAsia="ＭＳ 明朝" w:cs=""/>
                <w:b/>
                <w:bCs/>
                <w:color w:themeColor="accent1" w:themeShade="bf" w:val="365F91"/>
                <w:kern w:val="0"/>
                <w:sz w:val="16"/>
                <w:szCs w:val="22"/>
                <w:lang w:val="pl-PL" w:eastAsia="en-US" w:bidi="ar-SA"/>
              </w:rPr>
              <w:t>MNE-BIDS-Pipeline</w:t>
            </w:r>
          </w:p>
        </w:tc>
        <w:tc>
          <w:tcPr>
            <w:tcW w:w="3904"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Automatyzacja przetwarzania BIDS</w:t>
            </w:r>
          </w:p>
        </w:tc>
        <w:tc>
          <w:tcPr>
            <w:tcW w:w="3312"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Osobna instalacja i konfiguracja .py [4]</w:t>
            </w:r>
          </w:p>
        </w:tc>
      </w:tr>
      <w:tr>
        <w:trPr/>
        <w:tc>
          <w:tcPr>
            <w:tcW w:w="2720" w:type="dxa"/>
            <w:tcBorders>
              <w:top w:val="nil"/>
              <w:bottom w:val="nil"/>
            </w:tcBorders>
            <w:vAlign w:val="center"/>
          </w:tcPr>
          <w:p>
            <w:pPr>
              <w:pStyle w:val="Normal"/>
              <w:widowControl/>
              <w:suppressAutoHyphens w:val="true"/>
              <w:spacing w:lineRule="auto" w:line="240" w:before="0" w:after="0"/>
              <w:jc w:val="start"/>
              <w:rPr>
                <w:b/>
                <w:bCs/>
              </w:rPr>
            </w:pPr>
            <w:r>
              <w:rPr>
                <w:rFonts w:eastAsia="ＭＳ 明朝" w:cs=""/>
                <w:b/>
                <w:bCs/>
                <w:color w:themeColor="accent1" w:themeShade="bf" w:val="365F91"/>
                <w:kern w:val="0"/>
                <w:sz w:val="16"/>
                <w:szCs w:val="22"/>
                <w:lang w:val="pl-PL" w:eastAsia="en-US" w:bidi="ar-SA"/>
              </w:rPr>
              <w:t>MNE-Connectivity</w:t>
            </w:r>
          </w:p>
        </w:tc>
        <w:tc>
          <w:tcPr>
            <w:tcW w:w="3904" w:type="dxa"/>
            <w:tcBorders>
              <w:top w:val="nil"/>
              <w:bottom w:val="nil"/>
            </w:tcBorders>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Koherencja, PLV, wPLi i inne miary</w:t>
            </w:r>
          </w:p>
        </w:tc>
        <w:tc>
          <w:tcPr>
            <w:tcW w:w="3312" w:type="dxa"/>
            <w:tcBorders>
              <w:top w:val="nil"/>
              <w:bottom w:val="nil"/>
            </w:tcBorders>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Odrębny pakiet, nie mne.connectivity [5]</w:t>
            </w:r>
          </w:p>
        </w:tc>
      </w:tr>
      <w:tr>
        <w:trPr/>
        <w:tc>
          <w:tcPr>
            <w:tcW w:w="2720"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b/>
                <w:bCs/>
              </w:rPr>
            </w:pPr>
            <w:r>
              <w:rPr>
                <w:rFonts w:eastAsia="ＭＳ 明朝" w:cs=""/>
                <w:b/>
                <w:bCs/>
                <w:color w:themeColor="accent1" w:themeShade="bf" w:val="365F91"/>
                <w:kern w:val="0"/>
                <w:sz w:val="16"/>
                <w:szCs w:val="22"/>
                <w:lang w:val="pl-PL" w:eastAsia="en-US" w:bidi="ar-SA"/>
              </w:rPr>
              <w:t>autoreject</w:t>
            </w:r>
          </w:p>
        </w:tc>
        <w:tc>
          <w:tcPr>
            <w:tcW w:w="3904"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Adaptacyjne odrzucanie/naprawa epok</w:t>
            </w:r>
          </w:p>
        </w:tc>
        <w:tc>
          <w:tcPr>
            <w:tcW w:w="3312"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Wymaga kontroli jakości [6]</w:t>
            </w:r>
          </w:p>
        </w:tc>
      </w:tr>
      <w:tr>
        <w:trPr/>
        <w:tc>
          <w:tcPr>
            <w:tcW w:w="2720" w:type="dxa"/>
            <w:tcBorders>
              <w:top w:val="nil"/>
              <w:bottom w:val="nil"/>
            </w:tcBorders>
            <w:vAlign w:val="center"/>
          </w:tcPr>
          <w:p>
            <w:pPr>
              <w:pStyle w:val="Normal"/>
              <w:widowControl/>
              <w:suppressAutoHyphens w:val="true"/>
              <w:spacing w:lineRule="auto" w:line="240" w:before="0" w:after="0"/>
              <w:jc w:val="start"/>
              <w:rPr>
                <w:b/>
                <w:bCs/>
              </w:rPr>
            </w:pPr>
            <w:r>
              <w:rPr>
                <w:rFonts w:eastAsia="ＭＳ 明朝" w:cs=""/>
                <w:b/>
                <w:bCs/>
                <w:color w:themeColor="accent1" w:themeShade="bf" w:val="365F91"/>
                <w:kern w:val="0"/>
                <w:sz w:val="16"/>
                <w:szCs w:val="22"/>
                <w:lang w:val="pl-PL" w:eastAsia="en-US" w:bidi="ar-SA"/>
              </w:rPr>
              <w:t>pyEDFlib</w:t>
            </w:r>
          </w:p>
        </w:tc>
        <w:tc>
          <w:tcPr>
            <w:tcW w:w="3904" w:type="dxa"/>
            <w:tcBorders>
              <w:top w:val="nil"/>
              <w:bottom w:val="nil"/>
            </w:tcBorders>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Niskopoziomowe czytanie/zapis EDF/BDF</w:t>
            </w:r>
          </w:p>
        </w:tc>
        <w:tc>
          <w:tcPr>
            <w:tcW w:w="3312" w:type="dxa"/>
            <w:tcBorders>
              <w:top w:val="nil"/>
              <w:bottom w:val="nil"/>
            </w:tcBorders>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Nie zastępuje analiz MNE [7]</w:t>
            </w:r>
          </w:p>
        </w:tc>
      </w:tr>
      <w:tr>
        <w:trPr/>
        <w:tc>
          <w:tcPr>
            <w:tcW w:w="2720"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b/>
                <w:bCs/>
              </w:rPr>
            </w:pPr>
            <w:r>
              <w:rPr>
                <w:rFonts w:eastAsia="ＭＳ 明朝" w:cs=""/>
                <w:b/>
                <w:bCs/>
                <w:color w:themeColor="accent1" w:themeShade="bf" w:val="365F91"/>
                <w:kern w:val="0"/>
                <w:sz w:val="16"/>
                <w:szCs w:val="22"/>
                <w:lang w:val="pl-PL" w:eastAsia="en-US" w:bidi="ar-SA"/>
              </w:rPr>
              <w:t>NeuroKit2</w:t>
            </w:r>
          </w:p>
        </w:tc>
        <w:tc>
          <w:tcPr>
            <w:tcW w:w="3904"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Sygnały fizjologiczne, dodatkowe analizy EEG</w:t>
            </w:r>
          </w:p>
        </w:tc>
        <w:tc>
          <w:tcPr>
            <w:tcW w:w="3312"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APi zależne od wersji [8]</w:t>
            </w:r>
          </w:p>
        </w:tc>
      </w:tr>
      <w:tr>
        <w:trPr/>
        <w:tc>
          <w:tcPr>
            <w:tcW w:w="2720" w:type="dxa"/>
            <w:tcBorders>
              <w:top w:val="nil"/>
              <w:bottom w:val="nil"/>
            </w:tcBorders>
            <w:vAlign w:val="center"/>
          </w:tcPr>
          <w:p>
            <w:pPr>
              <w:pStyle w:val="Normal"/>
              <w:widowControl/>
              <w:suppressAutoHyphens w:val="true"/>
              <w:spacing w:lineRule="auto" w:line="240" w:before="0" w:after="0"/>
              <w:jc w:val="start"/>
              <w:rPr>
                <w:b/>
                <w:bCs/>
              </w:rPr>
            </w:pPr>
            <w:r>
              <w:rPr>
                <w:rFonts w:eastAsia="ＭＳ 明朝" w:cs=""/>
                <w:b/>
                <w:bCs/>
                <w:color w:themeColor="accent1" w:themeShade="bf" w:val="365F91"/>
                <w:kern w:val="0"/>
                <w:sz w:val="16"/>
                <w:szCs w:val="22"/>
                <w:lang w:val="pl-PL" w:eastAsia="en-US" w:bidi="ar-SA"/>
              </w:rPr>
              <w:t>YASA</w:t>
            </w:r>
          </w:p>
        </w:tc>
        <w:tc>
          <w:tcPr>
            <w:tcW w:w="3904" w:type="dxa"/>
            <w:tcBorders>
              <w:top w:val="nil"/>
              <w:bottom w:val="nil"/>
            </w:tcBorders>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Analiza EEG snu, wrzeciona, stadia snu</w:t>
            </w:r>
          </w:p>
        </w:tc>
        <w:tc>
          <w:tcPr>
            <w:tcW w:w="3312" w:type="dxa"/>
            <w:tcBorders>
              <w:top w:val="nil"/>
              <w:bottom w:val="nil"/>
            </w:tcBorders>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Nie jest podstawowym pakietem ERP [9]</w:t>
            </w:r>
          </w:p>
        </w:tc>
      </w:tr>
      <w:tr>
        <w:trPr/>
        <w:tc>
          <w:tcPr>
            <w:tcW w:w="2720"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b/>
                <w:bCs/>
              </w:rPr>
            </w:pPr>
            <w:r>
              <w:rPr>
                <w:rFonts w:eastAsia="ＭＳ 明朝" w:cs=""/>
                <w:b/>
                <w:bCs/>
                <w:color w:themeColor="accent1" w:themeShade="bf" w:val="365F91"/>
                <w:kern w:val="0"/>
                <w:sz w:val="16"/>
                <w:szCs w:val="22"/>
                <w:lang w:val="pl-PL" w:eastAsia="en-US" w:bidi="ar-SA"/>
              </w:rPr>
              <w:t>Braindecode</w:t>
            </w:r>
          </w:p>
        </w:tc>
        <w:tc>
          <w:tcPr>
            <w:tcW w:w="3904"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Uczenie głębokie na EEG</w:t>
            </w:r>
          </w:p>
        </w:tc>
        <w:tc>
          <w:tcPr>
            <w:tcW w:w="3312"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Wymaga właściwego podziału danych [10]</w:t>
            </w:r>
          </w:p>
        </w:tc>
      </w:tr>
      <w:tr>
        <w:trPr/>
        <w:tc>
          <w:tcPr>
            <w:tcW w:w="2720" w:type="dxa"/>
            <w:tcBorders>
              <w:top w:val="nil"/>
              <w:bottom w:val="nil"/>
            </w:tcBorders>
            <w:vAlign w:val="center"/>
          </w:tcPr>
          <w:p>
            <w:pPr>
              <w:pStyle w:val="Normal"/>
              <w:widowControl/>
              <w:suppressAutoHyphens w:val="true"/>
              <w:spacing w:lineRule="auto" w:line="240" w:before="0" w:after="0"/>
              <w:jc w:val="start"/>
              <w:rPr>
                <w:b/>
                <w:bCs/>
              </w:rPr>
            </w:pPr>
            <w:r>
              <w:rPr>
                <w:rFonts w:eastAsia="ＭＳ 明朝" w:cs=""/>
                <w:b/>
                <w:bCs/>
                <w:color w:themeColor="accent1" w:themeShade="bf" w:val="365F91"/>
                <w:kern w:val="0"/>
                <w:sz w:val="16"/>
                <w:szCs w:val="22"/>
                <w:lang w:val="pl-PL" w:eastAsia="en-US" w:bidi="ar-SA"/>
              </w:rPr>
              <w:t>NumPy, SciPy, pandas</w:t>
            </w:r>
          </w:p>
        </w:tc>
        <w:tc>
          <w:tcPr>
            <w:tcW w:w="3904" w:type="dxa"/>
            <w:tcBorders>
              <w:top w:val="nil"/>
              <w:bottom w:val="nil"/>
            </w:tcBorders>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Obliczenia i zestawienia tabelaryczne</w:t>
            </w:r>
          </w:p>
        </w:tc>
        <w:tc>
          <w:tcPr>
            <w:tcW w:w="3312" w:type="dxa"/>
            <w:tcBorders>
              <w:top w:val="nil"/>
              <w:bottom w:val="nil"/>
            </w:tcBorders>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Zależności naukowe</w:t>
            </w:r>
          </w:p>
        </w:tc>
      </w:tr>
      <w:tr>
        <w:trPr/>
        <w:tc>
          <w:tcPr>
            <w:tcW w:w="2720"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b/>
                <w:bCs/>
              </w:rPr>
            </w:pPr>
            <w:r>
              <w:rPr>
                <w:rFonts w:eastAsia="ＭＳ 明朝" w:cs=""/>
                <w:b/>
                <w:bCs/>
                <w:color w:themeColor="accent1" w:themeShade="bf" w:val="365F91"/>
                <w:kern w:val="0"/>
                <w:sz w:val="16"/>
                <w:szCs w:val="22"/>
                <w:lang w:val="pl-PL" w:eastAsia="en-US" w:bidi="ar-SA"/>
              </w:rPr>
              <w:t>Matplotlib, seaborn, Plotly</w:t>
            </w:r>
          </w:p>
        </w:tc>
        <w:tc>
          <w:tcPr>
            <w:tcW w:w="3904"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Wykresy statyczne i interaktywne</w:t>
            </w:r>
          </w:p>
        </w:tc>
        <w:tc>
          <w:tcPr>
            <w:tcW w:w="3312" w:type="dxa"/>
            <w:tcBorders>
              <w:top w:val="nil"/>
              <w:bottom w:val="nil"/>
            </w:tcBorders>
            <w:shd w:color="auto" w:fill="D3DFEE" w:themeFill="accent1" w:themeFillTint="3f" w:val="clear"/>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Nie zastępują kontroli jednostek</w:t>
            </w:r>
          </w:p>
        </w:tc>
      </w:tr>
      <w:tr>
        <w:trPr/>
        <w:tc>
          <w:tcPr>
            <w:tcW w:w="2720" w:type="dxa"/>
            <w:tcBorders>
              <w:top w:val="nil"/>
              <w:bottom w:val="nil"/>
            </w:tcBorders>
            <w:vAlign w:val="center"/>
          </w:tcPr>
          <w:p>
            <w:pPr>
              <w:pStyle w:val="Normal"/>
              <w:widowControl/>
              <w:suppressAutoHyphens w:val="true"/>
              <w:spacing w:lineRule="auto" w:line="240" w:before="0" w:after="0"/>
              <w:jc w:val="start"/>
              <w:rPr>
                <w:b/>
                <w:bCs/>
              </w:rPr>
            </w:pPr>
            <w:r>
              <w:rPr>
                <w:rFonts w:eastAsia="ＭＳ 明朝" w:cs=""/>
                <w:b/>
                <w:bCs/>
                <w:color w:themeColor="accent1" w:themeShade="bf" w:val="365F91"/>
                <w:kern w:val="0"/>
                <w:sz w:val="16"/>
                <w:szCs w:val="22"/>
                <w:lang w:val="pl-PL" w:eastAsia="en-US" w:bidi="ar-SA"/>
              </w:rPr>
              <w:t>scikit-learn, joblib</w:t>
            </w:r>
          </w:p>
        </w:tc>
        <w:tc>
          <w:tcPr>
            <w:tcW w:w="3904" w:type="dxa"/>
            <w:tcBorders>
              <w:top w:val="nil"/>
              <w:bottom w:val="nil"/>
            </w:tcBorders>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Uczenie maszynowe i równoległość</w:t>
            </w:r>
          </w:p>
        </w:tc>
        <w:tc>
          <w:tcPr>
            <w:tcW w:w="3312" w:type="dxa"/>
            <w:tcBorders>
              <w:top w:val="nil"/>
              <w:bottom w:val="nil"/>
            </w:tcBorders>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Ważna walidacja grupowa</w:t>
            </w:r>
          </w:p>
        </w:tc>
      </w:tr>
      <w:tr>
        <w:trPr/>
        <w:tc>
          <w:tcPr>
            <w:tcW w:w="2720" w:type="dxa"/>
            <w:tcBorders>
              <w:top w:val="nil"/>
            </w:tcBorders>
            <w:shd w:color="auto" w:fill="D3DFEE" w:themeFill="accent1" w:themeFillTint="3f" w:val="clear"/>
            <w:vAlign w:val="center"/>
          </w:tcPr>
          <w:p>
            <w:pPr>
              <w:pStyle w:val="Normal"/>
              <w:widowControl/>
              <w:suppressAutoHyphens w:val="true"/>
              <w:spacing w:lineRule="auto" w:line="240" w:before="0" w:after="0"/>
              <w:jc w:val="start"/>
              <w:rPr>
                <w:b/>
                <w:bCs/>
              </w:rPr>
            </w:pPr>
            <w:r>
              <w:rPr>
                <w:rFonts w:eastAsia="ＭＳ 明朝" w:cs=""/>
                <w:b/>
                <w:bCs/>
                <w:color w:themeColor="accent1" w:themeShade="bf" w:val="365F91"/>
                <w:kern w:val="0"/>
                <w:sz w:val="16"/>
                <w:szCs w:val="22"/>
                <w:lang w:val="pl-PL" w:eastAsia="en-US" w:bidi="ar-SA"/>
              </w:rPr>
              <w:t>Eelbrain, nitime, napari</w:t>
            </w:r>
          </w:p>
        </w:tc>
        <w:tc>
          <w:tcPr>
            <w:tcW w:w="3904" w:type="dxa"/>
            <w:tcBorders>
              <w:top w:val="nil"/>
            </w:tcBorders>
            <w:shd w:color="auto" w:fill="D3DFEE" w:themeFill="accent1" w:themeFillTint="3f" w:val="clear"/>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Specjalistyczne analizy lub wizualizacje</w:t>
            </w:r>
          </w:p>
        </w:tc>
        <w:tc>
          <w:tcPr>
            <w:tcW w:w="3312" w:type="dxa"/>
            <w:tcBorders>
              <w:top w:val="nil"/>
            </w:tcBorders>
            <w:shd w:color="auto" w:fill="D3DFEE" w:themeFill="accent1" w:themeFillTint="3f" w:val="clear"/>
            <w:vAlign w:val="center"/>
          </w:tcPr>
          <w:p>
            <w:pPr>
              <w:pStyle w:val="Normal"/>
              <w:widowControl/>
              <w:suppressAutoHyphens w:val="true"/>
              <w:spacing w:lineRule="auto" w:line="240" w:before="0" w:after="0"/>
              <w:jc w:val="start"/>
              <w:rPr/>
            </w:pPr>
            <w:r>
              <w:rPr>
                <w:rFonts w:eastAsia="ＭＳ 明朝" w:cs=""/>
                <w:color w:themeColor="accent1" w:themeShade="bf" w:val="365F91"/>
                <w:kern w:val="0"/>
                <w:sz w:val="16"/>
                <w:szCs w:val="22"/>
                <w:lang w:val="pl-PL" w:eastAsia="en-US" w:bidi="ar-SA"/>
              </w:rPr>
              <w:t>Opcjonalne, do uzasadnionych zastosowań</w:t>
            </w:r>
          </w:p>
        </w:tc>
      </w:tr>
    </w:tbl>
    <w:p>
      <w:pPr>
        <w:pStyle w:val="Normal"/>
        <w:rPr>
          <w:lang w:val="pl-PL"/>
        </w:rPr>
      </w:pPr>
      <w:r>
        <w:rPr>
          <w:lang w:val="pl-PL"/>
        </w:rPr>
      </w:r>
    </w:p>
    <w:p>
      <w:pPr>
        <w:pStyle w:val="Normal"/>
        <w:jc w:val="both"/>
        <w:rPr>
          <w:lang w:val="pl-PL"/>
        </w:rPr>
      </w:pPr>
      <w:r>
        <w:rPr>
          <w:lang w:val="pl-PL"/>
        </w:rPr>
        <w:t>FieldTrip jest przede wszystkim środowiskiem MATLAB. Integracji fieldtrip-python nie należy przedstawiać jako pełnego, stabilnego odpowiednika pakietu FieldTrip.</w:t>
      </w:r>
    </w:p>
    <w:p>
      <w:pPr>
        <w:pStyle w:val="Heading1"/>
        <w:keepNext w:val="true"/>
        <w:rPr>
          <w:lang w:val="pl-PL"/>
        </w:rPr>
      </w:pPr>
      <w:r>
        <w:rPr>
          <w:lang w:val="pl-PL"/>
        </w:rPr>
        <w:t>4. Import danych i metadane</w:t>
      </w:r>
    </w:p>
    <w:tbl>
      <w:tblPr>
        <w:tblStyle w:val="LightShading-Accent1"/>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891"/>
        <w:gridCol w:w="3457"/>
        <w:gridCol w:w="3588"/>
      </w:tblGrid>
      <w:tr>
        <w:trPr/>
        <w:tc>
          <w:tcPr>
            <w:tcW w:w="2891" w:type="dxa"/>
            <w:tcBorders/>
          </w:tcPr>
          <w:p>
            <w:pPr>
              <w:pStyle w:val="Normal"/>
              <w:widowControl/>
              <w:suppressAutoHyphens w:val="true"/>
              <w:spacing w:lineRule="auto" w:line="240" w:before="0" w:after="100"/>
              <w:jc w:val="start"/>
              <w:rPr>
                <w:rFonts w:eastAsia="ＭＳ 明朝" w:cs=""/>
                <w:b/>
                <w:bCs/>
                <w:color w:themeColor="accent1" w:themeShade="bf" w:val="365F91"/>
                <w:kern w:val="0"/>
                <w:szCs w:val="22"/>
                <w:lang w:val="pl-PL" w:eastAsia="en-US" w:bidi="ar-SA"/>
              </w:rPr>
            </w:pPr>
            <w:r>
              <w:rPr>
                <w:rFonts w:eastAsia="ＭＳ 明朝" w:cs=""/>
                <w:b/>
                <w:bCs/>
                <w:color w:themeColor="accent1" w:themeShade="bf" w:val="365F91"/>
                <w:kern w:val="0"/>
                <w:sz w:val="16"/>
                <w:szCs w:val="22"/>
                <w:lang w:val="pl-PL" w:eastAsia="en-US" w:bidi="ar-SA"/>
              </w:rPr>
              <w:t>Format</w:t>
            </w:r>
          </w:p>
        </w:tc>
        <w:tc>
          <w:tcPr>
            <w:tcW w:w="3457" w:type="dxa"/>
            <w:tcBorders/>
          </w:tcPr>
          <w:p>
            <w:pPr>
              <w:pStyle w:val="Normal"/>
              <w:widowControl/>
              <w:suppressAutoHyphens w:val="true"/>
              <w:spacing w:lineRule="auto" w:line="240" w:before="0" w:after="100"/>
              <w:jc w:val="start"/>
              <w:rPr>
                <w:rFonts w:eastAsia="ＭＳ 明朝" w:cs=""/>
                <w:b/>
                <w:bCs/>
                <w:color w:themeColor="accent1" w:themeShade="bf" w:val="365F91"/>
                <w:kern w:val="0"/>
                <w:szCs w:val="22"/>
                <w:lang w:val="pl-PL" w:eastAsia="en-US" w:bidi="ar-SA"/>
              </w:rPr>
            </w:pPr>
            <w:r>
              <w:rPr>
                <w:rFonts w:eastAsia="ＭＳ 明朝" w:cs=""/>
                <w:b/>
                <w:bCs/>
                <w:color w:themeColor="accent1" w:themeShade="bf" w:val="365F91"/>
                <w:kern w:val="0"/>
                <w:sz w:val="16"/>
                <w:szCs w:val="22"/>
                <w:lang w:val="pl-PL" w:eastAsia="en-US" w:bidi="ar-SA"/>
              </w:rPr>
              <w:t>Funkcja / pakiet</w:t>
            </w:r>
          </w:p>
        </w:tc>
        <w:tc>
          <w:tcPr>
            <w:tcW w:w="3588" w:type="dxa"/>
            <w:tcBorders/>
          </w:tcPr>
          <w:p>
            <w:pPr>
              <w:pStyle w:val="Normal"/>
              <w:widowControl/>
              <w:suppressAutoHyphens w:val="true"/>
              <w:spacing w:lineRule="auto" w:line="240" w:before="0" w:after="100"/>
              <w:jc w:val="start"/>
              <w:rPr>
                <w:rFonts w:eastAsia="ＭＳ 明朝" w:cs=""/>
                <w:b/>
                <w:bCs/>
                <w:color w:themeColor="accent1" w:themeShade="bf" w:val="365F91"/>
                <w:kern w:val="0"/>
                <w:szCs w:val="22"/>
                <w:lang w:val="pl-PL" w:eastAsia="en-US" w:bidi="ar-SA"/>
              </w:rPr>
            </w:pPr>
            <w:r>
              <w:rPr>
                <w:rFonts w:eastAsia="ＭＳ 明朝" w:cs=""/>
                <w:b/>
                <w:bCs/>
                <w:color w:themeColor="accent1" w:themeShade="bf" w:val="365F91"/>
                <w:kern w:val="0"/>
                <w:sz w:val="16"/>
                <w:szCs w:val="22"/>
                <w:lang w:val="pl-PL" w:eastAsia="en-US" w:bidi="ar-SA"/>
              </w:rPr>
              <w:t>Kontrola po imporcie</w:t>
            </w:r>
          </w:p>
        </w:tc>
      </w:tr>
      <w:tr>
        <w:trPr/>
        <w:tc>
          <w:tcPr>
            <w:tcW w:w="2891" w:type="dxa"/>
            <w:tcBorders>
              <w:top w:val="nil"/>
              <w:bottom w:val="nil"/>
            </w:tcBorders>
            <w:shd w:color="auto" w:fill="D3DFEE" w:themeFill="accent1" w:themeFillTint="3f" w:val="clear"/>
            <w:vAlign w:val="center"/>
          </w:tcPr>
          <w:p>
            <w:pPr>
              <w:pStyle w:val="Normal"/>
              <w:widowControl/>
              <w:suppressAutoHyphens w:val="true"/>
              <w:spacing w:lineRule="auto" w:line="240" w:before="0" w:after="100"/>
              <w:jc w:val="start"/>
              <w:rPr>
                <w:rFonts w:eastAsia="ＭＳ 明朝" w:cs=""/>
                <w:b/>
                <w:bCs/>
                <w:color w:themeColor="accent1" w:themeShade="bf" w:val="365F91"/>
                <w:kern w:val="0"/>
                <w:szCs w:val="22"/>
                <w:lang w:val="pl-PL" w:eastAsia="en-US" w:bidi="ar-SA"/>
              </w:rPr>
            </w:pPr>
            <w:r>
              <w:rPr>
                <w:rFonts w:eastAsia="ＭＳ 明朝" w:cs=""/>
                <w:b/>
                <w:bCs/>
                <w:color w:themeColor="accent1" w:themeShade="bf" w:val="365F91"/>
                <w:kern w:val="0"/>
                <w:sz w:val="16"/>
                <w:szCs w:val="22"/>
                <w:lang w:val="pl-PL" w:eastAsia="en-US" w:bidi="ar-SA"/>
              </w:rPr>
              <w:t>EDF/EDF+</w:t>
            </w:r>
          </w:p>
        </w:tc>
        <w:tc>
          <w:tcPr>
            <w:tcW w:w="3457" w:type="dxa"/>
            <w:tcBorders>
              <w:top w:val="nil"/>
              <w:bottom w:val="nil"/>
            </w:tcBorders>
            <w:shd w:color="auto" w:fill="D3DFEE" w:themeFill="accent1" w:themeFillTint="3f" w:val="clear"/>
            <w:vAlign w:val="center"/>
          </w:tcPr>
          <w:p>
            <w:pPr>
              <w:pStyle w:val="Normal"/>
              <w:widowControl/>
              <w:suppressAutoHyphens w:val="true"/>
              <w:spacing w:lineRule="auto" w:line="240" w:before="0" w:after="100"/>
              <w:jc w:val="start"/>
              <w:rPr>
                <w:rFonts w:eastAsia="ＭＳ 明朝" w:cs=""/>
                <w:color w:themeColor="accent1" w:themeShade="bf" w:val="365F91"/>
                <w:kern w:val="0"/>
                <w:szCs w:val="22"/>
                <w:lang w:val="pl-PL" w:eastAsia="en-US" w:bidi="ar-SA"/>
              </w:rPr>
            </w:pPr>
            <w:r>
              <w:rPr>
                <w:rFonts w:eastAsia="ＭＳ 明朝" w:cs=""/>
                <w:color w:themeColor="accent1" w:themeShade="bf" w:val="365F91"/>
                <w:kern w:val="0"/>
                <w:sz w:val="16"/>
                <w:szCs w:val="22"/>
                <w:lang w:val="pl-PL" w:eastAsia="en-US" w:bidi="ar-SA"/>
              </w:rPr>
              <w:t>mne.io.read_raw_edf</w:t>
            </w:r>
          </w:p>
        </w:tc>
        <w:tc>
          <w:tcPr>
            <w:tcW w:w="3588" w:type="dxa"/>
            <w:tcBorders>
              <w:top w:val="nil"/>
              <w:bottom w:val="nil"/>
            </w:tcBorders>
            <w:shd w:color="auto" w:fill="D3DFEE" w:themeFill="accent1" w:themeFillTint="3f" w:val="clear"/>
            <w:vAlign w:val="center"/>
          </w:tcPr>
          <w:p>
            <w:pPr>
              <w:pStyle w:val="Normal"/>
              <w:widowControl/>
              <w:suppressAutoHyphens w:val="true"/>
              <w:spacing w:lineRule="auto" w:line="240" w:before="0" w:after="100"/>
              <w:jc w:val="start"/>
              <w:rPr>
                <w:rFonts w:eastAsia="ＭＳ 明朝" w:cs=""/>
                <w:color w:themeColor="accent1" w:themeShade="bf" w:val="365F91"/>
                <w:kern w:val="0"/>
                <w:szCs w:val="22"/>
                <w:lang w:val="pl-PL" w:eastAsia="en-US" w:bidi="ar-SA"/>
              </w:rPr>
            </w:pPr>
            <w:r>
              <w:rPr>
                <w:rFonts w:eastAsia="ＭＳ 明朝" w:cs=""/>
                <w:color w:themeColor="accent1" w:themeShade="bf" w:val="365F91"/>
                <w:kern w:val="0"/>
                <w:sz w:val="16"/>
                <w:szCs w:val="22"/>
                <w:lang w:val="pl-PL" w:eastAsia="en-US" w:bidi="ar-SA"/>
              </w:rPr>
              <w:t>Jednostki, typy kanałów, adnotacje</w:t>
            </w:r>
          </w:p>
        </w:tc>
      </w:tr>
      <w:tr>
        <w:trPr/>
        <w:tc>
          <w:tcPr>
            <w:tcW w:w="2891" w:type="dxa"/>
            <w:tcBorders>
              <w:top w:val="nil"/>
              <w:bottom w:val="nil"/>
            </w:tcBorders>
            <w:vAlign w:val="center"/>
          </w:tcPr>
          <w:p>
            <w:pPr>
              <w:pStyle w:val="Normal"/>
              <w:widowControl/>
              <w:suppressAutoHyphens w:val="true"/>
              <w:spacing w:lineRule="auto" w:line="240" w:before="0" w:after="100"/>
              <w:jc w:val="start"/>
              <w:rPr>
                <w:rFonts w:eastAsia="ＭＳ 明朝" w:cs=""/>
                <w:b/>
                <w:bCs/>
                <w:color w:themeColor="accent1" w:themeShade="bf" w:val="365F91"/>
                <w:kern w:val="0"/>
                <w:szCs w:val="22"/>
                <w:lang w:val="pl-PL" w:eastAsia="en-US" w:bidi="ar-SA"/>
              </w:rPr>
            </w:pPr>
            <w:r>
              <w:rPr>
                <w:rFonts w:eastAsia="ＭＳ 明朝" w:cs=""/>
                <w:b/>
                <w:bCs/>
                <w:color w:themeColor="accent1" w:themeShade="bf" w:val="365F91"/>
                <w:kern w:val="0"/>
                <w:sz w:val="16"/>
                <w:szCs w:val="22"/>
                <w:lang w:val="pl-PL" w:eastAsia="en-US" w:bidi="ar-SA"/>
              </w:rPr>
              <w:t>BDF</w:t>
            </w:r>
          </w:p>
        </w:tc>
        <w:tc>
          <w:tcPr>
            <w:tcW w:w="3457" w:type="dxa"/>
            <w:tcBorders>
              <w:top w:val="nil"/>
              <w:bottom w:val="nil"/>
            </w:tcBorders>
            <w:vAlign w:val="center"/>
          </w:tcPr>
          <w:p>
            <w:pPr>
              <w:pStyle w:val="Normal"/>
              <w:widowControl/>
              <w:suppressAutoHyphens w:val="true"/>
              <w:spacing w:lineRule="auto" w:line="240" w:before="0" w:after="100"/>
              <w:jc w:val="start"/>
              <w:rPr>
                <w:rFonts w:eastAsia="ＭＳ 明朝" w:cs=""/>
                <w:color w:themeColor="accent1" w:themeShade="bf" w:val="365F91"/>
                <w:kern w:val="0"/>
                <w:szCs w:val="22"/>
                <w:lang w:val="pl-PL" w:eastAsia="en-US" w:bidi="ar-SA"/>
              </w:rPr>
            </w:pPr>
            <w:r>
              <w:rPr>
                <w:rFonts w:eastAsia="ＭＳ 明朝" w:cs=""/>
                <w:color w:themeColor="accent1" w:themeShade="bf" w:val="365F91"/>
                <w:kern w:val="0"/>
                <w:sz w:val="16"/>
                <w:szCs w:val="22"/>
                <w:lang w:val="pl-PL" w:eastAsia="en-US" w:bidi="ar-SA"/>
              </w:rPr>
              <w:t>mne.io.read_raw_bdf</w:t>
            </w:r>
          </w:p>
        </w:tc>
        <w:tc>
          <w:tcPr>
            <w:tcW w:w="3588" w:type="dxa"/>
            <w:tcBorders>
              <w:top w:val="nil"/>
              <w:bottom w:val="nil"/>
            </w:tcBorders>
            <w:vAlign w:val="center"/>
          </w:tcPr>
          <w:p>
            <w:pPr>
              <w:pStyle w:val="Normal"/>
              <w:widowControl/>
              <w:suppressAutoHyphens w:val="true"/>
              <w:spacing w:lineRule="auto" w:line="240" w:before="0" w:after="100"/>
              <w:jc w:val="start"/>
              <w:rPr>
                <w:rFonts w:eastAsia="ＭＳ 明朝" w:cs=""/>
                <w:color w:themeColor="accent1" w:themeShade="bf" w:val="365F91"/>
                <w:kern w:val="0"/>
                <w:szCs w:val="22"/>
                <w:lang w:val="pl-PL" w:eastAsia="en-US" w:bidi="ar-SA"/>
              </w:rPr>
            </w:pPr>
            <w:r>
              <w:rPr>
                <w:rFonts w:eastAsia="ＭＳ 明朝" w:cs=""/>
                <w:color w:themeColor="accent1" w:themeShade="bf" w:val="365F91"/>
                <w:kern w:val="0"/>
                <w:sz w:val="16"/>
                <w:szCs w:val="22"/>
                <w:lang w:val="pl-PL" w:eastAsia="en-US" w:bidi="ar-SA"/>
              </w:rPr>
              <w:t>Referencja, status/zdarzenia</w:t>
            </w:r>
          </w:p>
        </w:tc>
      </w:tr>
      <w:tr>
        <w:trPr/>
        <w:tc>
          <w:tcPr>
            <w:tcW w:w="2891" w:type="dxa"/>
            <w:tcBorders>
              <w:top w:val="nil"/>
              <w:bottom w:val="nil"/>
            </w:tcBorders>
            <w:shd w:color="auto" w:fill="D3DFEE" w:themeFill="accent1" w:themeFillTint="3f" w:val="clear"/>
            <w:vAlign w:val="center"/>
          </w:tcPr>
          <w:p>
            <w:pPr>
              <w:pStyle w:val="Normal"/>
              <w:widowControl/>
              <w:suppressAutoHyphens w:val="true"/>
              <w:spacing w:lineRule="auto" w:line="240" w:before="0" w:after="100"/>
              <w:jc w:val="start"/>
              <w:rPr>
                <w:rFonts w:eastAsia="ＭＳ 明朝" w:cs=""/>
                <w:b/>
                <w:bCs/>
                <w:color w:themeColor="accent1" w:themeShade="bf" w:val="365F91"/>
                <w:kern w:val="0"/>
                <w:szCs w:val="22"/>
                <w:lang w:val="pl-PL" w:eastAsia="en-US" w:bidi="ar-SA"/>
              </w:rPr>
            </w:pPr>
            <w:r>
              <w:rPr>
                <w:rFonts w:eastAsia="ＭＳ 明朝" w:cs=""/>
                <w:b/>
                <w:bCs/>
                <w:color w:themeColor="accent1" w:themeShade="bf" w:val="365F91"/>
                <w:kern w:val="0"/>
                <w:sz w:val="16"/>
                <w:szCs w:val="22"/>
                <w:lang w:val="pl-PL" w:eastAsia="en-US" w:bidi="ar-SA"/>
              </w:rPr>
              <w:t>BrainVision (.vhdr/.vmrk/.eeg)</w:t>
            </w:r>
          </w:p>
        </w:tc>
        <w:tc>
          <w:tcPr>
            <w:tcW w:w="3457" w:type="dxa"/>
            <w:tcBorders>
              <w:top w:val="nil"/>
              <w:bottom w:val="nil"/>
            </w:tcBorders>
            <w:shd w:color="auto" w:fill="D3DFEE" w:themeFill="accent1" w:themeFillTint="3f" w:val="clear"/>
            <w:vAlign w:val="center"/>
          </w:tcPr>
          <w:p>
            <w:pPr>
              <w:pStyle w:val="Normal"/>
              <w:widowControl/>
              <w:suppressAutoHyphens w:val="true"/>
              <w:spacing w:lineRule="auto" w:line="240" w:before="0" w:after="100"/>
              <w:jc w:val="start"/>
              <w:rPr>
                <w:rFonts w:eastAsia="ＭＳ 明朝" w:cs=""/>
                <w:color w:themeColor="accent1" w:themeShade="bf" w:val="365F91"/>
                <w:kern w:val="0"/>
                <w:szCs w:val="22"/>
                <w:lang w:val="pl-PL" w:eastAsia="en-US" w:bidi="ar-SA"/>
              </w:rPr>
            </w:pPr>
            <w:r>
              <w:rPr>
                <w:rFonts w:eastAsia="ＭＳ 明朝" w:cs=""/>
                <w:color w:themeColor="accent1" w:themeShade="bf" w:val="365F91"/>
                <w:kern w:val="0"/>
                <w:sz w:val="16"/>
                <w:szCs w:val="22"/>
                <w:lang w:val="pl-PL" w:eastAsia="en-US" w:bidi="ar-SA"/>
              </w:rPr>
              <w:t>mne.io.read_raw_brainvision</w:t>
            </w:r>
          </w:p>
        </w:tc>
        <w:tc>
          <w:tcPr>
            <w:tcW w:w="3588" w:type="dxa"/>
            <w:tcBorders>
              <w:top w:val="nil"/>
              <w:bottom w:val="nil"/>
            </w:tcBorders>
            <w:shd w:color="auto" w:fill="D3DFEE" w:themeFill="accent1" w:themeFillTint="3f" w:val="clear"/>
            <w:vAlign w:val="center"/>
          </w:tcPr>
          <w:p>
            <w:pPr>
              <w:pStyle w:val="Normal"/>
              <w:widowControl/>
              <w:suppressAutoHyphens w:val="true"/>
              <w:spacing w:lineRule="auto" w:line="240" w:before="0" w:after="100"/>
              <w:jc w:val="start"/>
              <w:rPr>
                <w:rFonts w:eastAsia="ＭＳ 明朝" w:cs=""/>
                <w:color w:themeColor="accent1" w:themeShade="bf" w:val="365F91"/>
                <w:kern w:val="0"/>
                <w:szCs w:val="22"/>
                <w:lang w:val="pl-PL" w:eastAsia="en-US" w:bidi="ar-SA"/>
              </w:rPr>
            </w:pPr>
            <w:r>
              <w:rPr>
                <w:rFonts w:eastAsia="ＭＳ 明朝" w:cs=""/>
                <w:color w:themeColor="accent1" w:themeShade="bf" w:val="365F91"/>
                <w:kern w:val="0"/>
                <w:sz w:val="16"/>
                <w:szCs w:val="22"/>
                <w:lang w:val="pl-PL" w:eastAsia="en-US" w:bidi="ar-SA"/>
              </w:rPr>
              <w:t>Wymagany komplet plików</w:t>
            </w:r>
          </w:p>
        </w:tc>
      </w:tr>
      <w:tr>
        <w:trPr/>
        <w:tc>
          <w:tcPr>
            <w:tcW w:w="2891" w:type="dxa"/>
            <w:tcBorders>
              <w:top w:val="nil"/>
              <w:bottom w:val="nil"/>
            </w:tcBorders>
            <w:vAlign w:val="center"/>
          </w:tcPr>
          <w:p>
            <w:pPr>
              <w:pStyle w:val="Normal"/>
              <w:widowControl/>
              <w:suppressAutoHyphens w:val="true"/>
              <w:spacing w:lineRule="auto" w:line="240" w:before="0" w:after="100"/>
              <w:jc w:val="start"/>
              <w:rPr>
                <w:rFonts w:eastAsia="ＭＳ 明朝" w:cs=""/>
                <w:b/>
                <w:bCs/>
                <w:color w:themeColor="accent1" w:themeShade="bf" w:val="365F91"/>
                <w:kern w:val="0"/>
                <w:szCs w:val="22"/>
                <w:lang w:val="pl-PL" w:eastAsia="en-US" w:bidi="ar-SA"/>
              </w:rPr>
            </w:pPr>
            <w:r>
              <w:rPr>
                <w:rFonts w:eastAsia="ＭＳ 明朝" w:cs=""/>
                <w:b/>
                <w:bCs/>
                <w:color w:themeColor="accent1" w:themeShade="bf" w:val="365F91"/>
                <w:kern w:val="0"/>
                <w:sz w:val="16"/>
                <w:szCs w:val="22"/>
                <w:lang w:val="pl-PL" w:eastAsia="en-US" w:bidi="ar-SA"/>
              </w:rPr>
              <w:t>EEGLAB (.set/.fdt)</w:t>
            </w:r>
          </w:p>
        </w:tc>
        <w:tc>
          <w:tcPr>
            <w:tcW w:w="3457" w:type="dxa"/>
            <w:tcBorders>
              <w:top w:val="nil"/>
              <w:bottom w:val="nil"/>
            </w:tcBorders>
            <w:vAlign w:val="center"/>
          </w:tcPr>
          <w:p>
            <w:pPr>
              <w:pStyle w:val="Normal"/>
              <w:widowControl/>
              <w:suppressAutoHyphens w:val="true"/>
              <w:spacing w:lineRule="auto" w:line="240" w:before="0" w:after="100"/>
              <w:jc w:val="start"/>
              <w:rPr>
                <w:rFonts w:eastAsia="ＭＳ 明朝" w:cs=""/>
                <w:color w:themeColor="accent1" w:themeShade="bf" w:val="365F91"/>
                <w:kern w:val="0"/>
                <w:szCs w:val="22"/>
                <w:lang w:val="pl-PL" w:eastAsia="en-US" w:bidi="ar-SA"/>
              </w:rPr>
            </w:pPr>
            <w:r>
              <w:rPr>
                <w:rFonts w:eastAsia="ＭＳ 明朝" w:cs=""/>
                <w:color w:themeColor="accent1" w:themeShade="bf" w:val="365F91"/>
                <w:kern w:val="0"/>
                <w:sz w:val="16"/>
                <w:szCs w:val="22"/>
                <w:lang w:val="pl-PL" w:eastAsia="en-US" w:bidi="ar-SA"/>
              </w:rPr>
              <w:t>mne.io.read_raw_eeglab</w:t>
            </w:r>
          </w:p>
        </w:tc>
        <w:tc>
          <w:tcPr>
            <w:tcW w:w="3588" w:type="dxa"/>
            <w:tcBorders>
              <w:top w:val="nil"/>
              <w:bottom w:val="nil"/>
            </w:tcBorders>
            <w:vAlign w:val="center"/>
          </w:tcPr>
          <w:p>
            <w:pPr>
              <w:pStyle w:val="Normal"/>
              <w:widowControl/>
              <w:suppressAutoHyphens w:val="true"/>
              <w:spacing w:lineRule="auto" w:line="240" w:before="0" w:after="100"/>
              <w:jc w:val="start"/>
              <w:rPr>
                <w:rFonts w:eastAsia="ＭＳ 明朝" w:cs=""/>
                <w:color w:themeColor="accent1" w:themeShade="bf" w:val="365F91"/>
                <w:kern w:val="0"/>
                <w:szCs w:val="22"/>
                <w:lang w:val="pl-PL" w:eastAsia="en-US" w:bidi="ar-SA"/>
              </w:rPr>
            </w:pPr>
            <w:r>
              <w:rPr>
                <w:rFonts w:eastAsia="ＭＳ 明朝" w:cs=""/>
                <w:color w:themeColor="accent1" w:themeShade="bf" w:val="365F91"/>
                <w:kern w:val="0"/>
                <w:sz w:val="16"/>
                <w:szCs w:val="22"/>
                <w:lang w:val="pl-PL" w:eastAsia="en-US" w:bidi="ar-SA"/>
              </w:rPr>
              <w:t>Dane i położenia elektrod</w:t>
            </w:r>
          </w:p>
        </w:tc>
      </w:tr>
      <w:tr>
        <w:trPr/>
        <w:tc>
          <w:tcPr>
            <w:tcW w:w="2891" w:type="dxa"/>
            <w:tcBorders>
              <w:top w:val="nil"/>
              <w:bottom w:val="nil"/>
            </w:tcBorders>
            <w:shd w:color="auto" w:fill="D3DFEE" w:themeFill="accent1" w:themeFillTint="3f" w:val="clear"/>
            <w:vAlign w:val="center"/>
          </w:tcPr>
          <w:p>
            <w:pPr>
              <w:pStyle w:val="Normal"/>
              <w:widowControl/>
              <w:suppressAutoHyphens w:val="true"/>
              <w:spacing w:lineRule="auto" w:line="240" w:before="0" w:after="100"/>
              <w:jc w:val="start"/>
              <w:rPr>
                <w:rFonts w:eastAsia="ＭＳ 明朝" w:cs=""/>
                <w:b/>
                <w:bCs/>
                <w:color w:themeColor="accent1" w:themeShade="bf" w:val="365F91"/>
                <w:kern w:val="0"/>
                <w:szCs w:val="22"/>
                <w:lang w:val="pl-PL" w:eastAsia="en-US" w:bidi="ar-SA"/>
              </w:rPr>
            </w:pPr>
            <w:r>
              <w:rPr>
                <w:rFonts w:eastAsia="ＭＳ 明朝" w:cs=""/>
                <w:b/>
                <w:bCs/>
                <w:color w:themeColor="accent1" w:themeShade="bf" w:val="365F91"/>
                <w:kern w:val="0"/>
                <w:sz w:val="16"/>
                <w:szCs w:val="22"/>
                <w:lang w:val="pl-PL" w:eastAsia="en-US" w:bidi="ar-SA"/>
              </w:rPr>
              <w:t>GDF</w:t>
            </w:r>
          </w:p>
        </w:tc>
        <w:tc>
          <w:tcPr>
            <w:tcW w:w="3457" w:type="dxa"/>
            <w:tcBorders>
              <w:top w:val="nil"/>
              <w:bottom w:val="nil"/>
            </w:tcBorders>
            <w:shd w:color="auto" w:fill="D3DFEE" w:themeFill="accent1" w:themeFillTint="3f" w:val="clear"/>
            <w:vAlign w:val="center"/>
          </w:tcPr>
          <w:p>
            <w:pPr>
              <w:pStyle w:val="Normal"/>
              <w:widowControl/>
              <w:suppressAutoHyphens w:val="true"/>
              <w:spacing w:lineRule="auto" w:line="240" w:before="0" w:after="100"/>
              <w:jc w:val="start"/>
              <w:rPr>
                <w:rFonts w:eastAsia="ＭＳ 明朝" w:cs=""/>
                <w:color w:themeColor="accent1" w:themeShade="bf" w:val="365F91"/>
                <w:kern w:val="0"/>
                <w:szCs w:val="22"/>
                <w:lang w:val="pl-PL" w:eastAsia="en-US" w:bidi="ar-SA"/>
              </w:rPr>
            </w:pPr>
            <w:r>
              <w:rPr>
                <w:rFonts w:eastAsia="ＭＳ 明朝" w:cs=""/>
                <w:color w:themeColor="accent1" w:themeShade="bf" w:val="365F91"/>
                <w:kern w:val="0"/>
                <w:sz w:val="16"/>
                <w:szCs w:val="22"/>
                <w:lang w:val="pl-PL" w:eastAsia="en-US" w:bidi="ar-SA"/>
              </w:rPr>
              <w:t>mne.io.read_raw_gdf</w:t>
            </w:r>
          </w:p>
        </w:tc>
        <w:tc>
          <w:tcPr>
            <w:tcW w:w="3588" w:type="dxa"/>
            <w:tcBorders>
              <w:top w:val="nil"/>
              <w:bottom w:val="nil"/>
            </w:tcBorders>
            <w:shd w:color="auto" w:fill="D3DFEE" w:themeFill="accent1" w:themeFillTint="3f" w:val="clear"/>
            <w:vAlign w:val="center"/>
          </w:tcPr>
          <w:p>
            <w:pPr>
              <w:pStyle w:val="Normal"/>
              <w:widowControl/>
              <w:suppressAutoHyphens w:val="true"/>
              <w:spacing w:lineRule="auto" w:line="240" w:before="0" w:after="100"/>
              <w:jc w:val="start"/>
              <w:rPr>
                <w:rFonts w:eastAsia="ＭＳ 明朝" w:cs=""/>
                <w:color w:themeColor="accent1" w:themeShade="bf" w:val="365F91"/>
                <w:kern w:val="0"/>
                <w:szCs w:val="22"/>
                <w:lang w:val="pl-PL" w:eastAsia="en-US" w:bidi="ar-SA"/>
              </w:rPr>
            </w:pPr>
            <w:r>
              <w:rPr>
                <w:rFonts w:eastAsia="ＭＳ 明朝" w:cs=""/>
                <w:color w:themeColor="accent1" w:themeShade="bf" w:val="365F91"/>
                <w:kern w:val="0"/>
                <w:sz w:val="16"/>
                <w:szCs w:val="22"/>
                <w:lang w:val="pl-PL" w:eastAsia="en-US" w:bidi="ar-SA"/>
              </w:rPr>
              <w:t>Mapowanie zdarzeń</w:t>
            </w:r>
          </w:p>
        </w:tc>
      </w:tr>
      <w:tr>
        <w:trPr/>
        <w:tc>
          <w:tcPr>
            <w:tcW w:w="2891" w:type="dxa"/>
            <w:tcBorders>
              <w:top w:val="nil"/>
              <w:bottom w:val="nil"/>
            </w:tcBorders>
            <w:vAlign w:val="center"/>
          </w:tcPr>
          <w:p>
            <w:pPr>
              <w:pStyle w:val="Normal"/>
              <w:widowControl/>
              <w:suppressAutoHyphens w:val="true"/>
              <w:spacing w:lineRule="auto" w:line="240" w:before="0" w:after="100"/>
              <w:jc w:val="start"/>
              <w:rPr>
                <w:rFonts w:eastAsia="ＭＳ 明朝" w:cs=""/>
                <w:b/>
                <w:bCs/>
                <w:color w:themeColor="accent1" w:themeShade="bf" w:val="365F91"/>
                <w:kern w:val="0"/>
                <w:szCs w:val="22"/>
                <w:lang w:val="pl-PL" w:eastAsia="en-US" w:bidi="ar-SA"/>
              </w:rPr>
            </w:pPr>
            <w:r>
              <w:rPr>
                <w:rFonts w:eastAsia="ＭＳ 明朝" w:cs=""/>
                <w:b/>
                <w:bCs/>
                <w:color w:themeColor="accent1" w:themeShade="bf" w:val="365F91"/>
                <w:kern w:val="0"/>
                <w:sz w:val="16"/>
                <w:szCs w:val="22"/>
                <w:lang w:val="pl-PL" w:eastAsia="en-US" w:bidi="ar-SA"/>
              </w:rPr>
              <w:t>BIDS</w:t>
            </w:r>
          </w:p>
        </w:tc>
        <w:tc>
          <w:tcPr>
            <w:tcW w:w="3457" w:type="dxa"/>
            <w:tcBorders>
              <w:top w:val="nil"/>
              <w:bottom w:val="nil"/>
            </w:tcBorders>
            <w:vAlign w:val="center"/>
          </w:tcPr>
          <w:p>
            <w:pPr>
              <w:pStyle w:val="Normal"/>
              <w:widowControl/>
              <w:suppressAutoHyphens w:val="true"/>
              <w:spacing w:lineRule="auto" w:line="240" w:before="0" w:after="100"/>
              <w:jc w:val="start"/>
              <w:rPr>
                <w:rFonts w:eastAsia="ＭＳ 明朝" w:cs=""/>
                <w:color w:themeColor="accent1" w:themeShade="bf" w:val="365F91"/>
                <w:kern w:val="0"/>
                <w:szCs w:val="22"/>
                <w:lang w:val="pl-PL" w:eastAsia="en-US" w:bidi="ar-SA"/>
              </w:rPr>
            </w:pPr>
            <w:r>
              <w:rPr>
                <w:rFonts w:eastAsia="ＭＳ 明朝" w:cs=""/>
                <w:color w:themeColor="accent1" w:themeShade="bf" w:val="365F91"/>
                <w:kern w:val="0"/>
                <w:sz w:val="16"/>
                <w:szCs w:val="22"/>
                <w:lang w:val="pl-PL" w:eastAsia="en-US" w:bidi="ar-SA"/>
              </w:rPr>
              <w:t>mne_bids.read_raw_bids</w:t>
            </w:r>
          </w:p>
        </w:tc>
        <w:tc>
          <w:tcPr>
            <w:tcW w:w="3588" w:type="dxa"/>
            <w:tcBorders>
              <w:top w:val="nil"/>
              <w:bottom w:val="nil"/>
            </w:tcBorders>
            <w:vAlign w:val="center"/>
          </w:tcPr>
          <w:p>
            <w:pPr>
              <w:pStyle w:val="Normal"/>
              <w:widowControl/>
              <w:suppressAutoHyphens w:val="true"/>
              <w:spacing w:lineRule="auto" w:line="240" w:before="0" w:after="100"/>
              <w:jc w:val="start"/>
              <w:rPr>
                <w:rFonts w:eastAsia="ＭＳ 明朝" w:cs=""/>
                <w:color w:themeColor="accent1" w:themeShade="bf" w:val="365F91"/>
                <w:kern w:val="0"/>
                <w:szCs w:val="22"/>
                <w:lang w:val="pl-PL" w:eastAsia="en-US" w:bidi="ar-SA"/>
              </w:rPr>
            </w:pPr>
            <w:r>
              <w:rPr>
                <w:rFonts w:eastAsia="ＭＳ 明朝" w:cs=""/>
                <w:color w:themeColor="accent1" w:themeShade="bf" w:val="365F91"/>
                <w:kern w:val="0"/>
                <w:sz w:val="16"/>
                <w:szCs w:val="22"/>
                <w:lang w:val="pl-PL" w:eastAsia="en-US" w:bidi="ar-SA"/>
              </w:rPr>
              <w:t>Spójność JSON/TSV i struktury</w:t>
            </w:r>
          </w:p>
        </w:tc>
      </w:tr>
      <w:tr>
        <w:trPr/>
        <w:tc>
          <w:tcPr>
            <w:tcW w:w="2891" w:type="dxa"/>
            <w:tcBorders>
              <w:top w:val="nil"/>
            </w:tcBorders>
            <w:shd w:color="auto" w:fill="D3DFEE" w:themeFill="accent1" w:themeFillTint="3f" w:val="clear"/>
            <w:vAlign w:val="center"/>
          </w:tcPr>
          <w:p>
            <w:pPr>
              <w:pStyle w:val="Normal"/>
              <w:widowControl/>
              <w:suppressAutoHyphens w:val="true"/>
              <w:spacing w:lineRule="auto" w:line="240" w:before="0" w:after="100"/>
              <w:jc w:val="start"/>
              <w:rPr>
                <w:rFonts w:eastAsia="ＭＳ 明朝" w:cs=""/>
                <w:b/>
                <w:bCs/>
                <w:color w:themeColor="accent1" w:themeShade="bf" w:val="365F91"/>
                <w:kern w:val="0"/>
                <w:szCs w:val="22"/>
                <w:lang w:val="pl-PL" w:eastAsia="en-US" w:bidi="ar-SA"/>
              </w:rPr>
            </w:pPr>
            <w:r>
              <w:rPr>
                <w:rFonts w:eastAsia="ＭＳ 明朝" w:cs=""/>
                <w:b/>
                <w:bCs/>
                <w:color w:themeColor="accent1" w:themeShade="bf" w:val="365F91"/>
                <w:kern w:val="0"/>
                <w:sz w:val="16"/>
                <w:szCs w:val="22"/>
                <w:lang w:val="pl-PL" w:eastAsia="en-US" w:bidi="ar-SA"/>
              </w:rPr>
              <w:t>XDF</w:t>
            </w:r>
          </w:p>
        </w:tc>
        <w:tc>
          <w:tcPr>
            <w:tcW w:w="3457" w:type="dxa"/>
            <w:tcBorders>
              <w:top w:val="nil"/>
            </w:tcBorders>
            <w:shd w:color="auto" w:fill="D3DFEE" w:themeFill="accent1" w:themeFillTint="3f" w:val="clear"/>
            <w:vAlign w:val="center"/>
          </w:tcPr>
          <w:p>
            <w:pPr>
              <w:pStyle w:val="Normal"/>
              <w:widowControl/>
              <w:suppressAutoHyphens w:val="true"/>
              <w:spacing w:lineRule="auto" w:line="240" w:before="0" w:after="100"/>
              <w:jc w:val="start"/>
              <w:rPr>
                <w:rFonts w:eastAsia="ＭＳ 明朝" w:cs=""/>
                <w:color w:themeColor="accent1" w:themeShade="bf" w:val="365F91"/>
                <w:kern w:val="0"/>
                <w:szCs w:val="22"/>
                <w:lang w:val="pl-PL" w:eastAsia="en-US" w:bidi="ar-SA"/>
              </w:rPr>
            </w:pPr>
            <w:r>
              <w:rPr>
                <w:rFonts w:eastAsia="ＭＳ 明朝" w:cs=""/>
                <w:color w:themeColor="accent1" w:themeShade="bf" w:val="365F91"/>
                <w:kern w:val="0"/>
                <w:sz w:val="16"/>
                <w:szCs w:val="22"/>
                <w:lang w:val="pl-PL" w:eastAsia="en-US" w:bidi="ar-SA"/>
              </w:rPr>
              <w:t>pyxdf, potem konwersja do MNE</w:t>
            </w:r>
          </w:p>
        </w:tc>
        <w:tc>
          <w:tcPr>
            <w:tcW w:w="3588" w:type="dxa"/>
            <w:tcBorders>
              <w:top w:val="nil"/>
            </w:tcBorders>
            <w:shd w:color="auto" w:fill="D3DFEE" w:themeFill="accent1" w:themeFillTint="3f" w:val="clear"/>
            <w:vAlign w:val="center"/>
          </w:tcPr>
          <w:p>
            <w:pPr>
              <w:pStyle w:val="Normal"/>
              <w:widowControl/>
              <w:suppressAutoHyphens w:val="true"/>
              <w:spacing w:lineRule="auto" w:line="240" w:before="0" w:after="100"/>
              <w:jc w:val="start"/>
              <w:rPr>
                <w:rFonts w:eastAsia="ＭＳ 明朝" w:cs=""/>
                <w:color w:themeColor="accent1" w:themeShade="bf" w:val="365F91"/>
                <w:kern w:val="0"/>
                <w:szCs w:val="22"/>
                <w:lang w:val="pl-PL" w:eastAsia="en-US" w:bidi="ar-SA"/>
              </w:rPr>
            </w:pPr>
            <w:r>
              <w:rPr>
                <w:rFonts w:eastAsia="ＭＳ 明朝" w:cs=""/>
                <w:color w:themeColor="accent1" w:themeShade="bf" w:val="365F91"/>
                <w:kern w:val="0"/>
                <w:sz w:val="16"/>
                <w:szCs w:val="22"/>
                <w:lang w:val="pl-PL" w:eastAsia="en-US" w:bidi="ar-SA"/>
              </w:rPr>
              <w:t>Synchronizacja strumieni i znaczniki czasu</w:t>
            </w:r>
          </w:p>
        </w:tc>
      </w:tr>
    </w:tbl>
    <w:p>
      <w:pPr>
        <w:pStyle w:val="Normal"/>
        <w:rPr>
          <w:lang w:val="pl-PL"/>
        </w:rPr>
      </w:pPr>
      <w:r>
        <w:rPr>
          <w:lang w:val="pl-PL"/>
        </w:rPr>
      </w:r>
    </w:p>
    <w:p>
      <w:pPr>
        <w:pStyle w:val="Normal"/>
        <w:rPr>
          <w:lang w:val="pl-PL"/>
        </w:rPr>
      </w:pPr>
      <w:r>
        <w:rPr>
          <w:lang w:val="pl-PL"/>
        </w:rPr>
        <w:t>Przykład importu BrainVision:</w:t>
      </w:r>
    </w:p>
    <w:p>
      <w:pPr>
        <w:pStyle w:val="Normal"/>
        <w:shd w:val="clear" w:fill="ECF3F6"/>
        <w:spacing w:before="100" w:after="160"/>
        <w:ind w:start="173" w:end="115"/>
        <w:rPr>
          <w:rFonts w:ascii="Consolas" w:hAnsi="Consolas"/>
          <w:sz w:val="18"/>
          <w:szCs w:val="18"/>
        </w:rPr>
      </w:pPr>
      <w:r>
        <w:rPr>
          <w:rFonts w:ascii="Consolas" w:hAnsi="Consolas"/>
          <w:color w:val="113140"/>
          <w:sz w:val="18"/>
          <w:szCs w:val="18"/>
          <w:lang w:val="pl-PL"/>
        </w:rPr>
        <w:t>import mne</w:t>
      </w:r>
      <w:r>
        <w:rPr>
          <w:rFonts w:ascii="Consolas" w:hAnsi="Consolas"/>
          <w:sz w:val="18"/>
          <w:szCs w:val="18"/>
          <w:lang w:val="pl-PL"/>
        </w:rPr>
        <w:br/>
      </w:r>
      <w:r>
        <w:rPr>
          <w:rFonts w:ascii="Consolas" w:hAnsi="Consolas"/>
          <w:color w:val="113140"/>
          <w:sz w:val="18"/>
          <w:szCs w:val="18"/>
          <w:lang w:val="pl-PL"/>
        </w:rPr>
        <w:t>raw = mne.io.read_raw_brainvision("sub-01_task-oddball_eeg.vhdr", preload=True)</w:t>
      </w:r>
      <w:r>
        <w:rPr>
          <w:rFonts w:ascii="Consolas" w:hAnsi="Consolas"/>
          <w:sz w:val="18"/>
          <w:szCs w:val="18"/>
          <w:lang w:val="pl-PL"/>
        </w:rPr>
        <w:br/>
      </w:r>
      <w:r>
        <w:rPr>
          <w:rFonts w:ascii="Consolas" w:hAnsi="Consolas"/>
          <w:color w:val="113140"/>
          <w:sz w:val="18"/>
          <w:szCs w:val="18"/>
          <w:lang w:val="pl-PL"/>
        </w:rPr>
        <w:t>print(raw.info["sfreq"], raw.ch_names)</w:t>
      </w:r>
      <w:r>
        <w:rPr>
          <w:rFonts w:ascii="Consolas" w:hAnsi="Consolas"/>
          <w:sz w:val="18"/>
          <w:szCs w:val="18"/>
          <w:lang w:val="pl-PL"/>
        </w:rPr>
        <w:br/>
      </w:r>
      <w:r>
        <w:rPr>
          <w:rFonts w:ascii="Consolas" w:hAnsi="Consolas"/>
          <w:color w:val="113140"/>
          <w:sz w:val="18"/>
          <w:szCs w:val="18"/>
          <w:lang w:val="pl-PL"/>
        </w:rPr>
        <w:t>print(raw.get_channel_types())</w:t>
      </w:r>
      <w:r>
        <w:rPr>
          <w:rFonts w:ascii="Consolas" w:hAnsi="Consolas"/>
          <w:sz w:val="18"/>
          <w:szCs w:val="18"/>
          <w:lang w:val="pl-PL"/>
        </w:rPr>
        <w:br/>
      </w:r>
      <w:r>
        <w:rPr>
          <w:rFonts w:ascii="Consolas" w:hAnsi="Consolas"/>
          <w:color w:val="113140"/>
          <w:sz w:val="18"/>
          <w:szCs w:val="18"/>
          <w:lang w:val="pl-PL"/>
        </w:rPr>
        <w:t>print(raw.annotations)</w:t>
      </w:r>
      <w:r>
        <w:rPr>
          <w:rFonts w:ascii="Consolas" w:hAnsi="Consolas"/>
          <w:sz w:val="18"/>
          <w:szCs w:val="18"/>
          <w:lang w:val="pl-PL"/>
        </w:rPr>
        <w:br/>
      </w:r>
      <w:r>
        <w:rPr>
          <w:rFonts w:ascii="Consolas" w:hAnsi="Consolas"/>
          <w:color w:val="113140"/>
          <w:sz w:val="18"/>
          <w:szCs w:val="18"/>
          <w:lang w:val="pl-PL"/>
        </w:rPr>
        <w:t>raw.plot(n_channels=min(20, len(raw.ch_names)))</w:t>
      </w:r>
    </w:p>
    <w:p>
      <w:pPr>
        <w:pStyle w:val="Normal"/>
        <w:jc w:val="both"/>
        <w:rPr>
          <w:lang w:val="pl-PL"/>
        </w:rPr>
      </w:pPr>
      <w:r>
        <w:rPr>
          <w:lang w:val="pl-PL"/>
        </w:rPr>
        <w:t>Plik EDF można wczytać przez `mne.io.read_raw_edf("badanie.edf", preload=True)`. Dla BDF stosuje się `read_raw_bdf`, a dla EEGLAB `read_raw_eeglab`. Nazwy wywołań nie są zamienne.</w:t>
      </w:r>
    </w:p>
    <w:p>
      <w:pPr>
        <w:pStyle w:val="Heading1"/>
        <w:keepNext w:val="true"/>
        <w:rPr>
          <w:lang w:val="pl-PL"/>
        </w:rPr>
      </w:pPr>
      <w:r>
        <w:rPr>
          <w:lang w:val="pl-PL"/>
        </w:rPr>
        <w:t>5. Przetwarzanie wstępne</w:t>
      </w:r>
    </w:p>
    <w:p>
      <w:pPr>
        <w:pStyle w:val="Heading2"/>
        <w:keepNext w:val="true"/>
        <w:rPr>
          <w:lang w:val="pl-PL"/>
        </w:rPr>
      </w:pPr>
      <w:r>
        <w:rPr>
          <w:lang w:val="pl-PL"/>
        </w:rPr>
        <w:t>5.1. Inspekcja, filtracja i próbkowanie</w:t>
      </w:r>
    </w:p>
    <w:p>
      <w:pPr>
        <w:pStyle w:val="Normal"/>
        <w:jc w:val="both"/>
        <w:rPr>
          <w:lang w:val="pl-PL"/>
        </w:rPr>
      </w:pPr>
      <w:r>
        <w:rPr>
          <w:lang w:val="pl-PL"/>
        </w:rPr>
        <w:t>Najpierw sprawdź typy kanałów, częstotliwość próbkowania, jakość sygnału, przerwy w zapisie, elektrodę odniesienia i poprawność znaczników zdarzeń. Parametry filtracji dobiera się do pytania badawczego; nie istnieje jeden uniwersalny filtr 0,5–40 Hz.</w:t>
      </w:r>
    </w:p>
    <w:p>
      <w:pPr>
        <w:pStyle w:val="Normal"/>
        <w:jc w:val="both"/>
        <w:rPr>
          <w:lang w:val="pl-PL"/>
        </w:rPr>
      </w:pPr>
      <w:r>
        <w:rPr>
          <w:lang w:val="pl-PL"/>
        </w:rPr>
        <w:t>Dla analiz ERP często potrzebne jest zachowanie wolnych komponentów, dlatego filtr górnoprzepustowy 1 Hz nie powinien być bezrefleksyjnie stosowany do danych końcowych. Do estymacji ICA często przygotowuje się oddzielną kopię danych filtrowaną od 1 Hz, po czym rozwiązanie ICA stosuje się do kopii przeznaczonej do ERP [2].</w:t>
      </w:r>
    </w:p>
    <w:p>
      <w:pPr>
        <w:pStyle w:val="Normal"/>
        <w:shd w:val="clear" w:fill="ECF3F6"/>
        <w:spacing w:before="100" w:after="160"/>
        <w:ind w:start="173" w:end="115"/>
        <w:rPr>
          <w:rFonts w:ascii="Consolas" w:hAnsi="Consolas"/>
          <w:sz w:val="18"/>
          <w:szCs w:val="18"/>
        </w:rPr>
      </w:pPr>
      <w:r>
        <w:rPr>
          <w:rFonts w:ascii="Consolas" w:hAnsi="Consolas"/>
          <w:color w:val="113140"/>
          <w:sz w:val="18"/>
          <w:szCs w:val="18"/>
          <w:lang w:val="pl-PL"/>
        </w:rPr>
        <w:t>raw_erp = raw.copy().filter(l_freq=0.1, h_freq=30.0)</w:t>
      </w:r>
      <w:r>
        <w:rPr>
          <w:rFonts w:ascii="Consolas" w:hAnsi="Consolas"/>
          <w:sz w:val="18"/>
          <w:szCs w:val="18"/>
          <w:lang w:val="pl-PL"/>
        </w:rPr>
        <w:br/>
      </w:r>
      <w:r>
        <w:rPr>
          <w:rFonts w:ascii="Consolas" w:hAnsi="Consolas"/>
          <w:color w:val="113140"/>
          <w:sz w:val="18"/>
          <w:szCs w:val="18"/>
          <w:lang w:val="pl-PL"/>
        </w:rPr>
        <w:t>raw_ica = raw.copy().filter(l_freq=1.0, h_freq=30.0)</w:t>
      </w:r>
    </w:p>
    <w:p>
      <w:pPr>
        <w:pStyle w:val="Normal"/>
        <w:jc w:val="both"/>
        <w:rPr>
          <w:lang w:val="pl-PL"/>
        </w:rPr>
      </w:pPr>
      <w:r>
        <w:rPr>
          <w:lang w:val="pl-PL"/>
        </w:rPr>
        <w:t>Filtry FIR mogą być liniowofazowe; `fir_design="firwin"` określa metodę projektowania filtru FIR, a nie filtr nieliniowofazowy. Usuwanie zakłóceń 50 Hz filtrem zaporowym jest uzasadnione po ocenie widma i powinno uwzględniać pasmo zainteresowania. Przed zmniejszeniem częstotliwości próbkowania konieczna jest filtracja antyaliasingowa; `Raw.resample()` wykonuje odpowiednie przetwarzanie, ale należy kontrolować dokładność znaczników zdarzeń.</w:t>
      </w:r>
    </w:p>
    <w:p>
      <w:pPr>
        <w:pStyle w:val="Normal"/>
        <w:shd w:val="clear" w:fill="ECF3F6"/>
        <w:spacing w:before="100" w:after="160"/>
        <w:ind w:start="173" w:end="115"/>
        <w:rPr>
          <w:sz w:val="18"/>
          <w:szCs w:val="18"/>
        </w:rPr>
      </w:pPr>
      <w:r>
        <w:rPr>
          <w:rFonts w:ascii="Consolas" w:hAnsi="Consolas"/>
          <w:color w:val="113140"/>
          <w:sz w:val="18"/>
          <w:szCs w:val="18"/>
          <w:lang w:val="pl-PL"/>
        </w:rPr>
        <w:t>raw_erp.resample(250)  # jeśli pozwala na to pasmo analizowane</w:t>
      </w:r>
    </w:p>
    <w:p>
      <w:pPr>
        <w:pStyle w:val="Heading2"/>
        <w:keepNext w:val="true"/>
        <w:rPr>
          <w:lang w:val="pl-PL"/>
        </w:rPr>
      </w:pPr>
      <w:r>
        <w:rPr>
          <w:lang w:val="pl-PL"/>
        </w:rPr>
        <w:t>5.2. Kanały uszkodzone i odniesienie</w:t>
      </w:r>
    </w:p>
    <w:p>
      <w:pPr>
        <w:pStyle w:val="Normal"/>
        <w:rPr>
          <w:lang w:val="pl-PL"/>
        </w:rPr>
      </w:pPr>
      <w:r>
        <w:rPr>
          <w:lang w:val="pl-PL"/>
        </w:rPr>
        <w:t>Kanały o płaskim sygnale, nadmiernym szumie lub niestabilnym kontakcie elektrody oznacz jako złe. Interpolację przeprowadzaj po kontroli rozmieszczenia elektrod i dostępności poprawnych współrzędnych. Wybór odniesienia powinien być uzasadniony przez system rejestracyjny i metodę analizy.</w:t>
      </w:r>
    </w:p>
    <w:p>
      <w:pPr>
        <w:pStyle w:val="Normal"/>
        <w:shd w:val="clear" w:fill="ECF3F6"/>
        <w:spacing w:before="100" w:after="160"/>
        <w:ind w:start="173" w:end="115"/>
        <w:rPr>
          <w:rFonts w:ascii="Consolas" w:hAnsi="Consolas"/>
          <w:sz w:val="18"/>
          <w:szCs w:val="18"/>
        </w:rPr>
      </w:pPr>
      <w:r>
        <w:rPr>
          <w:rFonts w:ascii="Consolas" w:hAnsi="Consolas"/>
          <w:color w:val="113140"/>
          <w:sz w:val="18"/>
          <w:szCs w:val="18"/>
          <w:lang w:val="pl-PL"/>
        </w:rPr>
        <w:t xml:space="preserve">raw_erp.info["bads"] = ["Fp1"]  </w:t>
      </w:r>
      <w:r>
        <w:rPr>
          <w:rFonts w:ascii="Consolas" w:hAnsi="Consolas"/>
          <w:color w:val="127622"/>
          <w:sz w:val="18"/>
          <w:szCs w:val="18"/>
          <w:lang w:val="pl-PL"/>
        </w:rPr>
        <w:t># tylko przykład; kanał musi istnieć</w:t>
      </w:r>
      <w:r>
        <w:rPr>
          <w:rFonts w:ascii="Consolas" w:hAnsi="Consolas"/>
          <w:sz w:val="18"/>
          <w:szCs w:val="18"/>
          <w:lang w:val="pl-PL"/>
        </w:rPr>
        <w:br/>
      </w:r>
      <w:r>
        <w:rPr>
          <w:rFonts w:ascii="Consolas" w:hAnsi="Consolas"/>
          <w:color w:val="127622"/>
          <w:sz w:val="18"/>
          <w:szCs w:val="18"/>
          <w:lang w:val="pl-PL"/>
        </w:rPr>
        <w:t># Interpolacja wymaga poprawnego montage/położeń elektrod</w:t>
      </w:r>
      <w:r>
        <w:rPr>
          <w:rFonts w:ascii="Consolas" w:hAnsi="Consolas"/>
          <w:color w:val="127622"/>
          <w:sz w:val="18"/>
          <w:szCs w:val="18"/>
          <w:lang w:val="pl-PL"/>
        </w:rPr>
        <w:br/>
      </w:r>
      <w:r>
        <w:rPr>
          <w:rFonts w:ascii="Consolas" w:hAnsi="Consolas"/>
          <w:color w:val="127622"/>
          <w:sz w:val="18"/>
          <w:szCs w:val="18"/>
          <w:lang w:val="pl-PL"/>
        </w:rPr>
        <w:t># raw_erp.interpolate_bads(reset_bads=False)</w:t>
      </w:r>
      <w:r>
        <w:rPr>
          <w:rFonts w:ascii="Consolas" w:hAnsi="Consolas"/>
          <w:sz w:val="18"/>
          <w:szCs w:val="18"/>
          <w:lang w:val="pl-PL"/>
        </w:rPr>
        <w:br/>
      </w:r>
      <w:r>
        <w:rPr>
          <w:rFonts w:ascii="Consolas" w:hAnsi="Consolas"/>
          <w:color w:val="113140"/>
          <w:sz w:val="18"/>
          <w:szCs w:val="18"/>
          <w:lang w:val="pl-PL"/>
        </w:rPr>
        <w:t>raw_erp.set_eeg_reference("average")</w:t>
      </w:r>
    </w:p>
    <w:p>
      <w:pPr>
        <w:pStyle w:val="Heading2"/>
        <w:keepNext w:val="true"/>
        <w:rPr>
          <w:lang w:val="pl-PL"/>
        </w:rPr>
      </w:pPr>
      <w:r>
        <w:rPr>
          <w:lang w:val="pl-PL"/>
        </w:rPr>
        <w:t>5.3. ICA i kontrola artefaktów</w:t>
      </w:r>
    </w:p>
    <w:p>
      <w:pPr>
        <w:pStyle w:val="Normal"/>
        <w:jc w:val="both"/>
        <w:rPr>
          <w:lang w:val="pl-PL"/>
        </w:rPr>
      </w:pPr>
      <w:r>
        <w:rPr>
          <w:lang w:val="pl-PL"/>
        </w:rPr>
        <w:t>ICA może pomóc oddzielić komponenty związane z mruganiem, EOG lub ECG, ale wynik zależy od rzędu danych, liczby kanałów, jakości i długości zapisu. Nie wybieraj liczby komponentów arbitralnie i nie odrzucaj składowych wyłącznie na podstawie ich indeksów. Automatycznie wskazane składowe trzeba zweryfikować topograficznie i czasowo.</w:t>
      </w:r>
    </w:p>
    <w:p>
      <w:pPr>
        <w:pStyle w:val="Normal"/>
        <w:shd w:val="clear" w:fill="ECF3F6"/>
        <w:spacing w:before="100" w:after="160"/>
        <w:ind w:start="173" w:end="115"/>
        <w:rPr>
          <w:rFonts w:ascii="Consolas" w:hAnsi="Consolas"/>
          <w:sz w:val="18"/>
          <w:szCs w:val="18"/>
        </w:rPr>
      </w:pPr>
      <w:r>
        <w:rPr>
          <w:rFonts w:ascii="Consolas" w:hAnsi="Consolas"/>
          <w:color w:val="113140"/>
          <w:sz w:val="18"/>
          <w:szCs w:val="18"/>
          <w:lang w:val="pl-PL"/>
        </w:rPr>
        <w:t>from mne.preprocessing import ICA</w:t>
      </w:r>
      <w:r>
        <w:rPr>
          <w:rFonts w:ascii="Consolas" w:hAnsi="Consolas"/>
          <w:sz w:val="18"/>
          <w:szCs w:val="18"/>
          <w:lang w:val="pl-PL"/>
        </w:rPr>
        <w:br/>
        <w:br/>
      </w:r>
      <w:r>
        <w:rPr>
          <w:rFonts w:ascii="Consolas" w:hAnsi="Consolas"/>
          <w:color w:val="113140"/>
          <w:sz w:val="18"/>
          <w:szCs w:val="18"/>
          <w:lang w:val="pl-PL"/>
        </w:rPr>
        <w:t>ica = ICA(n_components=0.99, method="fastica", random_state=42, max_iter="auto")</w:t>
      </w:r>
      <w:r>
        <w:rPr>
          <w:rFonts w:ascii="Consolas" w:hAnsi="Consolas"/>
          <w:sz w:val="18"/>
          <w:szCs w:val="18"/>
          <w:lang w:val="pl-PL"/>
        </w:rPr>
        <w:br/>
      </w:r>
      <w:r>
        <w:rPr>
          <w:rFonts w:ascii="Consolas" w:hAnsi="Consolas"/>
          <w:color w:val="113140"/>
          <w:sz w:val="18"/>
          <w:szCs w:val="18"/>
          <w:lang w:val="pl-PL"/>
        </w:rPr>
        <w:t>ica.fit(raw_ica, picks="eeg")</w:t>
      </w:r>
      <w:r>
        <w:rPr>
          <w:rFonts w:ascii="Consolas" w:hAnsi="Consolas"/>
          <w:sz w:val="18"/>
          <w:szCs w:val="18"/>
          <w:lang w:val="pl-PL"/>
        </w:rPr>
        <w:br/>
      </w:r>
      <w:r>
        <w:rPr>
          <w:rFonts w:ascii="Consolas" w:hAnsi="Consolas"/>
          <w:color w:val="113140"/>
          <w:sz w:val="18"/>
          <w:szCs w:val="18"/>
          <w:lang w:val="pl-PL"/>
        </w:rPr>
        <w:t>ica.plot_components()</w:t>
      </w:r>
      <w:r>
        <w:rPr>
          <w:rFonts w:ascii="Consolas" w:hAnsi="Consolas"/>
          <w:sz w:val="18"/>
          <w:szCs w:val="18"/>
          <w:lang w:val="pl-PL"/>
        </w:rPr>
        <w:br/>
      </w:r>
      <w:r>
        <w:rPr>
          <w:rFonts w:ascii="Consolas" w:hAnsi="Consolas"/>
          <w:color w:val="127622"/>
          <w:sz w:val="18"/>
          <w:szCs w:val="18"/>
          <w:lang w:val="pl-PL"/>
        </w:rPr>
        <w:t># Przy dostępnym kanale EOG można dodatkowo użyć find_bads_eog().</w:t>
      </w:r>
      <w:r>
        <w:rPr>
          <w:rFonts w:ascii="Consolas" w:hAnsi="Consolas"/>
          <w:color w:val="127622"/>
          <w:sz w:val="18"/>
          <w:szCs w:val="18"/>
          <w:lang w:val="pl-PL"/>
        </w:rPr>
        <w:br/>
      </w:r>
      <w:r>
        <w:rPr>
          <w:rFonts w:ascii="Consolas" w:hAnsi="Consolas"/>
          <w:color w:val="127622"/>
          <w:sz w:val="18"/>
          <w:szCs w:val="18"/>
          <w:lang w:val="pl-PL"/>
        </w:rPr>
        <w:t># Po inspekcji wpisz tylko potwierdzone numery do ica.exclude:</w:t>
      </w:r>
      <w:r>
        <w:rPr>
          <w:rFonts w:ascii="Consolas" w:hAnsi="Consolas"/>
          <w:sz w:val="18"/>
          <w:szCs w:val="18"/>
          <w:lang w:val="pl-PL"/>
        </w:rPr>
        <w:br/>
      </w:r>
      <w:r>
        <w:rPr>
          <w:rFonts w:ascii="Consolas" w:hAnsi="Consolas"/>
          <w:color w:val="113140"/>
          <w:sz w:val="18"/>
          <w:szCs w:val="18"/>
          <w:lang w:val="pl-PL"/>
        </w:rPr>
        <w:t>ica.exclude = []</w:t>
      </w:r>
      <w:r>
        <w:rPr>
          <w:rFonts w:ascii="Consolas" w:hAnsi="Consolas"/>
          <w:sz w:val="18"/>
          <w:szCs w:val="18"/>
          <w:lang w:val="pl-PL"/>
        </w:rPr>
        <w:br/>
      </w:r>
      <w:r>
        <w:rPr>
          <w:rFonts w:ascii="Consolas" w:hAnsi="Consolas"/>
          <w:color w:val="113140"/>
          <w:sz w:val="18"/>
          <w:szCs w:val="18"/>
          <w:lang w:val="pl-PL"/>
        </w:rPr>
        <w:t>clean_erp = ica.apply(raw_erp.copy())</w:t>
      </w:r>
    </w:p>
    <w:p>
      <w:pPr>
        <w:pStyle w:val="Normal"/>
        <w:jc w:val="both"/>
        <w:rPr>
          <w:lang w:val="pl-PL"/>
        </w:rPr>
      </w:pPr>
      <w:r>
        <w:rPr>
          <w:lang w:val="pl-PL"/>
        </w:rPr>
        <w:t>Powyższy przykład celowo pozostawia listę składowych do usunięcia pustą. Jeżeli dane nie zawierają odpowiednich kanałów EOG, automatyczna klasyfikacja komponentów może wymagać odrębnej metody lub ręcznej oceny. AutoReject służy przede wszystkim do oceny i naprawy epok; nie jest prostym zamiennikiem ICA [6].</w:t>
      </w:r>
    </w:p>
    <w:p>
      <w:pPr>
        <w:pStyle w:val="Heading1"/>
        <w:keepNext w:val="true"/>
        <w:rPr>
          <w:lang w:val="pl-PL"/>
        </w:rPr>
      </w:pPr>
      <w:r>
        <w:rPr>
          <w:lang w:val="pl-PL"/>
        </w:rPr>
        <w:t>6. Epokowanie i ERP</w:t>
      </w:r>
    </w:p>
    <w:p>
      <w:pPr>
        <w:pStyle w:val="Normal"/>
        <w:rPr>
          <w:lang w:val="pl-PL"/>
        </w:rPr>
      </w:pPr>
      <w:r>
        <w:rPr>
          <w:lang w:val="pl-PL"/>
        </w:rPr>
        <w:t>Zdarzenia mogą być zapisane w adnotacjach lub kanale stymulacyjnym. Nie należy zakładać istnienia kanału STi 014 dla wszystkich systemów EEG. Przykład dla danych z adnotacjami:</w:t>
      </w:r>
    </w:p>
    <w:p>
      <w:pPr>
        <w:pStyle w:val="Normal"/>
        <w:shd w:val="clear" w:fill="ECF3F6"/>
        <w:spacing w:before="100" w:after="160"/>
        <w:ind w:start="173" w:end="115"/>
        <w:rPr>
          <w:rFonts w:ascii="Consolas" w:hAnsi="Consolas"/>
          <w:sz w:val="18"/>
          <w:szCs w:val="18"/>
        </w:rPr>
      </w:pPr>
      <w:r>
        <w:rPr>
          <w:rFonts w:ascii="Consolas" w:hAnsi="Consolas"/>
          <w:color w:val="113140"/>
          <w:sz w:val="18"/>
          <w:szCs w:val="18"/>
          <w:lang w:val="pl-PL"/>
        </w:rPr>
        <w:t>events, event_id = mne.events_from_annotations(clean_erp)</w:t>
      </w:r>
      <w:r>
        <w:rPr>
          <w:rFonts w:ascii="Consolas" w:hAnsi="Consolas"/>
          <w:sz w:val="18"/>
          <w:szCs w:val="18"/>
          <w:lang w:val="pl-PL"/>
        </w:rPr>
        <w:br/>
      </w:r>
      <w:r>
        <w:rPr>
          <w:rFonts w:ascii="Consolas" w:hAnsi="Consolas"/>
          <w:color w:val="113140"/>
          <w:sz w:val="18"/>
          <w:szCs w:val="18"/>
          <w:lang w:val="pl-PL"/>
        </w:rPr>
        <w:t>print(event_id)  # dopasuj zdarzenia do swojego eksperymentu</w:t>
      </w:r>
      <w:r>
        <w:rPr>
          <w:rFonts w:ascii="Consolas" w:hAnsi="Consolas"/>
          <w:sz w:val="18"/>
          <w:szCs w:val="18"/>
          <w:lang w:val="pl-PL"/>
        </w:rPr>
        <w:br/>
      </w:r>
      <w:r>
        <w:rPr>
          <w:rFonts w:ascii="Consolas" w:hAnsi="Consolas"/>
          <w:color w:val="113140"/>
          <w:sz w:val="18"/>
          <w:szCs w:val="18"/>
          <w:lang w:val="pl-PL"/>
        </w:rPr>
        <w:t>epochs = mne.Epochs(clean_erp, events, event_id=event_id,</w:t>
      </w:r>
      <w:r>
        <w:rPr>
          <w:rFonts w:ascii="Consolas" w:hAnsi="Consolas"/>
          <w:sz w:val="18"/>
          <w:szCs w:val="18"/>
          <w:lang w:val="pl-PL"/>
        </w:rPr>
        <w:br/>
      </w:r>
      <w:r>
        <w:rPr>
          <w:rFonts w:ascii="Consolas" w:hAnsi="Consolas"/>
          <w:color w:val="113140"/>
          <w:sz w:val="18"/>
          <w:szCs w:val="18"/>
          <w:lang w:val="pl-PL"/>
        </w:rPr>
        <w:t xml:space="preserve">                    tmin=-0.2, tmax=0.8, baseline=(-0.2, 0),</w:t>
      </w:r>
      <w:r>
        <w:rPr>
          <w:rFonts w:ascii="Consolas" w:hAnsi="Consolas"/>
          <w:sz w:val="18"/>
          <w:szCs w:val="18"/>
          <w:lang w:val="pl-PL"/>
        </w:rPr>
        <w:br/>
      </w:r>
      <w:r>
        <w:rPr>
          <w:rFonts w:ascii="Consolas" w:hAnsi="Consolas"/>
          <w:color w:val="113140"/>
          <w:sz w:val="18"/>
          <w:szCs w:val="18"/>
          <w:lang w:val="pl-PL"/>
        </w:rPr>
        <w:t xml:space="preserve">                    preload=True, reject_by_annotation=True)</w:t>
      </w:r>
      <w:r>
        <w:rPr>
          <w:rFonts w:ascii="Consolas" w:hAnsi="Consolas"/>
          <w:sz w:val="18"/>
          <w:szCs w:val="18"/>
          <w:lang w:val="pl-PL"/>
        </w:rPr>
        <w:br/>
      </w:r>
      <w:r>
        <w:rPr>
          <w:rFonts w:ascii="Consolas" w:hAnsi="Consolas"/>
          <w:color w:val="113140"/>
          <w:sz w:val="18"/>
          <w:szCs w:val="18"/>
          <w:lang w:val="pl-PL"/>
        </w:rPr>
        <w:t>print(epochs.drop_log)</w:t>
      </w:r>
      <w:r>
        <w:rPr>
          <w:rFonts w:ascii="Consolas" w:hAnsi="Consolas"/>
          <w:sz w:val="18"/>
          <w:szCs w:val="18"/>
          <w:lang w:val="pl-PL"/>
        </w:rPr>
        <w:br/>
      </w:r>
      <w:r>
        <w:rPr>
          <w:rFonts w:ascii="Consolas" w:hAnsi="Consolas"/>
          <w:color w:val="113140"/>
          <w:sz w:val="18"/>
          <w:szCs w:val="18"/>
          <w:lang w:val="pl-PL"/>
        </w:rPr>
        <w:t>evoked = epochs.average()</w:t>
      </w:r>
      <w:r>
        <w:rPr>
          <w:rFonts w:ascii="Consolas" w:hAnsi="Consolas"/>
          <w:sz w:val="18"/>
          <w:szCs w:val="18"/>
          <w:lang w:val="pl-PL"/>
        </w:rPr>
        <w:br/>
      </w:r>
      <w:r>
        <w:rPr>
          <w:rFonts w:ascii="Consolas" w:hAnsi="Consolas"/>
          <w:color w:val="113140"/>
          <w:sz w:val="18"/>
          <w:szCs w:val="18"/>
          <w:lang w:val="pl-PL"/>
        </w:rPr>
        <w:t>evoked.plot()</w:t>
      </w:r>
    </w:p>
    <w:p>
      <w:pPr>
        <w:pStyle w:val="Normal"/>
        <w:jc w:val="both"/>
        <w:rPr>
          <w:lang w:val="pl-PL"/>
        </w:rPr>
      </w:pPr>
      <w:r>
        <w:rPr>
          <w:lang w:val="pl-PL"/>
        </w:rPr>
        <w:t>Dla eksperymentu Go/No-Go wybierz najpierw poprawne etykiety zdarzeń. P300 nie musi pojawić się w każdym warunku ani osiągnąć maksimum dokładnie po 300 ms; latencja i amplituda zależą od paradygmatu, liczby prób, lokalizacji elektrod i badanej populacji. Nie obiecuj istotnej statystycznie różnicy jako oczekiwanego wyniku każdego ćwiczenia.</w:t>
      </w:r>
    </w:p>
    <w:p>
      <w:pPr>
        <w:pStyle w:val="Heading1"/>
        <w:keepNext w:val="true"/>
        <w:rPr>
          <w:lang w:val="pl-PL"/>
        </w:rPr>
      </w:pPr>
      <w:r>
        <w:rPr>
          <w:lang w:val="pl-PL"/>
        </w:rPr>
        <w:t>7. Gęstość widmowa mocy (PSD)</w:t>
      </w:r>
    </w:p>
    <w:p>
      <w:pPr>
        <w:pStyle w:val="Normal"/>
        <w:jc w:val="both"/>
        <w:rPr>
          <w:lang w:val="pl-PL"/>
        </w:rPr>
      </w:pPr>
      <w:r>
        <w:rPr>
          <w:lang w:val="pl-PL"/>
        </w:rPr>
        <w:t>Aktualne APi MNE wykorzystuje `raw.compute_psd()` lub `epochs.compute_psd()`. Dawne funkcje `psd_welch` i `psd_multitaper` z modułu mne.time_frequency zostały zastąpione interfejsem metod obiektów. PSD MNE podawane jest zasadniczo w V²/Hz dla kanałów EEG; przy przeliczeniu na µV²/Hz należy pomnożyć przez 10¹² [1].</w:t>
      </w:r>
    </w:p>
    <w:p>
      <w:pPr>
        <w:pStyle w:val="Normal"/>
        <w:shd w:val="clear" w:fill="ECF3F6"/>
        <w:spacing w:before="100" w:after="160"/>
        <w:ind w:start="173" w:end="115"/>
        <w:rPr>
          <w:rFonts w:ascii="Consolas" w:hAnsi="Consolas"/>
          <w:sz w:val="18"/>
          <w:szCs w:val="18"/>
        </w:rPr>
      </w:pPr>
      <w:r>
        <w:rPr>
          <w:rFonts w:ascii="Consolas" w:hAnsi="Consolas"/>
          <w:color w:val="113140"/>
          <w:sz w:val="18"/>
          <w:szCs w:val="18"/>
          <w:lang w:val="pl-PL"/>
        </w:rPr>
        <w:t>import matplotlib.pyplot as plt</w:t>
      </w:r>
      <w:r>
        <w:rPr>
          <w:rFonts w:ascii="Consolas" w:hAnsi="Consolas"/>
          <w:sz w:val="18"/>
          <w:szCs w:val="18"/>
          <w:lang w:val="pl-PL"/>
        </w:rPr>
        <w:br/>
      </w:r>
      <w:r>
        <w:rPr>
          <w:rFonts w:ascii="Consolas" w:hAnsi="Consolas"/>
          <w:color w:val="113140"/>
          <w:sz w:val="18"/>
          <w:szCs w:val="18"/>
          <w:lang w:val="pl-PL"/>
        </w:rPr>
        <w:t>spectrum = clean_erp.compute_psd(method="welch", fmin=1, fmax=40, picks="eeg", n_fft=512)</w:t>
      </w:r>
      <w:r>
        <w:rPr>
          <w:rFonts w:ascii="Consolas" w:hAnsi="Consolas"/>
          <w:sz w:val="18"/>
          <w:szCs w:val="18"/>
          <w:lang w:val="pl-PL"/>
        </w:rPr>
        <w:br/>
      </w:r>
      <w:r>
        <w:rPr>
          <w:rFonts w:ascii="Consolas" w:hAnsi="Consolas"/>
          <w:color w:val="113140"/>
          <w:sz w:val="18"/>
          <w:szCs w:val="18"/>
          <w:lang w:val="pl-PL"/>
        </w:rPr>
        <w:t>psd, freqs = spectrum.get_data(return_freqs=True)</w:t>
      </w:r>
      <w:r>
        <w:rPr>
          <w:rFonts w:ascii="Consolas" w:hAnsi="Consolas"/>
          <w:sz w:val="18"/>
          <w:szCs w:val="18"/>
          <w:lang w:val="pl-PL"/>
        </w:rPr>
        <w:br/>
      </w:r>
      <w:r>
        <w:rPr>
          <w:rFonts w:ascii="Consolas" w:hAnsi="Consolas"/>
          <w:color w:val="113140"/>
          <w:sz w:val="18"/>
          <w:szCs w:val="18"/>
          <w:lang w:val="pl-PL"/>
        </w:rPr>
        <w:t>mean_psd_uV2 = psd.mean(axis=0) * 1e12</w:t>
      </w:r>
      <w:r>
        <w:rPr>
          <w:rFonts w:ascii="Consolas" w:hAnsi="Consolas"/>
          <w:sz w:val="18"/>
          <w:szCs w:val="18"/>
          <w:lang w:val="pl-PL"/>
        </w:rPr>
        <w:br/>
      </w:r>
      <w:r>
        <w:rPr>
          <w:rFonts w:ascii="Consolas" w:hAnsi="Consolas"/>
          <w:color w:val="113140"/>
          <w:sz w:val="18"/>
          <w:szCs w:val="18"/>
          <w:lang w:val="pl-PL"/>
        </w:rPr>
        <w:t>plt.plot(freqs, mean_psd_uV2)</w:t>
      </w:r>
      <w:r>
        <w:rPr>
          <w:rFonts w:ascii="Consolas" w:hAnsi="Consolas"/>
          <w:sz w:val="18"/>
          <w:szCs w:val="18"/>
          <w:lang w:val="pl-PL"/>
        </w:rPr>
        <w:br/>
      </w:r>
      <w:r>
        <w:rPr>
          <w:rFonts w:ascii="Consolas" w:hAnsi="Consolas"/>
          <w:color w:val="113140"/>
          <w:sz w:val="18"/>
          <w:szCs w:val="18"/>
          <w:lang w:val="pl-PL"/>
        </w:rPr>
        <w:t>plt.xlabel("Częstotliwość [Hz]")</w:t>
      </w:r>
      <w:r>
        <w:rPr>
          <w:rFonts w:ascii="Consolas" w:hAnsi="Consolas"/>
          <w:sz w:val="18"/>
          <w:szCs w:val="18"/>
          <w:lang w:val="pl-PL"/>
        </w:rPr>
        <w:br/>
      </w:r>
      <w:r>
        <w:rPr>
          <w:rFonts w:ascii="Consolas" w:hAnsi="Consolas"/>
          <w:color w:val="113140"/>
          <w:sz w:val="18"/>
          <w:szCs w:val="18"/>
          <w:lang w:val="pl-PL"/>
        </w:rPr>
        <w:t>plt.ylabel("PSD [µV²/Hz]")</w:t>
      </w:r>
      <w:r>
        <w:rPr>
          <w:rFonts w:ascii="Consolas" w:hAnsi="Consolas"/>
          <w:sz w:val="18"/>
          <w:szCs w:val="18"/>
          <w:lang w:val="pl-PL"/>
        </w:rPr>
        <w:br/>
      </w:r>
      <w:r>
        <w:rPr>
          <w:rFonts w:ascii="Consolas" w:hAnsi="Consolas"/>
          <w:color w:val="113140"/>
          <w:sz w:val="18"/>
          <w:szCs w:val="18"/>
          <w:lang w:val="pl-PL"/>
        </w:rPr>
        <w:t>plt.tight_layout()</w:t>
      </w:r>
      <w:r>
        <w:rPr>
          <w:rFonts w:ascii="Consolas" w:hAnsi="Consolas"/>
          <w:sz w:val="18"/>
          <w:szCs w:val="18"/>
          <w:lang w:val="pl-PL"/>
        </w:rPr>
        <w:br/>
      </w:r>
      <w:r>
        <w:rPr>
          <w:rFonts w:ascii="Consolas" w:hAnsi="Consolas"/>
          <w:color w:val="113140"/>
          <w:sz w:val="18"/>
          <w:szCs w:val="18"/>
          <w:lang w:val="pl-PL"/>
        </w:rPr>
        <w:t>plt.show()</w:t>
      </w:r>
    </w:p>
    <w:p>
      <w:pPr>
        <w:pStyle w:val="Normal"/>
        <w:jc w:val="both"/>
        <w:rPr>
          <w:lang w:val="pl-PL"/>
        </w:rPr>
      </w:pPr>
      <w:r>
        <w:rPr>
          <w:lang w:val="pl-PL"/>
        </w:rPr>
        <w:t>Rozdzielczość fizyczną estymacji ogranicza przede wszystkim długość analizowanego okna; samo zwiększenie n_fft przez dopełnienie zerami nie zwiększa zdolności rozróżniania bliskich składowych. Widoczne maksimum alfa około 10 Hz zależy od danych i nie jest gwarantowane.</w:t>
      </w:r>
    </w:p>
    <w:p>
      <w:pPr>
        <w:pStyle w:val="Heading1"/>
        <w:keepNext w:val="true"/>
        <w:rPr>
          <w:lang w:val="pl-PL"/>
        </w:rPr>
      </w:pPr>
      <w:r>
        <w:rPr>
          <w:lang w:val="pl-PL"/>
        </w:rPr>
        <w:t>8. Analiza czasowo-częstotliwościowa (TFR)</w:t>
      </w:r>
    </w:p>
    <w:p>
      <w:pPr>
        <w:pStyle w:val="Normal"/>
        <w:jc w:val="both"/>
        <w:rPr>
          <w:lang w:val="pl-PL"/>
        </w:rPr>
      </w:pPr>
      <w:r>
        <w:rPr>
          <w:lang w:val="pl-PL"/>
        </w:rPr>
        <w:t>w analizie TFR dobiera się częstotliwości i liczbę cykli falki do kompromisu między rozdzielczością czasową a częstotliwościową. Baseline dla mocy (np. zmiana względna lub log-ratio) ma inną interpretację niż odejmowanie średniego napięcia ERP.</w:t>
      </w:r>
    </w:p>
    <w:p>
      <w:pPr>
        <w:pStyle w:val="Normal"/>
        <w:shd w:val="clear" w:fill="ECF3F6"/>
        <w:spacing w:before="100" w:after="160"/>
        <w:ind w:start="173" w:end="115"/>
        <w:rPr>
          <w:rFonts w:ascii="Consolas" w:hAnsi="Consolas"/>
          <w:sz w:val="18"/>
          <w:szCs w:val="18"/>
        </w:rPr>
      </w:pPr>
      <w:r>
        <w:rPr>
          <w:rFonts w:ascii="Consolas" w:hAnsi="Consolas"/>
          <w:color w:val="113140"/>
          <w:sz w:val="18"/>
          <w:szCs w:val="18"/>
          <w:lang w:val="pl-PL"/>
        </w:rPr>
        <w:t>import numpy as np</w:t>
      </w:r>
      <w:r>
        <w:rPr>
          <w:rFonts w:ascii="Consolas" w:hAnsi="Consolas"/>
          <w:sz w:val="18"/>
          <w:szCs w:val="18"/>
          <w:lang w:val="pl-PL"/>
        </w:rPr>
        <w:br/>
      </w:r>
      <w:r>
        <w:rPr>
          <w:rFonts w:ascii="Consolas" w:hAnsi="Consolas"/>
          <w:color w:val="113140"/>
          <w:sz w:val="18"/>
          <w:szCs w:val="18"/>
          <w:lang w:val="pl-PL"/>
        </w:rPr>
        <w:t>freqs = np.arange(4., 31., 2.)</w:t>
      </w:r>
      <w:r>
        <w:rPr>
          <w:rFonts w:ascii="Consolas" w:hAnsi="Consolas"/>
          <w:sz w:val="18"/>
          <w:szCs w:val="18"/>
          <w:lang w:val="pl-PL"/>
        </w:rPr>
        <w:br/>
      </w:r>
      <w:r>
        <w:rPr>
          <w:rFonts w:ascii="Consolas" w:hAnsi="Consolas"/>
          <w:color w:val="113140"/>
          <w:sz w:val="18"/>
          <w:szCs w:val="18"/>
          <w:lang w:val="pl-PL"/>
        </w:rPr>
        <w:t>power = epochs.compute_tfr(method="morlet", freqs=freqs,</w:t>
      </w:r>
      <w:r>
        <w:rPr>
          <w:rFonts w:ascii="Consolas" w:hAnsi="Consolas"/>
          <w:sz w:val="18"/>
          <w:szCs w:val="18"/>
          <w:lang w:val="pl-PL"/>
        </w:rPr>
        <w:br/>
      </w:r>
      <w:r>
        <w:rPr>
          <w:rFonts w:ascii="Consolas" w:hAnsi="Consolas"/>
          <w:color w:val="113140"/>
          <w:sz w:val="18"/>
          <w:szCs w:val="18"/>
          <w:lang w:val="pl-PL"/>
        </w:rPr>
        <w:t xml:space="preserve">                           n_cycles=freqs / 2, average=True)</w:t>
      </w:r>
      <w:r>
        <w:rPr>
          <w:rFonts w:ascii="Consolas" w:hAnsi="Consolas"/>
          <w:sz w:val="18"/>
          <w:szCs w:val="18"/>
          <w:lang w:val="pl-PL"/>
        </w:rPr>
        <w:br/>
      </w:r>
      <w:r>
        <w:rPr>
          <w:rFonts w:ascii="Consolas" w:hAnsi="Consolas"/>
          <w:color w:val="113140"/>
          <w:sz w:val="18"/>
          <w:szCs w:val="18"/>
          <w:lang w:val="pl-PL"/>
        </w:rPr>
        <w:t>power.plot(picks="eeg", baseline=(-0.2, 0), mode="logratio")</w:t>
      </w:r>
    </w:p>
    <w:p>
      <w:pPr>
        <w:pStyle w:val="Normal"/>
        <w:rPr>
          <w:lang w:val="pl-PL"/>
        </w:rPr>
      </w:pPr>
      <w:r>
        <w:rPr>
          <w:lang w:val="pl-PL"/>
        </w:rPr>
        <w:t>Krótka epoka może nie wystarczyć do rzetelnej estymacji niskich częstotliwości. Przed obliczeniami dobierz długość segmentu oraz okres odniesienia do analizowanych falek.</w:t>
      </w:r>
    </w:p>
    <w:p>
      <w:pPr>
        <w:pStyle w:val="Heading1"/>
        <w:keepNext w:val="true"/>
        <w:rPr>
          <w:lang w:val="pl-PL"/>
        </w:rPr>
      </w:pPr>
      <w:r>
        <w:rPr>
          <w:lang w:val="pl-PL"/>
        </w:rPr>
        <w:t>9. Analiza łączności funkcjonalnej</w:t>
      </w:r>
    </w:p>
    <w:p>
      <w:pPr>
        <w:pStyle w:val="Normal"/>
        <w:jc w:val="both"/>
        <w:rPr/>
      </w:pPr>
      <w:r>
        <w:rPr>
          <w:lang w:val="pl-PL"/>
        </w:rPr>
        <w:t>Funkcje analizy łączności przeniesiono do osobnego pakietu `mne-connectivity`. Koherencja i PLV mierzą statystyczną zależność, a nie bezpośrednią komunikację anatomiczną ani przyczynowość. Na poziomie elektrod mogą być zniekształcone przez przewodnictwo objętościowe i wspólne odniesienie [5].</w:t>
      </w:r>
    </w:p>
    <w:p>
      <w:pPr>
        <w:pStyle w:val="Normal"/>
        <w:shd w:val="clear" w:fill="ECF3F6"/>
        <w:spacing w:before="100" w:after="160"/>
        <w:ind w:start="173" w:end="115"/>
        <w:rPr>
          <w:rFonts w:ascii="Consolas" w:hAnsi="Consolas"/>
          <w:sz w:val="18"/>
          <w:szCs w:val="18"/>
        </w:rPr>
      </w:pPr>
      <w:r>
        <w:rPr>
          <w:rFonts w:ascii="Consolas" w:hAnsi="Consolas"/>
          <w:color w:val="113140"/>
          <w:sz w:val="18"/>
          <w:szCs w:val="18"/>
          <w:lang w:val="pl-PL"/>
        </w:rPr>
        <w:t>from mne_connectivity import spectral_connectivity_epochs</w:t>
      </w:r>
      <w:r>
        <w:rPr>
          <w:rFonts w:ascii="Consolas" w:hAnsi="Consolas"/>
          <w:sz w:val="18"/>
          <w:szCs w:val="18"/>
          <w:lang w:val="pl-PL"/>
        </w:rPr>
        <w:br/>
      </w:r>
      <w:r>
        <w:rPr>
          <w:rFonts w:ascii="Consolas" w:hAnsi="Consolas"/>
          <w:color w:val="113140"/>
          <w:sz w:val="18"/>
          <w:szCs w:val="18"/>
          <w:lang w:val="pl-PL"/>
        </w:rPr>
        <w:t>conn = spectral_connectivity_epochs(epochs, method="coh",</w:t>
      </w:r>
      <w:r>
        <w:rPr>
          <w:rFonts w:ascii="Consolas" w:hAnsi="Consolas"/>
          <w:sz w:val="18"/>
          <w:szCs w:val="18"/>
          <w:lang w:val="pl-PL"/>
        </w:rPr>
        <w:br/>
      </w:r>
      <w:r>
        <w:rPr>
          <w:rFonts w:ascii="Consolas" w:hAnsi="Consolas"/>
          <w:color w:val="113140"/>
          <w:sz w:val="18"/>
          <w:szCs w:val="18"/>
          <w:lang w:val="pl-PL"/>
        </w:rPr>
        <w:t xml:space="preserve">                                     mode="fourier", fmin=8, fmax=12,</w:t>
      </w:r>
      <w:r>
        <w:rPr>
          <w:rFonts w:ascii="Consolas" w:hAnsi="Consolas"/>
          <w:sz w:val="18"/>
          <w:szCs w:val="18"/>
          <w:lang w:val="pl-PL"/>
        </w:rPr>
        <w:br/>
      </w:r>
      <w:r>
        <w:rPr>
          <w:rFonts w:ascii="Consolas" w:hAnsi="Consolas"/>
          <w:color w:val="113140"/>
          <w:sz w:val="18"/>
          <w:szCs w:val="18"/>
          <w:lang w:val="pl-PL"/>
        </w:rPr>
        <w:t xml:space="preserve">                                     faverage=True)</w:t>
      </w:r>
      <w:r>
        <w:rPr>
          <w:rFonts w:ascii="Consolas" w:hAnsi="Consolas"/>
          <w:sz w:val="18"/>
          <w:szCs w:val="18"/>
          <w:lang w:val="pl-PL"/>
        </w:rPr>
        <w:br/>
      </w:r>
      <w:r>
        <w:rPr>
          <w:rFonts w:ascii="Consolas" w:hAnsi="Consolas"/>
          <w:color w:val="113140"/>
          <w:sz w:val="18"/>
          <w:szCs w:val="18"/>
          <w:lang w:val="pl-PL"/>
        </w:rPr>
        <w:t>connectivity_matrix = conn.get_data(output="dense")</w:t>
      </w:r>
      <w:r>
        <w:rPr>
          <w:rFonts w:ascii="Consolas" w:hAnsi="Consolas"/>
          <w:sz w:val="18"/>
          <w:szCs w:val="18"/>
          <w:lang w:val="pl-PL"/>
        </w:rPr>
        <w:br/>
      </w:r>
      <w:r>
        <w:rPr>
          <w:rFonts w:ascii="Consolas" w:hAnsi="Consolas"/>
          <w:color w:val="113140"/>
          <w:sz w:val="18"/>
          <w:szCs w:val="18"/>
          <w:lang w:val="pl-PL"/>
        </w:rPr>
        <w:t>print(connectivity_matrix.shape)</w:t>
      </w:r>
    </w:p>
    <w:p>
      <w:pPr>
        <w:pStyle w:val="Normal"/>
        <w:jc w:val="both"/>
        <w:rPr/>
      </w:pPr>
      <w:r>
        <w:rPr>
          <w:lang w:val="pl-PL"/>
        </w:rPr>
        <w:t>Miary PLI/wPLi są w określonych sytuacjach mniej wrażliwe na sprzężenia o zerowym przesunięciu fazy, ale również mają ograniczenia. w porównaniach należy kontrolować liczbę epok oraz jakość sygnału.</w:t>
      </w:r>
    </w:p>
    <w:p>
      <w:pPr>
        <w:pStyle w:val="Heading1"/>
        <w:keepNext w:val="true"/>
        <w:rPr>
          <w:lang w:val="pl-PL"/>
        </w:rPr>
      </w:pPr>
      <w:r>
        <w:rPr>
          <w:lang w:val="pl-PL"/>
        </w:rPr>
        <w:t>10. Statystyka i wnioskowanie</w:t>
      </w:r>
    </w:p>
    <w:p>
      <w:pPr>
        <w:pStyle w:val="Normal"/>
        <w:jc w:val="both"/>
        <w:rPr>
          <w:sz w:val="20"/>
          <w:szCs w:val="20"/>
        </w:rPr>
      </w:pPr>
      <w:r>
        <w:rPr>
          <w:sz w:val="20"/>
          <w:szCs w:val="20"/>
          <w:lang w:val="pl-PL"/>
        </w:rPr>
        <w:t>Dobór testu musi odpowiadać planowi eksperymentu: dane zależne versus niezależne, poziom analizy (epoka/osoba), liczba porównań i hipoteza. `mne.stats.permutation_t_test` jest permutacyjną procedurą opartą na statystyce t, nie „testem t nieparametrycznym” w prostym sensie. Testy klastrowe zwykle kontrolują błąd rodzinny dla klastrów, nie pozwalają automatycznie lokalizować dokładnego początku lub granic efektu.</w:t>
      </w:r>
    </w:p>
    <w:p>
      <w:pPr>
        <w:pStyle w:val="ListBullet"/>
        <w:numPr>
          <w:ilvl w:val="0"/>
          <w:numId w:val="1"/>
        </w:numPr>
        <w:rPr>
          <w:sz w:val="20"/>
          <w:szCs w:val="20"/>
        </w:rPr>
      </w:pPr>
      <w:r>
        <w:rPr>
          <w:sz w:val="20"/>
          <w:szCs w:val="20"/>
          <w:lang w:val="pl-PL"/>
        </w:rPr>
        <w:t>Testy t, ANOVA i modele mieszane stosuj wtedy, gdy odpowiadają projektowi i założeniom. Testy permutacyjne wymagają poprawnej wymienialności obserwacji.</w:t>
      </w:r>
    </w:p>
    <w:p>
      <w:pPr>
        <w:pStyle w:val="ListBullet"/>
        <w:numPr>
          <w:ilvl w:val="0"/>
          <w:numId w:val="1"/>
        </w:numPr>
        <w:rPr>
          <w:sz w:val="20"/>
          <w:szCs w:val="20"/>
        </w:rPr>
      </w:pPr>
      <w:r>
        <w:rPr>
          <w:sz w:val="20"/>
          <w:szCs w:val="20"/>
          <w:lang w:val="pl-PL"/>
        </w:rPr>
        <w:t>FDR kontroluje oczekiwany odsetek fałszywych odkryć wśród odrzuconych hipotez; Bonferroni i odpowiednie testy maksymalnej statystyki kontrolują FWER.</w:t>
      </w:r>
    </w:p>
    <w:p>
      <w:pPr>
        <w:pStyle w:val="ListBullet"/>
        <w:numPr>
          <w:ilvl w:val="0"/>
          <w:numId w:val="1"/>
        </w:numPr>
        <w:rPr>
          <w:sz w:val="20"/>
          <w:szCs w:val="20"/>
        </w:rPr>
      </w:pPr>
      <w:r>
        <w:rPr>
          <w:sz w:val="20"/>
          <w:szCs w:val="20"/>
          <w:lang w:val="pl-PL"/>
        </w:rPr>
        <w:t>w analizie grupowej jednostką niezależną jest zwykle uczestnik, a nie pojedyncza epoka. Epok tego samego uczestnika nie należy traktować jako niezależnych osób.</w:t>
      </w:r>
    </w:p>
    <w:p>
      <w:pPr>
        <w:pStyle w:val="Heading1"/>
        <w:keepNext w:val="true"/>
        <w:rPr>
          <w:lang w:val="pl-PL"/>
        </w:rPr>
      </w:pPr>
      <w:r>
        <w:rPr>
          <w:lang w:val="pl-PL"/>
        </w:rPr>
        <w:t>11. Uczenie maszynowe</w:t>
      </w:r>
    </w:p>
    <w:p>
      <w:pPr>
        <w:pStyle w:val="Normal"/>
        <w:jc w:val="both"/>
        <w:rPr/>
      </w:pPr>
      <w:r>
        <w:rPr>
          <w:lang w:val="pl-PL"/>
        </w:rPr>
        <w:t>w klasyfikacji EEG najważniejsze są uniknięcie przecieku informacji, prawidłowy podział uczestników/sesji, walidacja krzyżowa i metryki odporne na nierównowagę klas. Wszystkie transformacje uczone na danych (skalowanie, selekcja cech) muszą być dopasowywane wyłącznie do części treningowej.</w:t>
      </w:r>
    </w:p>
    <w:p>
      <w:pPr>
        <w:pStyle w:val="Normal"/>
        <w:rPr>
          <w:lang w:val="pl-PL"/>
        </w:rPr>
      </w:pPr>
      <w:r>
        <w:rPr>
          <w:lang w:val="pl-PL"/>
        </w:rPr>
        <w:t>Poniżej jest minimalny, wykonywalny wzorzec klasyfikatora SVM na cechach widmowych, zakładający istnienie co najmniej dwóch klas epok:</w:t>
      </w:r>
    </w:p>
    <w:p>
      <w:pPr>
        <w:pStyle w:val="Normal"/>
        <w:shd w:val="clear" w:fill="ECF3F6"/>
        <w:spacing w:before="100" w:after="160"/>
        <w:ind w:start="173" w:end="115"/>
        <w:rPr>
          <w:rFonts w:ascii="Consols" w:hAnsi="Consols"/>
          <w:color w:val="113140"/>
          <w:sz w:val="18"/>
          <w:szCs w:val="18"/>
          <w:lang w:val="pl-PL"/>
        </w:rPr>
      </w:pPr>
      <w:r>
        <w:rPr>
          <w:rFonts w:ascii="Consols" w:hAnsi="Consols"/>
          <w:color w:val="113140"/>
          <w:sz w:val="18"/>
          <w:szCs w:val="18"/>
          <w:lang w:val="pl-PL"/>
        </w:rPr>
        <w:t>import numpy as np</w:t>
      </w:r>
      <w:r>
        <w:rPr>
          <w:rFonts w:ascii="Consols" w:hAnsi="Consols"/>
          <w:color w:val="113140"/>
          <w:sz w:val="18"/>
          <w:szCs w:val="18"/>
          <w:lang w:val="pl-PL"/>
        </w:rPr>
        <w:br/>
      </w:r>
      <w:r>
        <w:rPr>
          <w:rFonts w:ascii="Consols" w:hAnsi="Consols"/>
          <w:color w:val="113140"/>
          <w:sz w:val="18"/>
          <w:szCs w:val="18"/>
          <w:lang w:val="pl-PL"/>
        </w:rPr>
        <w:t>from sklearn.pipeline import make_pipeline</w:t>
      </w:r>
      <w:r>
        <w:rPr>
          <w:rFonts w:ascii="Consols" w:hAnsi="Consols"/>
          <w:color w:val="113140"/>
          <w:sz w:val="18"/>
          <w:szCs w:val="18"/>
          <w:lang w:val="pl-PL"/>
        </w:rPr>
        <w:br/>
      </w:r>
      <w:r>
        <w:rPr>
          <w:rFonts w:ascii="Consols" w:hAnsi="Consols"/>
          <w:color w:val="113140"/>
          <w:sz w:val="18"/>
          <w:szCs w:val="18"/>
          <w:lang w:val="pl-PL"/>
        </w:rPr>
        <w:t>from sklearn.preprocessing import StandardScaler</w:t>
      </w:r>
      <w:r>
        <w:rPr>
          <w:rFonts w:ascii="Consols" w:hAnsi="Consols"/>
          <w:color w:val="113140"/>
          <w:sz w:val="18"/>
          <w:szCs w:val="18"/>
          <w:lang w:val="pl-PL"/>
        </w:rPr>
        <w:br/>
      </w:r>
      <w:r>
        <w:rPr>
          <w:rFonts w:ascii="Consols" w:hAnsi="Consols"/>
          <w:color w:val="113140"/>
          <w:sz w:val="18"/>
          <w:szCs w:val="18"/>
          <w:lang w:val="pl-PL"/>
        </w:rPr>
        <w:t>from sklearn.svm import SVC</w:t>
      </w:r>
      <w:r>
        <w:rPr>
          <w:rFonts w:ascii="Consols" w:hAnsi="Consols"/>
          <w:color w:val="113140"/>
          <w:sz w:val="18"/>
          <w:szCs w:val="18"/>
          <w:lang w:val="pl-PL"/>
        </w:rPr>
        <w:br/>
      </w:r>
      <w:r>
        <w:rPr>
          <w:rFonts w:ascii="Consols" w:hAnsi="Consols"/>
          <w:color w:val="113140"/>
          <w:sz w:val="18"/>
          <w:szCs w:val="18"/>
          <w:lang w:val="pl-PL"/>
        </w:rPr>
        <w:t>from sklearn.model_selection import StratifiedKFold, cross_val_score</w:t>
      </w:r>
      <w:r>
        <w:rPr>
          <w:rFonts w:ascii="Consols" w:hAnsi="Consols"/>
          <w:color w:val="113140"/>
          <w:sz w:val="18"/>
          <w:szCs w:val="18"/>
          <w:lang w:val="pl-PL"/>
        </w:rPr>
        <w:br/>
        <w:br/>
      </w:r>
      <w:r>
        <w:rPr>
          <w:rFonts w:ascii="Consols" w:hAnsi="Consols"/>
          <w:color w:val="113140"/>
          <w:sz w:val="18"/>
          <w:szCs w:val="18"/>
          <w:lang w:val="pl-PL"/>
        </w:rPr>
        <w:t>X_psd = epochs.compute_psd(method="welch", fmin=8, fmax=30).get_data()</w:t>
      </w:r>
      <w:r>
        <w:rPr>
          <w:rFonts w:ascii="Consols" w:hAnsi="Consols"/>
          <w:color w:val="113140"/>
          <w:sz w:val="18"/>
          <w:szCs w:val="18"/>
          <w:lang w:val="pl-PL"/>
        </w:rPr>
        <w:br/>
      </w:r>
      <w:r>
        <w:rPr>
          <w:rFonts w:ascii="Consols" w:hAnsi="Consols"/>
          <w:color w:val="113140"/>
          <w:sz w:val="18"/>
          <w:szCs w:val="18"/>
          <w:lang w:val="pl-PL"/>
        </w:rPr>
        <w:t>X = np.log10(X_psd.mean(axis=-1) + 1e-30)  # epoki × kanały</w:t>
      </w:r>
      <w:r>
        <w:rPr>
          <w:rFonts w:ascii="Consols" w:hAnsi="Consols"/>
          <w:color w:val="113140"/>
          <w:sz w:val="18"/>
          <w:szCs w:val="18"/>
          <w:lang w:val="pl-PL"/>
        </w:rPr>
        <w:br/>
      </w:r>
      <w:r>
        <w:rPr>
          <w:rFonts w:ascii="Consols" w:hAnsi="Consols"/>
          <w:color w:val="113140"/>
          <w:sz w:val="18"/>
          <w:szCs w:val="18"/>
          <w:lang w:val="pl-PL"/>
        </w:rPr>
        <w:t>y = epochs.events[:, 2]</w:t>
      </w:r>
      <w:r>
        <w:rPr>
          <w:rFonts w:ascii="Consols" w:hAnsi="Consols"/>
          <w:color w:val="113140"/>
          <w:sz w:val="18"/>
          <w:szCs w:val="18"/>
          <w:lang w:val="pl-PL"/>
        </w:rPr>
        <w:br/>
      </w:r>
      <w:r>
        <w:rPr>
          <w:rFonts w:ascii="Consols" w:hAnsi="Consols"/>
          <w:color w:val="113140"/>
          <w:sz w:val="18"/>
          <w:szCs w:val="18"/>
          <w:lang w:val="pl-PL"/>
        </w:rPr>
        <w:t>cv = StratifiedKFold(n_splits=5, shuffle=True, random_state=42)</w:t>
      </w:r>
      <w:r>
        <w:rPr>
          <w:rFonts w:ascii="Consols" w:hAnsi="Consols"/>
          <w:color w:val="113140"/>
          <w:sz w:val="18"/>
          <w:szCs w:val="18"/>
          <w:lang w:val="pl-PL"/>
        </w:rPr>
        <w:br/>
      </w:r>
      <w:r>
        <w:rPr>
          <w:rFonts w:ascii="Consols" w:hAnsi="Consols"/>
          <w:color w:val="113140"/>
          <w:sz w:val="18"/>
          <w:szCs w:val="18"/>
          <w:lang w:val="pl-PL"/>
        </w:rPr>
        <w:t>model = make_pipeline(StandardScaler(), SVC(kernel="linear"))</w:t>
      </w:r>
      <w:r>
        <w:rPr>
          <w:rFonts w:ascii="Consols" w:hAnsi="Consols"/>
          <w:color w:val="113140"/>
          <w:sz w:val="18"/>
          <w:szCs w:val="18"/>
          <w:lang w:val="pl-PL"/>
        </w:rPr>
        <w:br/>
      </w:r>
      <w:r>
        <w:rPr>
          <w:rFonts w:ascii="Consols" w:hAnsi="Consols"/>
          <w:color w:val="113140"/>
          <w:sz w:val="18"/>
          <w:szCs w:val="18"/>
          <w:lang w:val="pl-PL"/>
        </w:rPr>
        <w:t>scores = cross_val_score(model, X, y, cv=cv, scoring="balanced_accuracy")</w:t>
      </w:r>
      <w:r>
        <w:rPr>
          <w:rFonts w:ascii="Consols" w:hAnsi="Consols"/>
          <w:color w:val="113140"/>
          <w:sz w:val="18"/>
          <w:szCs w:val="18"/>
          <w:lang w:val="pl-PL"/>
        </w:rPr>
        <w:br/>
      </w:r>
      <w:r>
        <w:rPr>
          <w:rFonts w:ascii="Consols" w:hAnsi="Consols"/>
          <w:color w:val="113140"/>
          <w:sz w:val="18"/>
          <w:szCs w:val="18"/>
          <w:lang w:val="pl-PL"/>
        </w:rPr>
        <w:t>print("Balanced accuracy:", scores.mean(), scores.std())</w:t>
      </w:r>
    </w:p>
    <w:p>
      <w:pPr>
        <w:pStyle w:val="Normal"/>
        <w:jc w:val="both"/>
        <w:rPr/>
      </w:pPr>
      <w:r>
        <w:rPr>
          <w:lang w:val="pl-PL"/>
        </w:rPr>
        <w:t>UWAGA: Ten kod prezentuje walidację na poziomie epok wyłącznie dydaktycznie. Nie stanowi właściwej walidacji uogólnienia między uczestnikami. Dla wielu osób lub sesji użyj GroupKFold, StratifiedGroupKFold lub LeaveOneGroupOut, ze świadomie zdefiniowanymi grupami. Próg „60% skuteczności” nie jest uniwersalnym kryterium poprawności modelu.</w:t>
      </w:r>
    </w:p>
    <w:p>
      <w:pPr>
        <w:pStyle w:val="Heading1"/>
        <w:keepNext w:val="true"/>
        <w:rPr>
          <w:lang w:val="pl-PL"/>
        </w:rPr>
      </w:pPr>
      <w:r>
        <w:rPr>
          <w:lang w:val="pl-PL"/>
        </w:rPr>
        <w:t>12. Format BIDS i automatyzacja</w:t>
      </w:r>
    </w:p>
    <w:p>
      <w:pPr>
        <w:pStyle w:val="Normal"/>
        <w:jc w:val="both"/>
        <w:rPr/>
      </w:pPr>
      <w:r>
        <w:rPr>
          <w:lang w:val="pl-PL"/>
        </w:rPr>
        <w:t>BIDS standaryzuje strukturę katalogów oraz metadane; dane źródłowe i przetworzone powinny być wyraźnie rozdzielone. `write_raw_bids` wymaga poprawnych danych i metadanych oraz należy sprawdzić ograniczenia funkcji, w tym związane z formatem i stanem danych [3].</w:t>
      </w:r>
    </w:p>
    <w:p>
      <w:pPr>
        <w:pStyle w:val="Normal"/>
        <w:shd w:val="clear" w:fill="ECF3F6"/>
        <w:spacing w:before="100" w:after="160"/>
        <w:ind w:start="173" w:end="115"/>
        <w:rPr>
          <w:rFonts w:ascii="Consolas" w:hAnsi="Consolas"/>
          <w:sz w:val="18"/>
          <w:szCs w:val="18"/>
        </w:rPr>
      </w:pPr>
      <w:r>
        <w:rPr>
          <w:rFonts w:ascii="Consolas" w:hAnsi="Consolas"/>
          <w:color w:val="113140"/>
          <w:sz w:val="18"/>
          <w:szCs w:val="18"/>
          <w:lang w:val="pl-PL"/>
        </w:rPr>
        <w:t>from mne_bids import BIDSPath, read_raw_bids</w:t>
      </w:r>
      <w:r>
        <w:rPr>
          <w:rFonts w:ascii="Consolas" w:hAnsi="Consolas"/>
          <w:sz w:val="18"/>
          <w:szCs w:val="18"/>
          <w:lang w:val="pl-PL"/>
        </w:rPr>
        <w:br/>
      </w:r>
      <w:r>
        <w:rPr>
          <w:rFonts w:ascii="Consolas" w:hAnsi="Consolas"/>
          <w:color w:val="113140"/>
          <w:sz w:val="18"/>
          <w:szCs w:val="18"/>
          <w:lang w:val="pl-PL"/>
        </w:rPr>
        <w:t>bids_path = BIDSPath(subject="01", task="rest", datatype="eeg",</w:t>
      </w:r>
      <w:r>
        <w:rPr>
          <w:rFonts w:ascii="Consolas" w:hAnsi="Consolas"/>
          <w:sz w:val="18"/>
          <w:szCs w:val="18"/>
          <w:lang w:val="pl-PL"/>
        </w:rPr>
        <w:br/>
      </w:r>
      <w:r>
        <w:rPr>
          <w:rFonts w:ascii="Consolas" w:hAnsi="Consolas"/>
          <w:color w:val="113140"/>
          <w:sz w:val="18"/>
          <w:szCs w:val="18"/>
          <w:lang w:val="pl-PL"/>
        </w:rPr>
        <w:t xml:space="preserve">                     root="./bids_dataset")</w:t>
      </w:r>
      <w:r>
        <w:rPr>
          <w:rFonts w:ascii="Consolas" w:hAnsi="Consolas"/>
          <w:sz w:val="18"/>
          <w:szCs w:val="18"/>
          <w:lang w:val="pl-PL"/>
        </w:rPr>
        <w:br/>
      </w:r>
      <w:r>
        <w:rPr>
          <w:rFonts w:ascii="Consolas" w:hAnsi="Consolas"/>
          <w:color w:val="113140"/>
          <w:sz w:val="18"/>
          <w:szCs w:val="18"/>
          <w:lang w:val="pl-PL"/>
        </w:rPr>
        <w:t>raw_bids = read_raw_bids(bids_path)</w:t>
      </w:r>
    </w:p>
    <w:p>
      <w:pPr>
        <w:pStyle w:val="Normal"/>
        <w:rPr>
          <w:lang w:val="pl-PL"/>
        </w:rPr>
      </w:pPr>
      <w:r>
        <w:rPr>
          <w:lang w:val="pl-PL"/>
        </w:rPr>
        <w:t>MNE-BIDS-Pipeline instaluje się osobno. Konfigurację zapisuje się w pliku Python `.py`, a nie domyślnie w `myconfig.json` [4].</w:t>
      </w:r>
    </w:p>
    <w:p>
      <w:pPr>
        <w:pStyle w:val="Normal"/>
        <w:shd w:val="clear" w:fill="ECF3F6"/>
        <w:spacing w:before="100" w:after="160"/>
        <w:ind w:start="173" w:end="115"/>
        <w:rPr>
          <w:rFonts w:ascii="Consolas" w:hAnsi="Consolas"/>
          <w:sz w:val="18"/>
          <w:szCs w:val="18"/>
        </w:rPr>
      </w:pPr>
      <w:r>
        <w:rPr>
          <w:rFonts w:ascii="Consolas" w:hAnsi="Consolas"/>
          <w:color w:val="113140"/>
          <w:sz w:val="18"/>
          <w:szCs w:val="18"/>
          <w:lang w:val="pl-PL"/>
        </w:rPr>
        <w:t>python -m pip install mne-bids-pipeline</w:t>
      </w:r>
      <w:r>
        <w:rPr>
          <w:rFonts w:ascii="Consolas" w:hAnsi="Consolas"/>
          <w:sz w:val="18"/>
          <w:szCs w:val="18"/>
          <w:lang w:val="pl-PL"/>
        </w:rPr>
        <w:br/>
      </w:r>
      <w:r>
        <w:rPr>
          <w:rFonts w:ascii="Consolas" w:hAnsi="Consolas"/>
          <w:color w:val="113140"/>
          <w:sz w:val="18"/>
          <w:szCs w:val="18"/>
          <w:lang w:val="pl-PL"/>
        </w:rPr>
        <w:t>mne_bids_pipeline --create-config=custom_config.py</w:t>
      </w:r>
      <w:r>
        <w:rPr>
          <w:rFonts w:ascii="Consolas" w:hAnsi="Consolas"/>
          <w:sz w:val="18"/>
          <w:szCs w:val="18"/>
          <w:lang w:val="pl-PL"/>
        </w:rPr>
        <w:br/>
      </w:r>
      <w:r>
        <w:rPr>
          <w:rFonts w:ascii="Consolas" w:hAnsi="Consolas"/>
          <w:color w:val="113140"/>
          <w:sz w:val="18"/>
          <w:szCs w:val="18"/>
          <w:lang w:val="pl-PL"/>
        </w:rPr>
        <w:t>mne_bids_pipeline --config=custom_config.py</w:t>
      </w:r>
    </w:p>
    <w:p>
      <w:pPr>
        <w:pStyle w:val="Heading1"/>
        <w:keepNext w:val="true"/>
        <w:rPr/>
      </w:pPr>
      <w:r>
        <w:rPr/>
        <w:t>14. Jak Python reprezentuje sygnał EEG</w:t>
      </w:r>
    </w:p>
    <w:p>
      <w:pPr>
        <w:pStyle w:val="Heading2"/>
        <w:keepNext w:val="true"/>
        <w:rPr/>
      </w:pPr>
      <w:r>
        <w:rPr/>
        <w:t>14.1. Napięcie, próbki, kanały i zdarzenia</w:t>
      </w:r>
    </w:p>
    <w:p>
      <w:pPr>
        <w:pStyle w:val="Normal"/>
        <w:jc w:val="both"/>
        <w:rPr/>
      </w:pPr>
      <w:r>
        <w:rPr/>
        <w:t>EEG opisuje zmiany różnicy potencjałów w czasie. Pojedynczy zapis jest zwykle macierzą kanały × próbki, a częstotliwość próbkowania pozwala przeliczyć indeks próbki na czas. Typowy sygnał zawiera także metadane: rodzaj kanałów EEG/EOG/ECG, położenia elektrod, odniesienie, filtrację sprzętową i adnotacje zdarzeń. w MNE wartości napięcia EEG przechowuje się w woltach; wykresy mogą prezentować mikrovolty. Pomylenie V i µV powoduje błąd skali o czynnik milion [1].</w:t>
      </w:r>
    </w:p>
    <w:tbl>
      <w:tblPr>
        <w:tblStyle w:val="LightShading-Accent1"/>
        <w:tblW w:w="992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2830"/>
        <w:gridCol w:w="3347"/>
        <w:gridCol w:w="3743"/>
      </w:tblGrid>
      <w:tr>
        <w:trPr/>
        <w:tc>
          <w:tcPr>
            <w:tcW w:w="2830" w:type="dxa"/>
            <w:tcBorders/>
          </w:tcPr>
          <w:p>
            <w:pPr>
              <w:pStyle w:val="Normal"/>
              <w:suppressAutoHyphens w:val="true"/>
              <w:spacing w:before="0" w:after="0"/>
              <w:rPr>
                <w:b/>
                <w:bCs/>
                <w:sz w:val="16"/>
                <w:szCs w:val="16"/>
              </w:rPr>
            </w:pPr>
            <w:r>
              <w:rPr>
                <w:b/>
                <w:bCs/>
                <w:sz w:val="16"/>
                <w:szCs w:val="16"/>
              </w:rPr>
              <w:t>Struktura</w:t>
            </w:r>
          </w:p>
        </w:tc>
        <w:tc>
          <w:tcPr>
            <w:tcW w:w="3347" w:type="dxa"/>
            <w:tcBorders/>
          </w:tcPr>
          <w:p>
            <w:pPr>
              <w:pStyle w:val="Normal"/>
              <w:suppressAutoHyphens w:val="true"/>
              <w:spacing w:before="0" w:after="0"/>
              <w:rPr>
                <w:b/>
                <w:bCs/>
                <w:sz w:val="16"/>
                <w:szCs w:val="16"/>
              </w:rPr>
            </w:pPr>
            <w:r>
              <w:rPr>
                <w:b/>
                <w:bCs/>
                <w:sz w:val="16"/>
                <w:szCs w:val="16"/>
              </w:rPr>
              <w:t>Co przedstawia</w:t>
            </w:r>
          </w:p>
        </w:tc>
        <w:tc>
          <w:tcPr>
            <w:tcW w:w="3743" w:type="dxa"/>
            <w:tcBorders/>
          </w:tcPr>
          <w:p>
            <w:pPr>
              <w:pStyle w:val="Normal"/>
              <w:suppressAutoHyphens w:val="true"/>
              <w:spacing w:before="0" w:after="0"/>
              <w:rPr>
                <w:b/>
                <w:bCs/>
                <w:sz w:val="16"/>
                <w:szCs w:val="16"/>
              </w:rPr>
            </w:pPr>
            <w:r>
              <w:rPr>
                <w:b/>
                <w:bCs/>
                <w:sz w:val="16"/>
                <w:szCs w:val="16"/>
              </w:rPr>
              <w:t>Główne zastosowanie</w:t>
            </w:r>
          </w:p>
        </w:tc>
      </w:tr>
      <w:tr>
        <w:trPr/>
        <w:tc>
          <w:tcPr>
            <w:tcW w:w="2830" w:type="dxa"/>
            <w:tcBorders>
              <w:top w:val="nil"/>
              <w:bottom w:val="nil"/>
            </w:tcBorders>
            <w:shd w:color="auto" w:fill="D3DFEE" w:themeFill="accent1" w:themeFillTint="3f" w:val="clear"/>
          </w:tcPr>
          <w:p>
            <w:pPr>
              <w:pStyle w:val="Normal"/>
              <w:suppressAutoHyphens w:val="true"/>
              <w:spacing w:before="0" w:after="0"/>
              <w:rPr>
                <w:b/>
                <w:bCs/>
                <w:sz w:val="16"/>
                <w:szCs w:val="16"/>
              </w:rPr>
            </w:pPr>
            <w:r>
              <w:rPr>
                <w:b/>
                <w:bCs/>
                <w:sz w:val="16"/>
                <w:szCs w:val="16"/>
              </w:rPr>
              <w:t>Raw</w:t>
            </w:r>
          </w:p>
        </w:tc>
        <w:tc>
          <w:tcPr>
            <w:tcW w:w="3347" w:type="dxa"/>
            <w:tcBorders>
              <w:top w:val="nil"/>
              <w:bottom w:val="nil"/>
            </w:tcBorders>
            <w:shd w:color="auto" w:fill="D3DFEE" w:themeFill="accent1" w:themeFillTint="3f" w:val="clear"/>
          </w:tcPr>
          <w:p>
            <w:pPr>
              <w:pStyle w:val="Normal"/>
              <w:suppressAutoHyphens w:val="true"/>
              <w:spacing w:before="0" w:after="0"/>
              <w:rPr>
                <w:sz w:val="16"/>
                <w:szCs w:val="16"/>
              </w:rPr>
            </w:pPr>
            <w:r>
              <w:rPr>
                <w:sz w:val="16"/>
                <w:szCs w:val="16"/>
              </w:rPr>
              <w:t>Wielo-kanałowy zapis ciągły wraz z metadanymi</w:t>
            </w:r>
          </w:p>
        </w:tc>
        <w:tc>
          <w:tcPr>
            <w:tcW w:w="3743" w:type="dxa"/>
            <w:tcBorders>
              <w:top w:val="nil"/>
              <w:bottom w:val="nil"/>
            </w:tcBorders>
            <w:shd w:color="auto" w:fill="D3DFEE" w:themeFill="accent1" w:themeFillTint="3f" w:val="clear"/>
          </w:tcPr>
          <w:p>
            <w:pPr>
              <w:pStyle w:val="Normal"/>
              <w:suppressAutoHyphens w:val="true"/>
              <w:spacing w:before="0" w:after="0"/>
              <w:rPr>
                <w:sz w:val="16"/>
                <w:szCs w:val="16"/>
              </w:rPr>
            </w:pPr>
            <w:r>
              <w:rPr>
                <w:sz w:val="16"/>
                <w:szCs w:val="16"/>
              </w:rPr>
              <w:t>Przegląd rejestracji i wstępne przetwarzanie</w:t>
            </w:r>
          </w:p>
        </w:tc>
      </w:tr>
      <w:tr>
        <w:trPr/>
        <w:tc>
          <w:tcPr>
            <w:tcW w:w="2830" w:type="dxa"/>
            <w:tcBorders>
              <w:top w:val="nil"/>
              <w:bottom w:val="nil"/>
            </w:tcBorders>
          </w:tcPr>
          <w:p>
            <w:pPr>
              <w:pStyle w:val="Normal"/>
              <w:suppressAutoHyphens w:val="true"/>
              <w:spacing w:before="0" w:after="0"/>
              <w:rPr>
                <w:b/>
                <w:bCs/>
                <w:sz w:val="16"/>
                <w:szCs w:val="16"/>
              </w:rPr>
            </w:pPr>
            <w:r>
              <w:rPr>
                <w:b/>
                <w:bCs/>
                <w:sz w:val="16"/>
                <w:szCs w:val="16"/>
              </w:rPr>
              <w:t>Epochs</w:t>
            </w:r>
          </w:p>
        </w:tc>
        <w:tc>
          <w:tcPr>
            <w:tcW w:w="3347" w:type="dxa"/>
            <w:tcBorders>
              <w:top w:val="nil"/>
              <w:bottom w:val="nil"/>
            </w:tcBorders>
          </w:tcPr>
          <w:p>
            <w:pPr>
              <w:pStyle w:val="Normal"/>
              <w:suppressAutoHyphens w:val="true"/>
              <w:spacing w:before="0" w:after="0"/>
              <w:rPr>
                <w:sz w:val="16"/>
                <w:szCs w:val="16"/>
              </w:rPr>
            </w:pPr>
            <w:r>
              <w:rPr>
                <w:sz w:val="16"/>
                <w:szCs w:val="16"/>
              </w:rPr>
              <w:t>Próby wycięte względem zdarzeń</w:t>
            </w:r>
          </w:p>
        </w:tc>
        <w:tc>
          <w:tcPr>
            <w:tcW w:w="3743" w:type="dxa"/>
            <w:tcBorders>
              <w:top w:val="nil"/>
              <w:bottom w:val="nil"/>
            </w:tcBorders>
          </w:tcPr>
          <w:p>
            <w:pPr>
              <w:pStyle w:val="Normal"/>
              <w:suppressAutoHyphens w:val="true"/>
              <w:spacing w:before="0" w:after="0"/>
              <w:rPr>
                <w:sz w:val="16"/>
                <w:szCs w:val="16"/>
              </w:rPr>
            </w:pPr>
            <w:r>
              <w:rPr>
                <w:sz w:val="16"/>
                <w:szCs w:val="16"/>
              </w:rPr>
              <w:t>Porównywanie warunków, ERP, TFR, klasyfikacja</w:t>
            </w:r>
          </w:p>
        </w:tc>
      </w:tr>
      <w:tr>
        <w:trPr/>
        <w:tc>
          <w:tcPr>
            <w:tcW w:w="2830" w:type="dxa"/>
            <w:tcBorders>
              <w:top w:val="nil"/>
              <w:bottom w:val="nil"/>
            </w:tcBorders>
            <w:shd w:color="auto" w:fill="D3DFEE" w:themeFill="accent1" w:themeFillTint="3f" w:val="clear"/>
          </w:tcPr>
          <w:p>
            <w:pPr>
              <w:pStyle w:val="Normal"/>
              <w:suppressAutoHyphens w:val="true"/>
              <w:spacing w:before="0" w:after="0"/>
              <w:rPr>
                <w:b/>
                <w:bCs/>
                <w:sz w:val="16"/>
                <w:szCs w:val="16"/>
              </w:rPr>
            </w:pPr>
            <w:r>
              <w:rPr>
                <w:b/>
                <w:bCs/>
                <w:sz w:val="16"/>
                <w:szCs w:val="16"/>
              </w:rPr>
              <w:t>Evoked</w:t>
            </w:r>
          </w:p>
        </w:tc>
        <w:tc>
          <w:tcPr>
            <w:tcW w:w="3347" w:type="dxa"/>
            <w:tcBorders>
              <w:top w:val="nil"/>
              <w:bottom w:val="nil"/>
            </w:tcBorders>
            <w:shd w:color="auto" w:fill="D3DFEE" w:themeFill="accent1" w:themeFillTint="3f" w:val="clear"/>
          </w:tcPr>
          <w:p>
            <w:pPr>
              <w:pStyle w:val="Normal"/>
              <w:suppressAutoHyphens w:val="true"/>
              <w:spacing w:before="0" w:after="0"/>
              <w:rPr>
                <w:sz w:val="16"/>
                <w:szCs w:val="16"/>
              </w:rPr>
            </w:pPr>
            <w:r>
              <w:rPr>
                <w:sz w:val="16"/>
                <w:szCs w:val="16"/>
              </w:rPr>
              <w:t>Uśrednienie epok danego warunku</w:t>
            </w:r>
          </w:p>
        </w:tc>
        <w:tc>
          <w:tcPr>
            <w:tcW w:w="3743" w:type="dxa"/>
            <w:tcBorders>
              <w:top w:val="nil"/>
              <w:bottom w:val="nil"/>
            </w:tcBorders>
            <w:shd w:color="auto" w:fill="D3DFEE" w:themeFill="accent1" w:themeFillTint="3f" w:val="clear"/>
          </w:tcPr>
          <w:p>
            <w:pPr>
              <w:pStyle w:val="Normal"/>
              <w:suppressAutoHyphens w:val="true"/>
              <w:spacing w:before="0" w:after="0"/>
              <w:rPr>
                <w:sz w:val="16"/>
                <w:szCs w:val="16"/>
              </w:rPr>
            </w:pPr>
            <w:r>
              <w:rPr>
                <w:sz w:val="16"/>
                <w:szCs w:val="16"/>
              </w:rPr>
              <w:t>Analiza odpowiedzi związanych ze zdarzeniem</w:t>
            </w:r>
          </w:p>
        </w:tc>
      </w:tr>
      <w:tr>
        <w:trPr/>
        <w:tc>
          <w:tcPr>
            <w:tcW w:w="2830" w:type="dxa"/>
            <w:tcBorders>
              <w:top w:val="nil"/>
              <w:bottom w:val="nil"/>
            </w:tcBorders>
          </w:tcPr>
          <w:p>
            <w:pPr>
              <w:pStyle w:val="Normal"/>
              <w:suppressAutoHyphens w:val="true"/>
              <w:spacing w:before="0" w:after="0"/>
              <w:rPr>
                <w:b/>
                <w:bCs/>
                <w:sz w:val="16"/>
                <w:szCs w:val="16"/>
              </w:rPr>
            </w:pPr>
            <w:r>
              <w:rPr>
                <w:b/>
                <w:bCs/>
                <w:sz w:val="16"/>
                <w:szCs w:val="16"/>
              </w:rPr>
              <w:t>Spectrum / EpochsSpectrum</w:t>
            </w:r>
          </w:p>
        </w:tc>
        <w:tc>
          <w:tcPr>
            <w:tcW w:w="3347" w:type="dxa"/>
            <w:tcBorders>
              <w:top w:val="nil"/>
              <w:bottom w:val="nil"/>
            </w:tcBorders>
          </w:tcPr>
          <w:p>
            <w:pPr>
              <w:pStyle w:val="Normal"/>
              <w:suppressAutoHyphens w:val="true"/>
              <w:spacing w:before="0" w:after="0"/>
              <w:rPr>
                <w:sz w:val="16"/>
                <w:szCs w:val="16"/>
              </w:rPr>
            </w:pPr>
            <w:r>
              <w:rPr>
                <w:sz w:val="16"/>
                <w:szCs w:val="16"/>
              </w:rPr>
              <w:t>Oszacowania widma mocy</w:t>
            </w:r>
          </w:p>
        </w:tc>
        <w:tc>
          <w:tcPr>
            <w:tcW w:w="3743" w:type="dxa"/>
            <w:tcBorders>
              <w:top w:val="nil"/>
              <w:bottom w:val="nil"/>
            </w:tcBorders>
          </w:tcPr>
          <w:p>
            <w:pPr>
              <w:pStyle w:val="Normal"/>
              <w:suppressAutoHyphens w:val="true"/>
              <w:spacing w:before="0" w:after="0"/>
              <w:rPr>
                <w:sz w:val="16"/>
                <w:szCs w:val="16"/>
              </w:rPr>
            </w:pPr>
            <w:r>
              <w:rPr>
                <w:sz w:val="16"/>
                <w:szCs w:val="16"/>
              </w:rPr>
              <w:t>Analiza pasm częstotliwościowych</w:t>
            </w:r>
          </w:p>
        </w:tc>
      </w:tr>
      <w:tr>
        <w:trPr/>
        <w:tc>
          <w:tcPr>
            <w:tcW w:w="2830" w:type="dxa"/>
            <w:tcBorders>
              <w:top w:val="nil"/>
              <w:bottom w:val="nil"/>
            </w:tcBorders>
            <w:shd w:color="auto" w:fill="D3DFEE" w:themeFill="accent1" w:themeFillTint="3f" w:val="clear"/>
          </w:tcPr>
          <w:p>
            <w:pPr>
              <w:pStyle w:val="Normal"/>
              <w:suppressAutoHyphens w:val="true"/>
              <w:spacing w:before="0" w:after="0"/>
              <w:rPr>
                <w:b/>
                <w:bCs/>
                <w:sz w:val="16"/>
                <w:szCs w:val="16"/>
              </w:rPr>
            </w:pPr>
            <w:r>
              <w:rPr>
                <w:b/>
                <w:bCs/>
                <w:sz w:val="16"/>
                <w:szCs w:val="16"/>
              </w:rPr>
              <w:t>EpochsTFR / AverageTFR</w:t>
            </w:r>
          </w:p>
        </w:tc>
        <w:tc>
          <w:tcPr>
            <w:tcW w:w="3347" w:type="dxa"/>
            <w:tcBorders>
              <w:top w:val="nil"/>
              <w:bottom w:val="nil"/>
            </w:tcBorders>
            <w:shd w:color="auto" w:fill="D3DFEE" w:themeFill="accent1" w:themeFillTint="3f" w:val="clear"/>
          </w:tcPr>
          <w:p>
            <w:pPr>
              <w:pStyle w:val="Normal"/>
              <w:suppressAutoHyphens w:val="true"/>
              <w:spacing w:before="0" w:after="0"/>
              <w:rPr>
                <w:sz w:val="16"/>
                <w:szCs w:val="16"/>
              </w:rPr>
            </w:pPr>
            <w:r>
              <w:rPr>
                <w:sz w:val="16"/>
                <w:szCs w:val="16"/>
              </w:rPr>
              <w:t>Moc w funkcji czasu i częstotliwości</w:t>
            </w:r>
          </w:p>
        </w:tc>
        <w:tc>
          <w:tcPr>
            <w:tcW w:w="3743" w:type="dxa"/>
            <w:tcBorders>
              <w:top w:val="nil"/>
              <w:bottom w:val="nil"/>
            </w:tcBorders>
            <w:shd w:color="auto" w:fill="D3DFEE" w:themeFill="accent1" w:themeFillTint="3f" w:val="clear"/>
          </w:tcPr>
          <w:p>
            <w:pPr>
              <w:pStyle w:val="Normal"/>
              <w:suppressAutoHyphens w:val="true"/>
              <w:spacing w:before="0" w:after="0"/>
              <w:rPr>
                <w:sz w:val="16"/>
                <w:szCs w:val="16"/>
              </w:rPr>
            </w:pPr>
            <w:r>
              <w:rPr>
                <w:sz w:val="16"/>
                <w:szCs w:val="16"/>
              </w:rPr>
              <w:t>Dynamika oscylacji</w:t>
            </w:r>
          </w:p>
        </w:tc>
      </w:tr>
      <w:tr>
        <w:trPr/>
        <w:tc>
          <w:tcPr>
            <w:tcW w:w="2830" w:type="dxa"/>
            <w:tcBorders>
              <w:top w:val="nil"/>
            </w:tcBorders>
          </w:tcPr>
          <w:p>
            <w:pPr>
              <w:pStyle w:val="Normal"/>
              <w:suppressAutoHyphens w:val="true"/>
              <w:spacing w:before="0" w:after="0"/>
              <w:rPr>
                <w:b/>
                <w:bCs/>
                <w:sz w:val="16"/>
                <w:szCs w:val="16"/>
              </w:rPr>
            </w:pPr>
            <w:r>
              <w:rPr>
                <w:b/>
                <w:bCs/>
                <w:sz w:val="16"/>
                <w:szCs w:val="16"/>
              </w:rPr>
              <w:t>Info / Annotations</w:t>
            </w:r>
          </w:p>
        </w:tc>
        <w:tc>
          <w:tcPr>
            <w:tcW w:w="3347" w:type="dxa"/>
            <w:tcBorders>
              <w:top w:val="nil"/>
            </w:tcBorders>
          </w:tcPr>
          <w:p>
            <w:pPr>
              <w:pStyle w:val="Normal"/>
              <w:suppressAutoHyphens w:val="true"/>
              <w:spacing w:before="0" w:after="0"/>
              <w:rPr>
                <w:sz w:val="16"/>
                <w:szCs w:val="16"/>
              </w:rPr>
            </w:pPr>
            <w:r>
              <w:rPr>
                <w:sz w:val="16"/>
                <w:szCs w:val="16"/>
              </w:rPr>
              <w:t>Parametry rejestracji i opisy fragmentów</w:t>
            </w:r>
          </w:p>
        </w:tc>
        <w:tc>
          <w:tcPr>
            <w:tcW w:w="3743" w:type="dxa"/>
            <w:tcBorders>
              <w:top w:val="nil"/>
            </w:tcBorders>
          </w:tcPr>
          <w:p>
            <w:pPr>
              <w:pStyle w:val="Normal"/>
              <w:suppressAutoHyphens w:val="true"/>
              <w:spacing w:before="0" w:after="0"/>
              <w:rPr>
                <w:sz w:val="16"/>
                <w:szCs w:val="16"/>
              </w:rPr>
            </w:pPr>
            <w:r>
              <w:rPr>
                <w:sz w:val="16"/>
                <w:szCs w:val="16"/>
              </w:rPr>
              <w:t>Interpretacja, selekcja i kontrola jakości</w:t>
            </w:r>
          </w:p>
        </w:tc>
      </w:tr>
    </w:tbl>
    <w:p>
      <w:pPr>
        <w:pStyle w:val="Normal"/>
        <w:spacing w:lineRule="auto" w:line="276" w:before="170" w:after="170"/>
        <w:jc w:val="both"/>
        <w:rPr/>
      </w:pPr>
      <w:r>
        <w:rPr/>
        <w:t>Rozróżnienie tych obiektów jest ważniejsze niż zapamiętanie ich metod: nie należy traktować średniej ERP, surowej epoki i widma jako tego samego rodzaju obserwacji. Uśrednianie zmniejsza część aktywności nieskoordynowanej czasowo z bodźcem, ale może też zatrzeć zmienność między próbami.</w:t>
      </w:r>
    </w:p>
    <w:p>
      <w:pPr>
        <w:pStyle w:val="Heading2"/>
        <w:keepNext w:val="true"/>
        <w:rPr/>
      </w:pPr>
      <w:r>
        <w:rPr/>
        <w:t>14.2. Metadane i montaż elektrod</w:t>
      </w:r>
    </w:p>
    <w:p>
      <w:pPr>
        <w:pStyle w:val="Normal"/>
        <w:jc w:val="both"/>
        <w:rPr/>
      </w:pPr>
      <w:r>
        <w:rPr/>
        <w:t>Montaż (montage) definiuje przestrzenne położenie elektrod. Jest niezbędny do wiarygodnych map topograficznych i interpolacji kanałów. Standard nazewniczy 10–20 nie gwarantuje, że współrzędne i rozmieszczenie elektrod w konkretnym badaniu są identyczne ze standardowym szablonem. Lokalizację elektrod i odniesienie należy dokumentować także wtedy, gdy badanie nie obejmuje rekonstrukcji źródeł [1, 14].</w:t>
      </w:r>
    </w:p>
    <w:p>
      <w:pPr>
        <w:pStyle w:val="Normal"/>
        <w:shd w:fill="EAF1F4" w:val="clear"/>
        <w:spacing w:before="40" w:after="100"/>
        <w:ind w:start="255"/>
        <w:rPr>
          <w:sz w:val="18"/>
          <w:szCs w:val="18"/>
        </w:rPr>
      </w:pPr>
      <w:r>
        <w:rPr>
          <w:rFonts w:ascii="Consolas" w:hAnsi="Consolas"/>
          <w:color w:val="194A5F"/>
          <w:sz w:val="18"/>
          <w:szCs w:val="18"/>
        </w:rPr>
        <w:t>print(raw.info["sfreq"], raw.get_channel_types())</w:t>
        <w:br/>
        <w:t>print(raw.info["bads"], raw.get_montage())</w:t>
      </w:r>
    </w:p>
    <w:p>
      <w:pPr>
        <w:pStyle w:val="Heading1"/>
        <w:keepNext w:val="true"/>
        <w:rPr/>
      </w:pPr>
      <w:r>
        <w:rPr/>
        <w:t>15. Co można naukowo wywnioskować z EEG</w:t>
      </w:r>
    </w:p>
    <w:tbl>
      <w:tblPr>
        <w:tblStyle w:val="LightShading-Accent1"/>
        <w:tblW w:w="992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518"/>
        <w:gridCol w:w="2768"/>
        <w:gridCol w:w="3634"/>
      </w:tblGrid>
      <w:tr>
        <w:trPr/>
        <w:tc>
          <w:tcPr>
            <w:tcW w:w="3518" w:type="dxa"/>
            <w:tcBorders/>
          </w:tcPr>
          <w:p>
            <w:pPr>
              <w:pStyle w:val="Normal"/>
              <w:suppressAutoHyphens w:val="true"/>
              <w:spacing w:before="0" w:after="0"/>
              <w:rPr>
                <w:b/>
                <w:bCs/>
                <w:sz w:val="16"/>
                <w:szCs w:val="16"/>
              </w:rPr>
            </w:pPr>
            <w:r>
              <w:rPr>
                <w:b/>
                <w:bCs/>
                <w:sz w:val="16"/>
                <w:szCs w:val="16"/>
              </w:rPr>
              <w:t>Pytanie badawcze</w:t>
            </w:r>
          </w:p>
        </w:tc>
        <w:tc>
          <w:tcPr>
            <w:tcW w:w="2768" w:type="dxa"/>
            <w:tcBorders/>
          </w:tcPr>
          <w:p>
            <w:pPr>
              <w:pStyle w:val="Normal"/>
              <w:suppressAutoHyphens w:val="true"/>
              <w:spacing w:before="0" w:after="0"/>
              <w:rPr>
                <w:b/>
                <w:bCs/>
                <w:sz w:val="16"/>
                <w:szCs w:val="16"/>
              </w:rPr>
            </w:pPr>
            <w:r>
              <w:rPr>
                <w:b/>
                <w:bCs/>
                <w:sz w:val="16"/>
                <w:szCs w:val="16"/>
              </w:rPr>
              <w:t>Rodzina analiz</w:t>
            </w:r>
          </w:p>
        </w:tc>
        <w:tc>
          <w:tcPr>
            <w:tcW w:w="3634" w:type="dxa"/>
            <w:tcBorders/>
          </w:tcPr>
          <w:p>
            <w:pPr>
              <w:pStyle w:val="Normal"/>
              <w:suppressAutoHyphens w:val="true"/>
              <w:spacing w:before="0" w:after="0"/>
              <w:rPr>
                <w:b/>
                <w:bCs/>
                <w:sz w:val="16"/>
                <w:szCs w:val="16"/>
              </w:rPr>
            </w:pPr>
            <w:r>
              <w:rPr>
                <w:b/>
                <w:bCs/>
                <w:sz w:val="16"/>
                <w:szCs w:val="16"/>
              </w:rPr>
              <w:t>Główne zastrzeżenie</w:t>
            </w:r>
          </w:p>
        </w:tc>
      </w:tr>
      <w:tr>
        <w:trPr/>
        <w:tc>
          <w:tcPr>
            <w:tcW w:w="3518" w:type="dxa"/>
            <w:tcBorders>
              <w:top w:val="nil"/>
              <w:bottom w:val="nil"/>
            </w:tcBorders>
            <w:shd w:color="auto" w:fill="D3DFEE" w:themeFill="accent1" w:themeFillTint="3f" w:val="clear"/>
          </w:tcPr>
          <w:p>
            <w:pPr>
              <w:pStyle w:val="Normal"/>
              <w:suppressAutoHyphens w:val="true"/>
              <w:spacing w:before="0" w:after="0"/>
              <w:rPr>
                <w:b/>
                <w:bCs/>
                <w:sz w:val="16"/>
                <w:szCs w:val="16"/>
              </w:rPr>
            </w:pPr>
            <w:r>
              <w:rPr>
                <w:b/>
                <w:bCs/>
                <w:sz w:val="16"/>
                <w:szCs w:val="16"/>
              </w:rPr>
              <w:t>Czy bodziec wywołuje powtarzalną odpowiedź?</w:t>
            </w:r>
          </w:p>
        </w:tc>
        <w:tc>
          <w:tcPr>
            <w:tcW w:w="2768" w:type="dxa"/>
            <w:tcBorders>
              <w:top w:val="nil"/>
              <w:bottom w:val="nil"/>
            </w:tcBorders>
            <w:shd w:color="auto" w:fill="D3DFEE" w:themeFill="accent1" w:themeFillTint="3f" w:val="clear"/>
          </w:tcPr>
          <w:p>
            <w:pPr>
              <w:pStyle w:val="Normal"/>
              <w:suppressAutoHyphens w:val="true"/>
              <w:spacing w:before="0" w:after="0"/>
              <w:rPr>
                <w:sz w:val="16"/>
                <w:szCs w:val="16"/>
              </w:rPr>
            </w:pPr>
            <w:r>
              <w:rPr>
                <w:sz w:val="16"/>
                <w:szCs w:val="16"/>
              </w:rPr>
              <w:t>ERP oraz modele statystyczne</w:t>
            </w:r>
          </w:p>
        </w:tc>
        <w:tc>
          <w:tcPr>
            <w:tcW w:w="3634" w:type="dxa"/>
            <w:tcBorders>
              <w:top w:val="nil"/>
              <w:bottom w:val="nil"/>
            </w:tcBorders>
            <w:shd w:color="auto" w:fill="D3DFEE" w:themeFill="accent1" w:themeFillTint="3f" w:val="clear"/>
          </w:tcPr>
          <w:p>
            <w:pPr>
              <w:pStyle w:val="Normal"/>
              <w:suppressAutoHyphens w:val="true"/>
              <w:spacing w:before="0" w:after="0"/>
              <w:rPr>
                <w:sz w:val="16"/>
                <w:szCs w:val="16"/>
              </w:rPr>
            </w:pPr>
            <w:r>
              <w:rPr>
                <w:sz w:val="16"/>
                <w:szCs w:val="16"/>
              </w:rPr>
              <w:t>Latencja i amplituda zależą od paradygmatu</w:t>
            </w:r>
          </w:p>
        </w:tc>
      </w:tr>
      <w:tr>
        <w:trPr/>
        <w:tc>
          <w:tcPr>
            <w:tcW w:w="3518" w:type="dxa"/>
            <w:tcBorders>
              <w:top w:val="nil"/>
              <w:bottom w:val="nil"/>
            </w:tcBorders>
          </w:tcPr>
          <w:p>
            <w:pPr>
              <w:pStyle w:val="Normal"/>
              <w:suppressAutoHyphens w:val="true"/>
              <w:spacing w:before="0" w:after="0"/>
              <w:rPr>
                <w:b/>
                <w:bCs/>
                <w:sz w:val="16"/>
                <w:szCs w:val="16"/>
              </w:rPr>
            </w:pPr>
            <w:r>
              <w:rPr>
                <w:b/>
                <w:bCs/>
                <w:sz w:val="16"/>
                <w:szCs w:val="16"/>
              </w:rPr>
              <w:t>Czy zmienia się aktywność w pasmach?</w:t>
            </w:r>
          </w:p>
        </w:tc>
        <w:tc>
          <w:tcPr>
            <w:tcW w:w="2768" w:type="dxa"/>
            <w:tcBorders>
              <w:top w:val="nil"/>
              <w:bottom w:val="nil"/>
            </w:tcBorders>
          </w:tcPr>
          <w:p>
            <w:pPr>
              <w:pStyle w:val="Normal"/>
              <w:suppressAutoHyphens w:val="true"/>
              <w:spacing w:before="0" w:after="0"/>
              <w:rPr>
                <w:sz w:val="16"/>
                <w:szCs w:val="16"/>
              </w:rPr>
            </w:pPr>
            <w:r>
              <w:rPr>
                <w:sz w:val="16"/>
                <w:szCs w:val="16"/>
              </w:rPr>
              <w:t>PSD, moc względna, parametry aperiodiczne</w:t>
            </w:r>
          </w:p>
        </w:tc>
        <w:tc>
          <w:tcPr>
            <w:tcW w:w="3634" w:type="dxa"/>
            <w:tcBorders>
              <w:top w:val="nil"/>
              <w:bottom w:val="nil"/>
            </w:tcBorders>
          </w:tcPr>
          <w:p>
            <w:pPr>
              <w:pStyle w:val="Normal"/>
              <w:suppressAutoHyphens w:val="true"/>
              <w:spacing w:before="0" w:after="0"/>
              <w:rPr>
                <w:sz w:val="16"/>
                <w:szCs w:val="16"/>
              </w:rPr>
            </w:pPr>
            <w:r>
              <w:rPr>
                <w:sz w:val="16"/>
                <w:szCs w:val="16"/>
              </w:rPr>
              <w:t>Moc nie jest tożsama z aktywacją regionu</w:t>
            </w:r>
          </w:p>
        </w:tc>
      </w:tr>
      <w:tr>
        <w:trPr/>
        <w:tc>
          <w:tcPr>
            <w:tcW w:w="3518" w:type="dxa"/>
            <w:tcBorders>
              <w:top w:val="nil"/>
              <w:bottom w:val="nil"/>
            </w:tcBorders>
            <w:shd w:color="auto" w:fill="D3DFEE" w:themeFill="accent1" w:themeFillTint="3f" w:val="clear"/>
          </w:tcPr>
          <w:p>
            <w:pPr>
              <w:pStyle w:val="Normal"/>
              <w:suppressAutoHyphens w:val="true"/>
              <w:spacing w:before="0" w:after="0"/>
              <w:rPr>
                <w:b/>
                <w:bCs/>
                <w:sz w:val="16"/>
                <w:szCs w:val="16"/>
              </w:rPr>
            </w:pPr>
            <w:r>
              <w:rPr>
                <w:b/>
                <w:bCs/>
                <w:sz w:val="16"/>
                <w:szCs w:val="16"/>
              </w:rPr>
              <w:t>Kiedy pojawia się zmiana oscylacji?</w:t>
            </w:r>
          </w:p>
        </w:tc>
        <w:tc>
          <w:tcPr>
            <w:tcW w:w="2768" w:type="dxa"/>
            <w:tcBorders>
              <w:top w:val="nil"/>
              <w:bottom w:val="nil"/>
            </w:tcBorders>
            <w:shd w:color="auto" w:fill="D3DFEE" w:themeFill="accent1" w:themeFillTint="3f" w:val="clear"/>
          </w:tcPr>
          <w:p>
            <w:pPr>
              <w:pStyle w:val="Normal"/>
              <w:suppressAutoHyphens w:val="true"/>
              <w:spacing w:before="0" w:after="0"/>
              <w:rPr>
                <w:sz w:val="16"/>
                <w:szCs w:val="16"/>
              </w:rPr>
            </w:pPr>
            <w:r>
              <w:rPr>
                <w:sz w:val="16"/>
                <w:szCs w:val="16"/>
              </w:rPr>
              <w:t>TFR, ERD/ERS</w:t>
            </w:r>
          </w:p>
        </w:tc>
        <w:tc>
          <w:tcPr>
            <w:tcW w:w="3634" w:type="dxa"/>
            <w:tcBorders>
              <w:top w:val="nil"/>
              <w:bottom w:val="nil"/>
            </w:tcBorders>
            <w:shd w:color="auto" w:fill="D3DFEE" w:themeFill="accent1" w:themeFillTint="3f" w:val="clear"/>
          </w:tcPr>
          <w:p>
            <w:pPr>
              <w:pStyle w:val="Normal"/>
              <w:suppressAutoHyphens w:val="true"/>
              <w:spacing w:before="0" w:after="0"/>
              <w:rPr>
                <w:sz w:val="16"/>
                <w:szCs w:val="16"/>
              </w:rPr>
            </w:pPr>
            <w:r>
              <w:rPr>
                <w:sz w:val="16"/>
                <w:szCs w:val="16"/>
              </w:rPr>
              <w:t>Zależność rozdzielczości od liczby cykli</w:t>
            </w:r>
          </w:p>
        </w:tc>
      </w:tr>
      <w:tr>
        <w:trPr/>
        <w:tc>
          <w:tcPr>
            <w:tcW w:w="3518" w:type="dxa"/>
            <w:tcBorders>
              <w:top w:val="nil"/>
              <w:bottom w:val="nil"/>
            </w:tcBorders>
          </w:tcPr>
          <w:p>
            <w:pPr>
              <w:pStyle w:val="Normal"/>
              <w:suppressAutoHyphens w:val="true"/>
              <w:spacing w:before="0" w:after="0"/>
              <w:rPr>
                <w:b/>
                <w:bCs/>
                <w:sz w:val="16"/>
                <w:szCs w:val="16"/>
              </w:rPr>
            </w:pPr>
            <w:r>
              <w:rPr>
                <w:b/>
                <w:bCs/>
                <w:sz w:val="16"/>
                <w:szCs w:val="16"/>
              </w:rPr>
              <w:t>Czy kanały współzmieniają się w czasie?</w:t>
            </w:r>
          </w:p>
        </w:tc>
        <w:tc>
          <w:tcPr>
            <w:tcW w:w="2768" w:type="dxa"/>
            <w:tcBorders>
              <w:top w:val="nil"/>
              <w:bottom w:val="nil"/>
            </w:tcBorders>
          </w:tcPr>
          <w:p>
            <w:pPr>
              <w:pStyle w:val="Normal"/>
              <w:suppressAutoHyphens w:val="true"/>
              <w:spacing w:before="0" w:after="0"/>
              <w:rPr>
                <w:sz w:val="16"/>
                <w:szCs w:val="16"/>
              </w:rPr>
            </w:pPr>
            <w:r>
              <w:rPr>
                <w:sz w:val="16"/>
                <w:szCs w:val="16"/>
              </w:rPr>
              <w:t>Koherencja, PLV, wPLI</w:t>
            </w:r>
          </w:p>
        </w:tc>
        <w:tc>
          <w:tcPr>
            <w:tcW w:w="3634" w:type="dxa"/>
            <w:tcBorders>
              <w:top w:val="nil"/>
              <w:bottom w:val="nil"/>
            </w:tcBorders>
          </w:tcPr>
          <w:p>
            <w:pPr>
              <w:pStyle w:val="Normal"/>
              <w:suppressAutoHyphens w:val="true"/>
              <w:spacing w:before="0" w:after="0"/>
              <w:rPr>
                <w:sz w:val="16"/>
                <w:szCs w:val="16"/>
              </w:rPr>
            </w:pPr>
            <w:r>
              <w:rPr>
                <w:sz w:val="16"/>
                <w:szCs w:val="16"/>
              </w:rPr>
              <w:t>Przewodnictwo objętościowe i odniesienie</w:t>
            </w:r>
          </w:p>
        </w:tc>
      </w:tr>
      <w:tr>
        <w:trPr/>
        <w:tc>
          <w:tcPr>
            <w:tcW w:w="3518" w:type="dxa"/>
            <w:tcBorders>
              <w:top w:val="nil"/>
              <w:bottom w:val="nil"/>
            </w:tcBorders>
            <w:shd w:color="auto" w:fill="D3DFEE" w:themeFill="accent1" w:themeFillTint="3f" w:val="clear"/>
          </w:tcPr>
          <w:p>
            <w:pPr>
              <w:pStyle w:val="Normal"/>
              <w:suppressAutoHyphens w:val="true"/>
              <w:spacing w:before="0" w:after="0"/>
              <w:rPr>
                <w:b/>
                <w:bCs/>
                <w:sz w:val="16"/>
                <w:szCs w:val="16"/>
              </w:rPr>
            </w:pPr>
            <w:r>
              <w:rPr>
                <w:b/>
                <w:bCs/>
                <w:sz w:val="16"/>
                <w:szCs w:val="16"/>
              </w:rPr>
              <w:t>Gdzie mogły powstać sygnały?</w:t>
            </w:r>
          </w:p>
        </w:tc>
        <w:tc>
          <w:tcPr>
            <w:tcW w:w="2768" w:type="dxa"/>
            <w:tcBorders>
              <w:top w:val="nil"/>
              <w:bottom w:val="nil"/>
            </w:tcBorders>
            <w:shd w:color="auto" w:fill="D3DFEE" w:themeFill="accent1" w:themeFillTint="3f" w:val="clear"/>
          </w:tcPr>
          <w:p>
            <w:pPr>
              <w:pStyle w:val="Normal"/>
              <w:suppressAutoHyphens w:val="true"/>
              <w:spacing w:before="0" w:after="0"/>
              <w:rPr>
                <w:sz w:val="16"/>
                <w:szCs w:val="16"/>
              </w:rPr>
            </w:pPr>
            <w:r>
              <w:rPr>
                <w:sz w:val="16"/>
                <w:szCs w:val="16"/>
              </w:rPr>
              <w:t>Modelowanie źródeł</w:t>
            </w:r>
          </w:p>
        </w:tc>
        <w:tc>
          <w:tcPr>
            <w:tcW w:w="3634" w:type="dxa"/>
            <w:tcBorders>
              <w:top w:val="nil"/>
              <w:bottom w:val="nil"/>
            </w:tcBorders>
            <w:shd w:color="auto" w:fill="D3DFEE" w:themeFill="accent1" w:themeFillTint="3f" w:val="clear"/>
          </w:tcPr>
          <w:p>
            <w:pPr>
              <w:pStyle w:val="Normal"/>
              <w:suppressAutoHyphens w:val="true"/>
              <w:spacing w:before="0" w:after="0"/>
              <w:rPr>
                <w:sz w:val="16"/>
                <w:szCs w:val="16"/>
              </w:rPr>
            </w:pPr>
            <w:r>
              <w:rPr>
                <w:sz w:val="16"/>
                <w:szCs w:val="16"/>
              </w:rPr>
              <w:t>Niejednoznaczny problem odwrotny</w:t>
            </w:r>
          </w:p>
        </w:tc>
      </w:tr>
      <w:tr>
        <w:trPr/>
        <w:tc>
          <w:tcPr>
            <w:tcW w:w="3518" w:type="dxa"/>
            <w:tcBorders>
              <w:top w:val="nil"/>
            </w:tcBorders>
          </w:tcPr>
          <w:p>
            <w:pPr>
              <w:pStyle w:val="Normal"/>
              <w:suppressAutoHyphens w:val="true"/>
              <w:spacing w:before="0" w:after="0"/>
              <w:rPr>
                <w:b/>
                <w:bCs/>
                <w:sz w:val="16"/>
                <w:szCs w:val="16"/>
              </w:rPr>
            </w:pPr>
            <w:r>
              <w:rPr>
                <w:b/>
                <w:bCs/>
                <w:sz w:val="16"/>
                <w:szCs w:val="16"/>
              </w:rPr>
              <w:t>Czy można przewidzieć kategorię/stan?</w:t>
            </w:r>
          </w:p>
        </w:tc>
        <w:tc>
          <w:tcPr>
            <w:tcW w:w="2768" w:type="dxa"/>
            <w:tcBorders>
              <w:top w:val="nil"/>
            </w:tcBorders>
          </w:tcPr>
          <w:p>
            <w:pPr>
              <w:pStyle w:val="Normal"/>
              <w:suppressAutoHyphens w:val="true"/>
              <w:spacing w:before="0" w:after="0"/>
              <w:rPr>
                <w:sz w:val="16"/>
                <w:szCs w:val="16"/>
              </w:rPr>
            </w:pPr>
            <w:r>
              <w:rPr>
                <w:sz w:val="16"/>
                <w:szCs w:val="16"/>
              </w:rPr>
              <w:t>scikit-learn, Braindecode</w:t>
            </w:r>
          </w:p>
        </w:tc>
        <w:tc>
          <w:tcPr>
            <w:tcW w:w="3634" w:type="dxa"/>
            <w:tcBorders>
              <w:top w:val="nil"/>
            </w:tcBorders>
          </w:tcPr>
          <w:p>
            <w:pPr>
              <w:pStyle w:val="Normal"/>
              <w:suppressAutoHyphens w:val="true"/>
              <w:spacing w:before="0" w:after="0"/>
              <w:rPr>
                <w:sz w:val="16"/>
                <w:szCs w:val="16"/>
              </w:rPr>
            </w:pPr>
            <w:r>
              <w:rPr>
                <w:sz w:val="16"/>
                <w:szCs w:val="16"/>
              </w:rPr>
              <w:t>Przeciek danych i uogólnianie międzyosobnicze</w:t>
            </w:r>
          </w:p>
        </w:tc>
      </w:tr>
    </w:tbl>
    <w:p>
      <w:pPr>
        <w:pStyle w:val="Normal"/>
        <w:rPr/>
      </w:pPr>
      <w:r>
        <w:rPr/>
      </w:r>
    </w:p>
    <w:p>
      <w:pPr>
        <w:pStyle w:val="Normal"/>
        <w:jc w:val="both"/>
        <w:rPr/>
      </w:pPr>
      <w:r>
        <w:rPr/>
        <w:t>w</w:t>
      </w:r>
      <w:r>
        <w:rPr/>
        <w:t> badaniu neuropsychologicznym analiza EEG staje się użyteczna dopiero po powiązaniu miar sygnału z konstruktem poznawczym, zachowaniem oraz projektem eksperymentu. Zwiększona moc theta nie stanowi samodzielnie dowodu na określony proces psychiczny ani rozpoznania klinicznego; interpretacja wymaga warunków kontrolnych, porównywalnych procedur i ostrożności wobec zakłóceń.</w:t>
      </w:r>
    </w:p>
    <w:p>
      <w:pPr>
        <w:pStyle w:val="Heading1"/>
        <w:keepNext w:val="true"/>
        <w:rPr/>
      </w:pPr>
      <w:r>
        <w:rPr/>
        <w:t>16. Sygnał użyteczny i źródła zakłóceń</w:t>
      </w:r>
    </w:p>
    <w:p>
      <w:pPr>
        <w:pStyle w:val="Heading2"/>
        <w:keepNext w:val="true"/>
        <w:rPr/>
      </w:pPr>
      <w:r>
        <w:rPr/>
        <w:t>16.1. Artefakty fizjologiczne i techniczne</w:t>
      </w:r>
    </w:p>
    <w:p>
      <w:pPr>
        <w:pStyle w:val="Normal"/>
        <w:jc w:val="both"/>
        <w:rPr/>
      </w:pPr>
      <w:r>
        <w:rPr/>
        <w:t>w zapisie EEG nakładają się aktywność neuronalna oraz potencjały oczno-ruchowe, mięśniowe, sercowe i sygnały pochodzące z ruchu przewodów czy niestabilnego kontaktu elektrody. Artefakty nie zawsze można wiarygodnie odseparować pojedynczym filtrem. Analiza jakości powinna poprzedzać decyzję o odrzuceniu epoki, interpolacji elektrody lub zastosowaniu ICA [2].</w:t>
      </w:r>
    </w:p>
    <w:tbl>
      <w:tblPr>
        <w:tblStyle w:val="LightShading-Accent1"/>
        <w:tblW w:w="9859"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2489"/>
        <w:gridCol w:w="3271"/>
        <w:gridCol w:w="4099"/>
      </w:tblGrid>
      <w:tr>
        <w:trPr/>
        <w:tc>
          <w:tcPr>
            <w:tcW w:w="2489" w:type="dxa"/>
            <w:tcBorders/>
          </w:tcPr>
          <w:p>
            <w:pPr>
              <w:pStyle w:val="Normal"/>
              <w:suppressAutoHyphens w:val="true"/>
              <w:spacing w:lineRule="auto" w:line="276" w:before="0" w:after="0"/>
              <w:rPr>
                <w:b/>
                <w:bCs/>
                <w:sz w:val="16"/>
                <w:szCs w:val="16"/>
              </w:rPr>
            </w:pPr>
            <w:r>
              <w:rPr>
                <w:b/>
                <w:bCs/>
                <w:sz w:val="16"/>
                <w:szCs w:val="16"/>
              </w:rPr>
              <w:t>Zjawisko</w:t>
            </w:r>
          </w:p>
        </w:tc>
        <w:tc>
          <w:tcPr>
            <w:tcW w:w="3271" w:type="dxa"/>
            <w:tcBorders/>
          </w:tcPr>
          <w:p>
            <w:pPr>
              <w:pStyle w:val="Normal"/>
              <w:suppressAutoHyphens w:val="true"/>
              <w:spacing w:lineRule="auto" w:line="276" w:before="0" w:after="0"/>
              <w:rPr>
                <w:b/>
                <w:bCs/>
                <w:sz w:val="16"/>
                <w:szCs w:val="16"/>
              </w:rPr>
            </w:pPr>
            <w:r>
              <w:rPr>
                <w:b/>
                <w:bCs/>
                <w:sz w:val="16"/>
                <w:szCs w:val="16"/>
              </w:rPr>
              <w:t>Częsty obraz</w:t>
            </w:r>
          </w:p>
        </w:tc>
        <w:tc>
          <w:tcPr>
            <w:tcW w:w="4099" w:type="dxa"/>
            <w:tcBorders/>
          </w:tcPr>
          <w:p>
            <w:pPr>
              <w:pStyle w:val="Normal"/>
              <w:suppressAutoHyphens w:val="true"/>
              <w:spacing w:lineRule="auto" w:line="276" w:before="0" w:after="0"/>
              <w:rPr>
                <w:b/>
                <w:bCs/>
                <w:sz w:val="16"/>
                <w:szCs w:val="16"/>
              </w:rPr>
            </w:pPr>
            <w:r>
              <w:rPr>
                <w:b/>
                <w:bCs/>
                <w:sz w:val="16"/>
                <w:szCs w:val="16"/>
              </w:rPr>
              <w:t>Konsekwencja analityczna</w:t>
            </w:r>
          </w:p>
        </w:tc>
      </w:tr>
      <w:tr>
        <w:trPr/>
        <w:tc>
          <w:tcPr>
            <w:tcW w:w="2489" w:type="dxa"/>
            <w:tcBorders>
              <w:top w:val="nil"/>
              <w:bottom w:val="nil"/>
            </w:tcBorders>
            <w:shd w:color="auto" w:fill="D3DFEE" w:themeFill="accent1" w:themeFillTint="3f" w:val="clear"/>
          </w:tcPr>
          <w:p>
            <w:pPr>
              <w:pStyle w:val="Normal"/>
              <w:suppressAutoHyphens w:val="true"/>
              <w:spacing w:lineRule="auto" w:line="276" w:before="0" w:after="0"/>
              <w:rPr>
                <w:b/>
                <w:bCs/>
                <w:sz w:val="16"/>
                <w:szCs w:val="16"/>
              </w:rPr>
            </w:pPr>
            <w:r>
              <w:rPr>
                <w:b/>
                <w:bCs/>
                <w:sz w:val="16"/>
                <w:szCs w:val="16"/>
              </w:rPr>
              <w:t>Mruganie, ruchy oczu</w:t>
            </w:r>
          </w:p>
        </w:tc>
        <w:tc>
          <w:tcPr>
            <w:tcW w:w="3271" w:type="dxa"/>
            <w:tcBorders>
              <w:top w:val="nil"/>
              <w:bottom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Wolne, duże odchylenia, często czołowo</w:t>
            </w:r>
          </w:p>
        </w:tc>
        <w:tc>
          <w:tcPr>
            <w:tcW w:w="4099" w:type="dxa"/>
            <w:tcBorders>
              <w:top w:val="nil"/>
              <w:bottom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Wpływ na ERP i moc niskich częstotliwości</w:t>
            </w:r>
          </w:p>
        </w:tc>
      </w:tr>
      <w:tr>
        <w:trPr/>
        <w:tc>
          <w:tcPr>
            <w:tcW w:w="2489" w:type="dxa"/>
            <w:tcBorders>
              <w:top w:val="nil"/>
              <w:bottom w:val="nil"/>
            </w:tcBorders>
          </w:tcPr>
          <w:p>
            <w:pPr>
              <w:pStyle w:val="Normal"/>
              <w:suppressAutoHyphens w:val="true"/>
              <w:spacing w:lineRule="auto" w:line="276" w:before="0" w:after="0"/>
              <w:rPr>
                <w:b/>
                <w:bCs/>
                <w:sz w:val="16"/>
                <w:szCs w:val="16"/>
              </w:rPr>
            </w:pPr>
            <w:r>
              <w:rPr>
                <w:b/>
                <w:bCs/>
                <w:sz w:val="16"/>
                <w:szCs w:val="16"/>
              </w:rPr>
              <w:t>EMG twarzy/szyi</w:t>
            </w:r>
          </w:p>
        </w:tc>
        <w:tc>
          <w:tcPr>
            <w:tcW w:w="3271" w:type="dxa"/>
            <w:tcBorders>
              <w:top w:val="nil"/>
              <w:bottom w:val="nil"/>
            </w:tcBorders>
          </w:tcPr>
          <w:p>
            <w:pPr>
              <w:pStyle w:val="Normal"/>
              <w:suppressAutoHyphens w:val="true"/>
              <w:spacing w:lineRule="auto" w:line="276" w:before="0" w:after="0"/>
              <w:rPr>
                <w:sz w:val="16"/>
                <w:szCs w:val="16"/>
              </w:rPr>
            </w:pPr>
            <w:r>
              <w:rPr>
                <w:sz w:val="16"/>
                <w:szCs w:val="16"/>
              </w:rPr>
              <w:t>Szerokopasmowa aktywność, często wyższe pasma</w:t>
            </w:r>
          </w:p>
        </w:tc>
        <w:tc>
          <w:tcPr>
            <w:tcW w:w="4099" w:type="dxa"/>
            <w:tcBorders>
              <w:top w:val="nil"/>
              <w:bottom w:val="nil"/>
            </w:tcBorders>
          </w:tcPr>
          <w:p>
            <w:pPr>
              <w:pStyle w:val="Normal"/>
              <w:suppressAutoHyphens w:val="true"/>
              <w:spacing w:lineRule="auto" w:line="276" w:before="0" w:after="0"/>
              <w:rPr>
                <w:sz w:val="16"/>
                <w:szCs w:val="16"/>
              </w:rPr>
            </w:pPr>
            <w:r>
              <w:rPr>
                <w:sz w:val="16"/>
                <w:szCs w:val="16"/>
              </w:rPr>
              <w:t>Ryzyko pozornej aktywności beta/gamma</w:t>
            </w:r>
          </w:p>
        </w:tc>
      </w:tr>
      <w:tr>
        <w:trPr/>
        <w:tc>
          <w:tcPr>
            <w:tcW w:w="2489" w:type="dxa"/>
            <w:tcBorders>
              <w:top w:val="nil"/>
              <w:bottom w:val="nil"/>
            </w:tcBorders>
            <w:shd w:color="auto" w:fill="D3DFEE" w:themeFill="accent1" w:themeFillTint="3f" w:val="clear"/>
          </w:tcPr>
          <w:p>
            <w:pPr>
              <w:pStyle w:val="Normal"/>
              <w:suppressAutoHyphens w:val="true"/>
              <w:spacing w:lineRule="auto" w:line="276" w:before="0" w:after="0"/>
              <w:rPr>
                <w:b/>
                <w:bCs/>
                <w:sz w:val="16"/>
                <w:szCs w:val="16"/>
              </w:rPr>
            </w:pPr>
            <w:r>
              <w:rPr>
                <w:b/>
                <w:bCs/>
                <w:sz w:val="16"/>
                <w:szCs w:val="16"/>
              </w:rPr>
              <w:t>Zakłócenia sieciowe</w:t>
            </w:r>
          </w:p>
        </w:tc>
        <w:tc>
          <w:tcPr>
            <w:tcW w:w="3271" w:type="dxa"/>
            <w:tcBorders>
              <w:top w:val="nil"/>
              <w:bottom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Wąski „pik” ok. 50 Hz w Polsce</w:t>
            </w:r>
          </w:p>
        </w:tc>
        <w:tc>
          <w:tcPr>
            <w:tcW w:w="4099" w:type="dxa"/>
            <w:tcBorders>
              <w:top w:val="nil"/>
              <w:bottom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Zafałszowanie PSD i niektórych analiz łączności</w:t>
            </w:r>
          </w:p>
        </w:tc>
      </w:tr>
      <w:tr>
        <w:trPr/>
        <w:tc>
          <w:tcPr>
            <w:tcW w:w="2489" w:type="dxa"/>
            <w:tcBorders>
              <w:top w:val="nil"/>
              <w:bottom w:val="nil"/>
            </w:tcBorders>
          </w:tcPr>
          <w:p>
            <w:pPr>
              <w:pStyle w:val="Normal"/>
              <w:suppressAutoHyphens w:val="true"/>
              <w:spacing w:lineRule="auto" w:line="276" w:before="0" w:after="0"/>
              <w:rPr>
                <w:b/>
                <w:bCs/>
                <w:sz w:val="16"/>
                <w:szCs w:val="16"/>
              </w:rPr>
            </w:pPr>
            <w:r>
              <w:rPr>
                <w:b/>
                <w:bCs/>
                <w:sz w:val="16"/>
                <w:szCs w:val="16"/>
              </w:rPr>
              <w:t>Słaby kontakt elektrody</w:t>
            </w:r>
          </w:p>
        </w:tc>
        <w:tc>
          <w:tcPr>
            <w:tcW w:w="3271" w:type="dxa"/>
            <w:tcBorders>
              <w:top w:val="nil"/>
              <w:bottom w:val="nil"/>
            </w:tcBorders>
          </w:tcPr>
          <w:p>
            <w:pPr>
              <w:pStyle w:val="Normal"/>
              <w:suppressAutoHyphens w:val="true"/>
              <w:spacing w:lineRule="auto" w:line="276" w:before="0" w:after="0"/>
              <w:rPr>
                <w:sz w:val="16"/>
                <w:szCs w:val="16"/>
              </w:rPr>
            </w:pPr>
            <w:r>
              <w:rPr>
                <w:sz w:val="16"/>
                <w:szCs w:val="16"/>
              </w:rPr>
              <w:t>Szum, dryf lub przerwy</w:t>
            </w:r>
          </w:p>
        </w:tc>
        <w:tc>
          <w:tcPr>
            <w:tcW w:w="4099" w:type="dxa"/>
            <w:tcBorders>
              <w:top w:val="nil"/>
              <w:bottom w:val="nil"/>
            </w:tcBorders>
          </w:tcPr>
          <w:p>
            <w:pPr>
              <w:pStyle w:val="Normal"/>
              <w:suppressAutoHyphens w:val="true"/>
              <w:spacing w:lineRule="auto" w:line="276" w:before="0" w:after="0"/>
              <w:rPr>
                <w:sz w:val="16"/>
                <w:szCs w:val="16"/>
              </w:rPr>
            </w:pPr>
            <w:r>
              <w:rPr>
                <w:sz w:val="16"/>
                <w:szCs w:val="16"/>
              </w:rPr>
              <w:t>Zaburzenie odniesienia, interpolacji i ICA</w:t>
            </w:r>
          </w:p>
        </w:tc>
      </w:tr>
      <w:tr>
        <w:trPr/>
        <w:tc>
          <w:tcPr>
            <w:tcW w:w="2489" w:type="dxa"/>
            <w:tcBorders>
              <w:top w:val="nil"/>
            </w:tcBorders>
            <w:shd w:color="auto" w:fill="D3DFEE" w:themeFill="accent1" w:themeFillTint="3f" w:val="clear"/>
          </w:tcPr>
          <w:p>
            <w:pPr>
              <w:pStyle w:val="Normal"/>
              <w:suppressAutoHyphens w:val="true"/>
              <w:spacing w:lineRule="auto" w:line="276" w:before="0" w:after="0"/>
              <w:rPr>
                <w:b/>
                <w:bCs/>
                <w:sz w:val="16"/>
                <w:szCs w:val="16"/>
              </w:rPr>
            </w:pPr>
            <w:r>
              <w:rPr>
                <w:b/>
                <w:bCs/>
                <w:sz w:val="16"/>
                <w:szCs w:val="16"/>
              </w:rPr>
              <w:t>Ruch i przesunięcie czepka</w:t>
            </w:r>
          </w:p>
        </w:tc>
        <w:tc>
          <w:tcPr>
            <w:tcW w:w="3271" w:type="dxa"/>
            <w:tcBorders>
              <w:top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Zmiana topografii i niestacjonarność</w:t>
            </w:r>
          </w:p>
        </w:tc>
        <w:tc>
          <w:tcPr>
            <w:tcW w:w="4099" w:type="dxa"/>
            <w:tcBorders>
              <w:top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Spadek porównywalności warunków</w:t>
            </w:r>
          </w:p>
        </w:tc>
      </w:tr>
    </w:tbl>
    <w:p>
      <w:pPr>
        <w:pStyle w:val="Normal"/>
        <w:rPr/>
      </w:pPr>
      <w:r>
        <w:rPr/>
      </w:r>
    </w:p>
    <w:p>
      <w:pPr>
        <w:pStyle w:val="Heading2"/>
        <w:keepNext w:val="true"/>
        <w:rPr/>
      </w:pPr>
      <w:r>
        <w:rPr/>
        <w:t>16.2. Filtracja nie jest neutralna</w:t>
      </w:r>
    </w:p>
    <w:p>
      <w:pPr>
        <w:pStyle w:val="Normal"/>
        <w:jc w:val="both"/>
        <w:rPr/>
      </w:pPr>
      <w:r>
        <w:rPr/>
        <w:t>Filtr górnoprzepustowy osłabia powolne składowe i dryf, natomiast dolnoprzepustowy ogranicza szybkie zmiany. Filtracja może powodować rozmycie czasowe, oscylacje przy ostrych przejściach i zmiany amplitudy lub kształtu ERP. Przed zastosowaniem filtru warto rozważyć jego charakterystykę częstotliwościową, odpowiedź impulsową, długość sygnału oraz sposób obsługi granic danych. Parametr 0,1 Hz odpowiedni dla jednej analizy ERP może być niewystarczający albo nieuzasadniony w innej [1, 2].</w:t>
      </w:r>
    </w:p>
    <w:p>
      <w:pPr>
        <w:pStyle w:val="Heading2"/>
        <w:keepNext w:val="true"/>
        <w:rPr/>
      </w:pPr>
      <w:r>
        <w:rPr/>
        <w:t>16.3. Odniesienie, ICA i interpolacja</w:t>
      </w:r>
    </w:p>
    <w:p>
      <w:pPr>
        <w:pStyle w:val="Normal"/>
        <w:jc w:val="both"/>
        <w:rPr/>
      </w:pPr>
      <w:r>
        <w:rPr/>
        <w:t>Każdy kanał EEG opisuje różnicę potencjałów względem odniesienia. Zmiana odniesienia zmienia interpretację amplitud i rozkład przestrzenny sygnału. Średnie odniesienie ma inne własności przy gęstym, równomiernym rozmieszczeniu elektrod niż przy niewielkiej liczbie kanałów. Interpolacja nie odzyskuje rzeczywistego pomiaru, tylko przybliża go na podstawie sąsiednich elektrod. ICA jest dekompozycją statystyczną, a nie biologicznym rozdzieleniem źródeł; usuwanie składowych wymaga kontroli topografii, widma i przebiegu czasowego [2, 14].</w:t>
      </w:r>
    </w:p>
    <w:p>
      <w:pPr>
        <w:pStyle w:val="Heading1"/>
        <w:keepNext w:val="true"/>
        <w:rPr/>
      </w:pPr>
      <w:r>
        <w:rPr/>
        <w:t>17. ERP, widmo i analiza czasowo-częstotliwościowa: interpretacja</w:t>
      </w:r>
    </w:p>
    <w:p>
      <w:pPr>
        <w:pStyle w:val="Heading2"/>
        <w:keepNext w:val="true"/>
        <w:rPr/>
      </w:pPr>
      <w:r>
        <w:rPr/>
        <w:t>17.1. ERP i pytania o przetwarzanie poznawcze</w:t>
      </w:r>
    </w:p>
    <w:p>
      <w:pPr>
        <w:pStyle w:val="Normal"/>
        <w:jc w:val="both"/>
        <w:rPr/>
      </w:pPr>
      <w:r>
        <w:rPr/>
        <w:t>Potencjały związane ze zdarzeniem są uśrednionymi przebiegami zsynchronizowanymi z bodźcem lub odpowiedzią. w analizach N1, N2, P3/P300 czy późnych potencjałów dodatnich należy z góry określić okno czasowe, regiony zainteresowania i sposób pomiaru amplitudy. Wybieranie największej różnicy z tych samych danych, na których następnie testuje się jej istotność, może prowadzić do błędnych wniosków. Należy opisać liczbę zachowanych epok, sposób korekcji linii bazowej i warunki kontrastowania [13].</w:t>
      </w:r>
    </w:p>
    <w:p>
      <w:pPr>
        <w:pStyle w:val="Heading2"/>
        <w:keepNext w:val="true"/>
        <w:rPr/>
      </w:pPr>
      <w:r>
        <w:rPr/>
        <w:t>17.2. Widmo mocy i pasma EEG</w:t>
      </w:r>
    </w:p>
    <w:p>
      <w:pPr>
        <w:pStyle w:val="Normal"/>
        <w:jc w:val="both"/>
        <w:rPr/>
      </w:pPr>
      <w:r>
        <w:rPr/>
        <w:t>PSD opisuje rozkład mocy sygnału w funkcji częstotliwości. Nazwy delta, theta, alfa, beta i gamma są konwencjonalnymi przedziałami, których granice różnią się między publikacjami. w badaniach wieku, snu lub neuroatypowości warto unikać automatycznego przypisywania zakresom jednoznacznych funkcji. Moc absolutna, moc względna i charakterystyka 1/f nie są zamiennymi miarami; podanie samego „wzrostu alfa” bez definicji miary jest niepełne.</w:t>
      </w:r>
    </w:p>
    <w:p>
      <w:pPr>
        <w:pStyle w:val="Normal"/>
        <w:jc w:val="both"/>
        <w:rPr/>
      </w:pPr>
      <w:r>
        <w:rPr/>
        <w:t>w metodzie Welcha segmenty są okienkowane i ich periodogramy są uśredniane. Dłuższy segment poprawia zdolność rozdzielenia bliskich częstotliwości, ale daje mniej fragmentów do uśredniania. Dopełnianie zerami zwiększa gęstość próbkowania osi częstotliwości, nie tworząc dodatkowej informacji. w analizie EEG należy odróżnić parametr częstotliwości próbkowania od rozdzielczości widma.</w:t>
      </w:r>
    </w:p>
    <w:p>
      <w:pPr>
        <w:pStyle w:val="Heading2"/>
        <w:keepNext w:val="true"/>
        <w:rPr/>
      </w:pPr>
      <w:r>
        <w:rPr/>
        <w:t>17.3. Dynamika oscylacji</w:t>
      </w:r>
    </w:p>
    <w:p>
      <w:pPr>
        <w:pStyle w:val="Normal"/>
        <w:jc w:val="both"/>
        <w:rPr/>
      </w:pPr>
      <w:r>
        <w:rPr/>
        <w:t>Analiza TFR umożliwia rozpoznanie okresowych zmian mocy po zdarzeniu. Krótsze falki lepiej lokalizują zmiany w czasie, dłuższe pozwalają dokładniej oceniać częstotliwości. ERD oznacza zmniejszenie mocy względem odniesienia, ERS jej zwiększenie, a nie bezpośrednią dezaktywację lub aktywację określonego obszaru mózgu. Sposób normalizacji do okresu bazowego należy podawać w metodach.</w:t>
      </w:r>
    </w:p>
    <w:p>
      <w:pPr>
        <w:pStyle w:val="Heading1"/>
        <w:keepNext w:val="true"/>
        <w:rPr/>
      </w:pPr>
      <w:r>
        <w:rPr/>
        <w:t>18. Łączność i rekonstrukcja źródeł</w:t>
      </w:r>
    </w:p>
    <w:p>
      <w:pPr>
        <w:pStyle w:val="Normal"/>
        <w:jc w:val="both"/>
        <w:rPr/>
      </w:pPr>
      <w:r>
        <w:rPr/>
        <w:t>Analiza łączności funkcjonalnej mierzy statystyczne zależności między szeregami czasowymi. Koherencja mierzy zależność widmową, a miary fazowe pozwalają analizować synchronizację faz. Ich podwyższone wartości nie dowodzą ani połączenia anatomicznego, ani kierunku przepływu informacji. Wynik może zależeć od wspólnego odniesienia, przewodnictwa objętościowego, długości epok i składowych artefaktowych [5].</w:t>
      </w:r>
    </w:p>
    <w:p>
      <w:pPr>
        <w:pStyle w:val="Normal"/>
        <w:jc w:val="both"/>
        <w:rPr/>
      </w:pPr>
      <w:r>
        <w:rPr/>
        <w:t>Modelowanie źródeł EEG próbuje przypisać potencjały na skórze głowy do aktywności wewnątrzczaszkowej. Wymaga modelu przewodzenia, współrzędnych elektrod i założeń regularizacyjnych; korzysta często z obrazu MRi i modelu geometrycznego głowy. Problem odwrotny jest niejednoznaczny: kilka różnych rozkładów źródeł może wyjaśniać te same pomiary. Modele te należy traktować jako oszacowania zależne od modelu, nie bezpośrednie obrazy miejsca generowania potencjałów [1].</w:t>
      </w:r>
    </w:p>
    <w:p>
      <w:pPr>
        <w:pStyle w:val="Heading1"/>
        <w:keepNext w:val="true"/>
        <w:rPr/>
      </w:pPr>
      <w:r>
        <w:rPr/>
        <w:t>19. Analiza statystyczna: jednostka obserwacji i wnioskowanie</w:t>
      </w:r>
    </w:p>
    <w:p>
      <w:pPr>
        <w:pStyle w:val="Normal"/>
        <w:jc w:val="both"/>
        <w:rPr/>
      </w:pPr>
      <w:r>
        <w:rPr/>
        <w:t>Najczęstszym błędem jest mylenie dużej liczby próbek lub epok z dużą liczbą niezależnych badanych. Sto epok od jednej osoby nadal nie oznacza próby liczącej sto osób. Przy porównaniach międzyosobniczych jednostką replikacji jest zazwyczaj uczestnik. w projektach z powtarzanymi pomiarami przydatne są modele uwzględniające strukturę zależności oraz zmienność między uczestnikami.</w:t>
      </w:r>
    </w:p>
    <w:p>
      <w:pPr>
        <w:pStyle w:val="Normal"/>
        <w:jc w:val="both"/>
        <w:rPr/>
      </w:pPr>
      <w:r>
        <w:rPr/>
        <w:t>Testy permutacyjne wymagają wymienialności elementów podlegających permutacji w ramach hipotezy zerowej. w testach klastrowych istotność klastra nie upoważnia do precyzyjnego lokalizowania granic czasowych efektu. Wielokrotne porównania kanałów, punktów czasu i częstotliwości wymagają jawnego planu kontroli błędów. Warto raportować wielkość efektu, przedziały ufności tam, gdzie mają uzasadnienie, oraz pełną liczbę analizowanych porównań [13].</w:t>
      </w:r>
    </w:p>
    <w:p>
      <w:pPr>
        <w:pStyle w:val="Heading1"/>
        <w:keepNext w:val="true"/>
        <w:rPr/>
      </w:pPr>
      <w:r>
        <w:rPr/>
        <w:t>20. Uczenie maszynowe i dekodowanie stanów</w:t>
      </w:r>
    </w:p>
    <w:p>
      <w:pPr>
        <w:pStyle w:val="Normal"/>
        <w:jc w:val="both"/>
        <w:rPr/>
      </w:pPr>
      <w:r>
        <w:rPr/>
        <w:t>W</w:t>
      </w:r>
      <w:r>
        <w:rPr/>
        <w:t> EEG można trenować klasyfikatory rozpoznające warunek eksperymentalny, rodzaj wyobrażonego ruchu albo inne etykiety, ale dokładność predykcji nie jest tożsama z trafnością interpretacji neuropsychologicznej. Model może opierać się na artefaktach aparatury, różnicach między sesjami lub cechach ubocznych protokołu. Interpretacja modeli wymaga odróżnienia przewidywania od wyjaśniania mechanizmu.</w:t>
      </w:r>
    </w:p>
    <w:p>
      <w:pPr>
        <w:pStyle w:val="Normal"/>
        <w:jc w:val="both"/>
        <w:rPr/>
      </w:pPr>
      <w:r>
        <w:rPr/>
        <w:t>Walidacja wewnątrz osoby mierzy inne zdolności niż ocena na nowych uczestnikach. Dla generalizacji międzyosobniczej dane jednej osoby nie mogą jednocześnie zasilać treningu i testu. Selekcja cech, skalowanie i strojenie hiperparametrów muszą być realizowane wyłącznie na danych treningowych w każdym podziale; wynik ostateczny należy wyznaczyć na niezależnym zbiorze testowym lub za pomocą właściwie skonstruowanej walidacji zagnieżdżonej. Nierównowagę klas warto opisywać m.in. balanced accuracy, F1, czułością i swoistością, adekwatnie do celu.</w:t>
      </w:r>
    </w:p>
    <w:p>
      <w:pPr>
        <w:pStyle w:val="Normal"/>
        <w:jc w:val="both"/>
        <w:rPr/>
      </w:pPr>
      <w:r>
        <w:rPr/>
        <w:t>Biblioteka scikit-learn dobrze odpowiada modelom bazującym na cechach takich jak moc pasmowa i parametry ERP. Braindecode integruje głębokie sieci neuronowe z reprezentacjami EEG, ale bardziej rozbudowany model nie musi zapewniać lepszej generalizacji od poprawnie zwalidowanego modelu liniowego [10].</w:t>
      </w:r>
    </w:p>
    <w:p>
      <w:pPr>
        <w:pStyle w:val="Heading1"/>
        <w:keepNext w:val="true"/>
        <w:rPr/>
      </w:pPr>
      <w:r>
        <w:rPr/>
        <w:t>21. Powtarzalność, interoperacyjność i otwarta nauka</w:t>
      </w:r>
    </w:p>
    <w:p>
      <w:pPr>
        <w:pStyle w:val="Normal"/>
        <w:jc w:val="both"/>
        <w:rPr/>
      </w:pPr>
      <w:r>
        <w:rPr/>
        <w:t>Przejrzysty projekt EEG oddziela dane źródłowe od pochodnych, opisuje metadane uczestników oraz zdarzeń i przechowuje wersje bibliotek. BIDS dostarcza uzgodnioną strukturę danych i nazewnictwo, natomiast MNE-BIDS umożliwia import i eksport zgodny z tym standardem. Nie należy utożsamiać samego formatu pliku EDF lub BrainVision ze zgodnością całego zbioru z BIDS [3].</w:t>
      </w:r>
    </w:p>
    <w:tbl>
      <w:tblPr>
        <w:tblStyle w:val="LightShading-Accent1"/>
        <w:tblW w:w="9975"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320"/>
        <w:gridCol w:w="5655"/>
      </w:tblGrid>
      <w:tr>
        <w:trPr/>
        <w:tc>
          <w:tcPr>
            <w:tcW w:w="4320" w:type="dxa"/>
            <w:tcBorders/>
          </w:tcPr>
          <w:p>
            <w:pPr>
              <w:pStyle w:val="Normal"/>
              <w:suppressAutoHyphens w:val="true"/>
              <w:spacing w:lineRule="auto" w:line="276" w:before="0" w:after="0"/>
              <w:rPr>
                <w:b/>
                <w:bCs/>
                <w:sz w:val="16"/>
                <w:szCs w:val="16"/>
              </w:rPr>
            </w:pPr>
            <w:r>
              <w:rPr>
                <w:b/>
                <w:bCs/>
                <w:sz w:val="16"/>
                <w:szCs w:val="16"/>
              </w:rPr>
              <w:t>Element dokumentacji</w:t>
            </w:r>
          </w:p>
        </w:tc>
        <w:tc>
          <w:tcPr>
            <w:tcW w:w="5655" w:type="dxa"/>
            <w:tcBorders/>
          </w:tcPr>
          <w:p>
            <w:pPr>
              <w:pStyle w:val="Normal"/>
              <w:suppressAutoHyphens w:val="true"/>
              <w:spacing w:lineRule="auto" w:line="276" w:before="0" w:after="0"/>
              <w:rPr>
                <w:b/>
                <w:bCs/>
                <w:sz w:val="16"/>
                <w:szCs w:val="16"/>
              </w:rPr>
            </w:pPr>
            <w:r>
              <w:rPr>
                <w:b/>
                <w:bCs/>
                <w:sz w:val="16"/>
                <w:szCs w:val="16"/>
              </w:rPr>
              <w:t>Dlaczego jest ważny</w:t>
            </w:r>
          </w:p>
        </w:tc>
      </w:tr>
      <w:tr>
        <w:trPr/>
        <w:tc>
          <w:tcPr>
            <w:tcW w:w="4320" w:type="dxa"/>
            <w:tcBorders>
              <w:top w:val="nil"/>
              <w:bottom w:val="nil"/>
            </w:tcBorders>
            <w:shd w:color="auto" w:fill="D3DFEE" w:themeFill="accent1" w:themeFillTint="3f" w:val="clear"/>
          </w:tcPr>
          <w:p>
            <w:pPr>
              <w:pStyle w:val="Normal"/>
              <w:suppressAutoHyphens w:val="true"/>
              <w:spacing w:lineRule="auto" w:line="276" w:before="0" w:after="0"/>
              <w:rPr>
                <w:b/>
                <w:bCs/>
                <w:sz w:val="16"/>
                <w:szCs w:val="16"/>
              </w:rPr>
            </w:pPr>
            <w:r>
              <w:rPr>
                <w:b/>
                <w:bCs/>
                <w:sz w:val="16"/>
                <w:szCs w:val="16"/>
              </w:rPr>
              <w:t>Parametry akwizycji</w:t>
            </w:r>
          </w:p>
        </w:tc>
        <w:tc>
          <w:tcPr>
            <w:tcW w:w="5655" w:type="dxa"/>
            <w:tcBorders>
              <w:top w:val="nil"/>
              <w:bottom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Wyjaśniają ograniczenia fizyczne sygnału</w:t>
            </w:r>
          </w:p>
        </w:tc>
      </w:tr>
      <w:tr>
        <w:trPr/>
        <w:tc>
          <w:tcPr>
            <w:tcW w:w="4320" w:type="dxa"/>
            <w:tcBorders>
              <w:top w:val="nil"/>
              <w:bottom w:val="nil"/>
            </w:tcBorders>
          </w:tcPr>
          <w:p>
            <w:pPr>
              <w:pStyle w:val="Normal"/>
              <w:suppressAutoHyphens w:val="true"/>
              <w:spacing w:lineRule="auto" w:line="276" w:before="0" w:after="0"/>
              <w:rPr>
                <w:b/>
                <w:bCs/>
                <w:sz w:val="16"/>
                <w:szCs w:val="16"/>
              </w:rPr>
            </w:pPr>
            <w:r>
              <w:rPr>
                <w:b/>
                <w:bCs/>
                <w:sz w:val="16"/>
                <w:szCs w:val="16"/>
              </w:rPr>
              <w:t>Mapowanie zdarzeń</w:t>
            </w:r>
          </w:p>
        </w:tc>
        <w:tc>
          <w:tcPr>
            <w:tcW w:w="5655" w:type="dxa"/>
            <w:tcBorders>
              <w:top w:val="nil"/>
              <w:bottom w:val="nil"/>
            </w:tcBorders>
          </w:tcPr>
          <w:p>
            <w:pPr>
              <w:pStyle w:val="Normal"/>
              <w:suppressAutoHyphens w:val="true"/>
              <w:spacing w:lineRule="auto" w:line="276" w:before="0" w:after="0"/>
              <w:rPr>
                <w:sz w:val="16"/>
                <w:szCs w:val="16"/>
              </w:rPr>
            </w:pPr>
            <w:r>
              <w:rPr>
                <w:sz w:val="16"/>
                <w:szCs w:val="16"/>
              </w:rPr>
              <w:t>Pozwala odtworzyć warunki eksperymentu</w:t>
            </w:r>
          </w:p>
        </w:tc>
      </w:tr>
      <w:tr>
        <w:trPr/>
        <w:tc>
          <w:tcPr>
            <w:tcW w:w="4320" w:type="dxa"/>
            <w:tcBorders>
              <w:top w:val="nil"/>
              <w:bottom w:val="nil"/>
            </w:tcBorders>
            <w:shd w:color="auto" w:fill="D3DFEE" w:themeFill="accent1" w:themeFillTint="3f" w:val="clear"/>
          </w:tcPr>
          <w:p>
            <w:pPr>
              <w:pStyle w:val="Normal"/>
              <w:suppressAutoHyphens w:val="true"/>
              <w:spacing w:lineRule="auto" w:line="276" w:before="0" w:after="0"/>
              <w:rPr>
                <w:b/>
                <w:bCs/>
                <w:sz w:val="16"/>
                <w:szCs w:val="16"/>
              </w:rPr>
            </w:pPr>
            <w:r>
              <w:rPr>
                <w:b/>
                <w:bCs/>
                <w:sz w:val="16"/>
                <w:szCs w:val="16"/>
              </w:rPr>
              <w:t>Kryteria wykluczania kanałów/epok</w:t>
            </w:r>
          </w:p>
        </w:tc>
        <w:tc>
          <w:tcPr>
            <w:tcW w:w="5655" w:type="dxa"/>
            <w:tcBorders>
              <w:top w:val="nil"/>
              <w:bottom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Umożliwiają audyt decyzji badacza</w:t>
            </w:r>
          </w:p>
        </w:tc>
      </w:tr>
      <w:tr>
        <w:trPr/>
        <w:tc>
          <w:tcPr>
            <w:tcW w:w="4320" w:type="dxa"/>
            <w:tcBorders>
              <w:top w:val="nil"/>
              <w:bottom w:val="nil"/>
            </w:tcBorders>
          </w:tcPr>
          <w:p>
            <w:pPr>
              <w:pStyle w:val="Normal"/>
              <w:suppressAutoHyphens w:val="true"/>
              <w:spacing w:lineRule="auto" w:line="276" w:before="0" w:after="0"/>
              <w:rPr>
                <w:b/>
                <w:bCs/>
                <w:sz w:val="16"/>
                <w:szCs w:val="16"/>
              </w:rPr>
            </w:pPr>
            <w:r>
              <w:rPr>
                <w:b/>
                <w:bCs/>
                <w:sz w:val="16"/>
                <w:szCs w:val="16"/>
              </w:rPr>
              <w:t>Wersje bibliotek i środowiska</w:t>
            </w:r>
          </w:p>
        </w:tc>
        <w:tc>
          <w:tcPr>
            <w:tcW w:w="5655" w:type="dxa"/>
            <w:tcBorders>
              <w:top w:val="nil"/>
              <w:bottom w:val="nil"/>
            </w:tcBorders>
          </w:tcPr>
          <w:p>
            <w:pPr>
              <w:pStyle w:val="Normal"/>
              <w:suppressAutoHyphens w:val="true"/>
              <w:spacing w:lineRule="auto" w:line="276" w:before="0" w:after="0"/>
              <w:rPr>
                <w:sz w:val="16"/>
                <w:szCs w:val="16"/>
              </w:rPr>
            </w:pPr>
            <w:r>
              <w:rPr>
                <w:sz w:val="16"/>
                <w:szCs w:val="16"/>
              </w:rPr>
              <w:t>Ograniczają ryzyko zmian APi i wyników</w:t>
            </w:r>
          </w:p>
        </w:tc>
      </w:tr>
      <w:tr>
        <w:trPr/>
        <w:tc>
          <w:tcPr>
            <w:tcW w:w="4320" w:type="dxa"/>
            <w:tcBorders>
              <w:top w:val="nil"/>
              <w:bottom w:val="nil"/>
            </w:tcBorders>
            <w:shd w:color="auto" w:fill="D3DFEE" w:themeFill="accent1" w:themeFillTint="3f" w:val="clear"/>
          </w:tcPr>
          <w:p>
            <w:pPr>
              <w:pStyle w:val="Normal"/>
              <w:suppressAutoHyphens w:val="true"/>
              <w:spacing w:lineRule="auto" w:line="276" w:before="0" w:after="0"/>
              <w:rPr>
                <w:b/>
                <w:bCs/>
                <w:sz w:val="16"/>
                <w:szCs w:val="16"/>
              </w:rPr>
            </w:pPr>
            <w:r>
              <w:rPr>
                <w:b/>
                <w:bCs/>
                <w:sz w:val="16"/>
                <w:szCs w:val="16"/>
              </w:rPr>
              <w:t>Kod i parametry transformacji</w:t>
            </w:r>
          </w:p>
        </w:tc>
        <w:tc>
          <w:tcPr>
            <w:tcW w:w="5655" w:type="dxa"/>
            <w:tcBorders>
              <w:top w:val="nil"/>
              <w:bottom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Wspierają replikację obliczeń</w:t>
            </w:r>
          </w:p>
        </w:tc>
      </w:tr>
      <w:tr>
        <w:trPr/>
        <w:tc>
          <w:tcPr>
            <w:tcW w:w="4320" w:type="dxa"/>
            <w:tcBorders>
              <w:top w:val="nil"/>
              <w:bottom w:val="nil"/>
            </w:tcBorders>
          </w:tcPr>
          <w:p>
            <w:pPr>
              <w:pStyle w:val="Normal"/>
              <w:suppressAutoHyphens w:val="true"/>
              <w:spacing w:lineRule="auto" w:line="276" w:before="0" w:after="0"/>
              <w:rPr>
                <w:b/>
                <w:bCs/>
                <w:sz w:val="16"/>
                <w:szCs w:val="16"/>
              </w:rPr>
            </w:pPr>
            <w:r>
              <w:rPr>
                <w:b/>
                <w:bCs/>
                <w:sz w:val="16"/>
                <w:szCs w:val="16"/>
              </w:rPr>
              <w:t>Dane i pochodne w BIDS</w:t>
            </w:r>
          </w:p>
        </w:tc>
        <w:tc>
          <w:tcPr>
            <w:tcW w:w="5655" w:type="dxa"/>
            <w:tcBorders>
              <w:top w:val="nil"/>
              <w:bottom w:val="nil"/>
            </w:tcBorders>
          </w:tcPr>
          <w:p>
            <w:pPr>
              <w:pStyle w:val="Normal"/>
              <w:suppressAutoHyphens w:val="true"/>
              <w:spacing w:lineRule="auto" w:line="276" w:before="0" w:after="0"/>
              <w:rPr>
                <w:sz w:val="16"/>
                <w:szCs w:val="16"/>
              </w:rPr>
            </w:pPr>
            <w:r>
              <w:rPr>
                <w:sz w:val="16"/>
                <w:szCs w:val="16"/>
              </w:rPr>
              <w:t>Ułatwiają interoperacyjność i współdzielenie</w:t>
            </w:r>
          </w:p>
        </w:tc>
      </w:tr>
      <w:tr>
        <w:trPr/>
        <w:tc>
          <w:tcPr>
            <w:tcW w:w="4320" w:type="dxa"/>
            <w:tcBorders>
              <w:top w:val="nil"/>
            </w:tcBorders>
            <w:shd w:color="auto" w:fill="D3DFEE" w:themeFill="accent1" w:themeFillTint="3f" w:val="clear"/>
          </w:tcPr>
          <w:p>
            <w:pPr>
              <w:pStyle w:val="Normal"/>
              <w:suppressAutoHyphens w:val="true"/>
              <w:spacing w:lineRule="auto" w:line="276" w:before="0" w:after="0"/>
              <w:rPr>
                <w:b/>
                <w:bCs/>
                <w:sz w:val="16"/>
                <w:szCs w:val="16"/>
              </w:rPr>
            </w:pPr>
            <w:r>
              <w:rPr>
                <w:b/>
                <w:bCs/>
                <w:sz w:val="16"/>
                <w:szCs w:val="16"/>
              </w:rPr>
              <w:t>Raport jakości oraz ograniczenia</w:t>
            </w:r>
          </w:p>
        </w:tc>
        <w:tc>
          <w:tcPr>
            <w:tcW w:w="5655" w:type="dxa"/>
            <w:tcBorders>
              <w:top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Zapobiegają nieuzasadnionym interpretacjom</w:t>
            </w:r>
          </w:p>
        </w:tc>
      </w:tr>
    </w:tbl>
    <w:p>
      <w:pPr>
        <w:pStyle w:val="Normal"/>
        <w:spacing w:before="0" w:after="0"/>
        <w:rPr/>
      </w:pPr>
      <w:r>
        <w:rPr/>
      </w:r>
    </w:p>
    <w:p>
      <w:pPr>
        <w:pStyle w:val="Normal"/>
        <w:jc w:val="both"/>
        <w:rPr/>
      </w:pPr>
      <w:r>
        <w:rPr/>
        <w:t>Dane EEG mogą być danymi osobowymi lub danymi dotyczącymi zdrowia; publikowanie sygnałów wymaga analizy prawnej, etycznej i oceny ryzyka ponownej identyfikacji. Informacje o zgodzie, polityce dostępu oraz zakresie anonimizacji nie są zastępowane samym usunięciem nazwiska z pliku.</w:t>
      </w:r>
    </w:p>
    <w:p>
      <w:pPr>
        <w:pStyle w:val="Heading1"/>
        <w:keepNext w:val="true"/>
        <w:rPr/>
      </w:pPr>
      <w:r>
        <w:rPr/>
        <w:t>22. Jak dobierać narzędzia do konkretnego celu</w:t>
      </w:r>
    </w:p>
    <w:tbl>
      <w:tblPr>
        <w:tblStyle w:val="LightShading-Accent1"/>
        <w:tblW w:w="1003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341"/>
        <w:gridCol w:w="2836"/>
        <w:gridCol w:w="3859"/>
      </w:tblGrid>
      <w:tr>
        <w:trPr/>
        <w:tc>
          <w:tcPr>
            <w:tcW w:w="3341" w:type="dxa"/>
            <w:tcBorders/>
          </w:tcPr>
          <w:p>
            <w:pPr>
              <w:pStyle w:val="Normal"/>
              <w:suppressAutoHyphens w:val="true"/>
              <w:spacing w:lineRule="auto" w:line="276" w:before="0" w:after="0"/>
              <w:rPr>
                <w:b/>
                <w:bCs/>
                <w:sz w:val="16"/>
                <w:szCs w:val="16"/>
              </w:rPr>
            </w:pPr>
            <w:r>
              <w:rPr>
                <w:b/>
                <w:bCs/>
                <w:sz w:val="16"/>
                <w:szCs w:val="16"/>
              </w:rPr>
              <w:t>Cel</w:t>
            </w:r>
          </w:p>
        </w:tc>
        <w:tc>
          <w:tcPr>
            <w:tcW w:w="2836" w:type="dxa"/>
            <w:tcBorders/>
          </w:tcPr>
          <w:p>
            <w:pPr>
              <w:pStyle w:val="Normal"/>
              <w:suppressAutoHyphens w:val="true"/>
              <w:spacing w:lineRule="auto" w:line="276" w:before="0" w:after="0"/>
              <w:rPr>
                <w:b/>
                <w:bCs/>
                <w:sz w:val="16"/>
                <w:szCs w:val="16"/>
              </w:rPr>
            </w:pPr>
            <w:r>
              <w:rPr>
                <w:b/>
                <w:bCs/>
                <w:sz w:val="16"/>
                <w:szCs w:val="16"/>
              </w:rPr>
              <w:t>Rozsądny punkt wyjścia</w:t>
            </w:r>
          </w:p>
        </w:tc>
        <w:tc>
          <w:tcPr>
            <w:tcW w:w="3859" w:type="dxa"/>
            <w:tcBorders/>
          </w:tcPr>
          <w:p>
            <w:pPr>
              <w:pStyle w:val="Normal"/>
              <w:suppressAutoHyphens w:val="true"/>
              <w:spacing w:lineRule="auto" w:line="276" w:before="0" w:after="0"/>
              <w:rPr>
                <w:b/>
                <w:bCs/>
                <w:sz w:val="16"/>
                <w:szCs w:val="16"/>
              </w:rPr>
            </w:pPr>
            <w:r>
              <w:rPr>
                <w:b/>
                <w:bCs/>
                <w:sz w:val="16"/>
                <w:szCs w:val="16"/>
              </w:rPr>
              <w:t>Rozszerzenia</w:t>
            </w:r>
          </w:p>
        </w:tc>
      </w:tr>
      <w:tr>
        <w:trPr/>
        <w:tc>
          <w:tcPr>
            <w:tcW w:w="3341" w:type="dxa"/>
            <w:tcBorders>
              <w:top w:val="nil"/>
              <w:bottom w:val="nil"/>
            </w:tcBorders>
            <w:shd w:color="auto" w:fill="D3DFEE" w:themeFill="accent1" w:themeFillTint="3f" w:val="clear"/>
          </w:tcPr>
          <w:p>
            <w:pPr>
              <w:pStyle w:val="Normal"/>
              <w:suppressAutoHyphens w:val="true"/>
              <w:spacing w:lineRule="auto" w:line="276" w:before="0" w:after="0"/>
              <w:rPr>
                <w:b/>
                <w:bCs/>
                <w:sz w:val="16"/>
                <w:szCs w:val="16"/>
              </w:rPr>
            </w:pPr>
            <w:r>
              <w:rPr>
                <w:b/>
                <w:bCs/>
                <w:sz w:val="16"/>
                <w:szCs w:val="16"/>
              </w:rPr>
              <w:t>Klasyczne ERP i TFR</w:t>
            </w:r>
          </w:p>
        </w:tc>
        <w:tc>
          <w:tcPr>
            <w:tcW w:w="2836" w:type="dxa"/>
            <w:tcBorders>
              <w:top w:val="nil"/>
              <w:bottom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MNE-Python</w:t>
            </w:r>
          </w:p>
        </w:tc>
        <w:tc>
          <w:tcPr>
            <w:tcW w:w="3859" w:type="dxa"/>
            <w:tcBorders>
              <w:top w:val="nil"/>
              <w:bottom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autoreject, statystyka SciPy</w:t>
            </w:r>
          </w:p>
        </w:tc>
      </w:tr>
      <w:tr>
        <w:trPr/>
        <w:tc>
          <w:tcPr>
            <w:tcW w:w="3341" w:type="dxa"/>
            <w:tcBorders>
              <w:top w:val="nil"/>
              <w:bottom w:val="nil"/>
            </w:tcBorders>
          </w:tcPr>
          <w:p>
            <w:pPr>
              <w:pStyle w:val="Normal"/>
              <w:suppressAutoHyphens w:val="true"/>
              <w:spacing w:lineRule="auto" w:line="276" w:before="0" w:after="0"/>
              <w:rPr>
                <w:b/>
                <w:bCs/>
                <w:sz w:val="16"/>
                <w:szCs w:val="16"/>
              </w:rPr>
            </w:pPr>
            <w:r>
              <w:rPr>
                <w:b/>
                <w:bCs/>
                <w:sz w:val="16"/>
                <w:szCs w:val="16"/>
              </w:rPr>
              <w:t>Porządkowanie większego zbioru</w:t>
            </w:r>
          </w:p>
        </w:tc>
        <w:tc>
          <w:tcPr>
            <w:tcW w:w="2836" w:type="dxa"/>
            <w:tcBorders>
              <w:top w:val="nil"/>
              <w:bottom w:val="nil"/>
            </w:tcBorders>
          </w:tcPr>
          <w:p>
            <w:pPr>
              <w:pStyle w:val="Normal"/>
              <w:suppressAutoHyphens w:val="true"/>
              <w:spacing w:lineRule="auto" w:line="276" w:before="0" w:after="0"/>
              <w:rPr>
                <w:sz w:val="16"/>
                <w:szCs w:val="16"/>
              </w:rPr>
            </w:pPr>
            <w:r>
              <w:rPr>
                <w:sz w:val="16"/>
                <w:szCs w:val="16"/>
              </w:rPr>
              <w:t>MNE-BIDS</w:t>
            </w:r>
          </w:p>
        </w:tc>
        <w:tc>
          <w:tcPr>
            <w:tcW w:w="3859" w:type="dxa"/>
            <w:tcBorders>
              <w:top w:val="nil"/>
              <w:bottom w:val="nil"/>
            </w:tcBorders>
          </w:tcPr>
          <w:p>
            <w:pPr>
              <w:pStyle w:val="Normal"/>
              <w:suppressAutoHyphens w:val="true"/>
              <w:spacing w:lineRule="auto" w:line="276" w:before="0" w:after="0"/>
              <w:rPr>
                <w:sz w:val="16"/>
                <w:szCs w:val="16"/>
              </w:rPr>
            </w:pPr>
            <w:r>
              <w:rPr>
                <w:sz w:val="16"/>
                <w:szCs w:val="16"/>
              </w:rPr>
              <w:t>MNE-BIDS-Pipeline</w:t>
            </w:r>
          </w:p>
        </w:tc>
      </w:tr>
      <w:tr>
        <w:trPr/>
        <w:tc>
          <w:tcPr>
            <w:tcW w:w="3341" w:type="dxa"/>
            <w:tcBorders>
              <w:top w:val="nil"/>
              <w:bottom w:val="nil"/>
            </w:tcBorders>
            <w:shd w:color="auto" w:fill="D3DFEE" w:themeFill="accent1" w:themeFillTint="3f" w:val="clear"/>
          </w:tcPr>
          <w:p>
            <w:pPr>
              <w:pStyle w:val="Normal"/>
              <w:suppressAutoHyphens w:val="true"/>
              <w:spacing w:lineRule="auto" w:line="276" w:before="0" w:after="0"/>
              <w:rPr>
                <w:b/>
                <w:bCs/>
                <w:sz w:val="16"/>
                <w:szCs w:val="16"/>
              </w:rPr>
            </w:pPr>
            <w:r>
              <w:rPr>
                <w:b/>
                <w:bCs/>
                <w:sz w:val="16"/>
                <w:szCs w:val="16"/>
              </w:rPr>
              <w:t>Badania snu</w:t>
            </w:r>
          </w:p>
        </w:tc>
        <w:tc>
          <w:tcPr>
            <w:tcW w:w="2836" w:type="dxa"/>
            <w:tcBorders>
              <w:top w:val="nil"/>
              <w:bottom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MNE-Python</w:t>
            </w:r>
          </w:p>
        </w:tc>
        <w:tc>
          <w:tcPr>
            <w:tcW w:w="3859" w:type="dxa"/>
            <w:tcBorders>
              <w:top w:val="nil"/>
              <w:bottom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YASA</w:t>
            </w:r>
          </w:p>
        </w:tc>
      </w:tr>
      <w:tr>
        <w:trPr/>
        <w:tc>
          <w:tcPr>
            <w:tcW w:w="3341" w:type="dxa"/>
            <w:tcBorders>
              <w:top w:val="nil"/>
              <w:bottom w:val="nil"/>
            </w:tcBorders>
          </w:tcPr>
          <w:p>
            <w:pPr>
              <w:pStyle w:val="Normal"/>
              <w:suppressAutoHyphens w:val="true"/>
              <w:spacing w:lineRule="auto" w:line="276" w:before="0" w:after="0"/>
              <w:rPr>
                <w:b/>
                <w:bCs/>
                <w:sz w:val="16"/>
                <w:szCs w:val="16"/>
              </w:rPr>
            </w:pPr>
            <w:r>
              <w:rPr>
                <w:b/>
                <w:bCs/>
                <w:sz w:val="16"/>
                <w:szCs w:val="16"/>
              </w:rPr>
              <w:t>Łączność fazowa i widmowa</w:t>
            </w:r>
          </w:p>
        </w:tc>
        <w:tc>
          <w:tcPr>
            <w:tcW w:w="2836" w:type="dxa"/>
            <w:tcBorders>
              <w:top w:val="nil"/>
              <w:bottom w:val="nil"/>
            </w:tcBorders>
          </w:tcPr>
          <w:p>
            <w:pPr>
              <w:pStyle w:val="Normal"/>
              <w:suppressAutoHyphens w:val="true"/>
              <w:spacing w:lineRule="auto" w:line="276" w:before="0" w:after="0"/>
              <w:rPr>
                <w:sz w:val="16"/>
                <w:szCs w:val="16"/>
              </w:rPr>
            </w:pPr>
            <w:r>
              <w:rPr>
                <w:sz w:val="16"/>
                <w:szCs w:val="16"/>
              </w:rPr>
              <w:t>MNE-Connectivity</w:t>
            </w:r>
          </w:p>
        </w:tc>
        <w:tc>
          <w:tcPr>
            <w:tcW w:w="3859" w:type="dxa"/>
            <w:tcBorders>
              <w:top w:val="nil"/>
              <w:bottom w:val="nil"/>
            </w:tcBorders>
          </w:tcPr>
          <w:p>
            <w:pPr>
              <w:pStyle w:val="Normal"/>
              <w:suppressAutoHyphens w:val="true"/>
              <w:spacing w:lineRule="auto" w:line="276" w:before="0" w:after="0"/>
              <w:rPr>
                <w:sz w:val="16"/>
                <w:szCs w:val="16"/>
              </w:rPr>
            </w:pPr>
            <w:r>
              <w:rPr>
                <w:sz w:val="16"/>
                <w:szCs w:val="16"/>
              </w:rPr>
              <w:t>Kontrola artefaktów, analizy źródłowe</w:t>
            </w:r>
          </w:p>
        </w:tc>
      </w:tr>
      <w:tr>
        <w:trPr/>
        <w:tc>
          <w:tcPr>
            <w:tcW w:w="3341" w:type="dxa"/>
            <w:tcBorders>
              <w:top w:val="nil"/>
              <w:bottom w:val="nil"/>
            </w:tcBorders>
            <w:shd w:color="auto" w:fill="D3DFEE" w:themeFill="accent1" w:themeFillTint="3f" w:val="clear"/>
          </w:tcPr>
          <w:p>
            <w:pPr>
              <w:pStyle w:val="Normal"/>
              <w:suppressAutoHyphens w:val="true"/>
              <w:spacing w:lineRule="auto" w:line="276" w:before="0" w:after="0"/>
              <w:rPr>
                <w:b/>
                <w:bCs/>
                <w:sz w:val="16"/>
                <w:szCs w:val="16"/>
              </w:rPr>
            </w:pPr>
            <w:r>
              <w:rPr>
                <w:b/>
                <w:bCs/>
                <w:sz w:val="16"/>
                <w:szCs w:val="16"/>
              </w:rPr>
              <w:t>Klasyfikacja tradycyjna</w:t>
            </w:r>
          </w:p>
        </w:tc>
        <w:tc>
          <w:tcPr>
            <w:tcW w:w="2836" w:type="dxa"/>
            <w:tcBorders>
              <w:top w:val="nil"/>
              <w:bottom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MNE + scikit-learn</w:t>
            </w:r>
          </w:p>
        </w:tc>
        <w:tc>
          <w:tcPr>
            <w:tcW w:w="3859" w:type="dxa"/>
            <w:tcBorders>
              <w:top w:val="nil"/>
              <w:bottom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Walidacja grupowa, raportowanie metryk</w:t>
            </w:r>
          </w:p>
        </w:tc>
      </w:tr>
      <w:tr>
        <w:trPr/>
        <w:tc>
          <w:tcPr>
            <w:tcW w:w="3341" w:type="dxa"/>
            <w:tcBorders>
              <w:top w:val="nil"/>
              <w:bottom w:val="nil"/>
            </w:tcBorders>
          </w:tcPr>
          <w:p>
            <w:pPr>
              <w:pStyle w:val="Normal"/>
              <w:suppressAutoHyphens w:val="true"/>
              <w:spacing w:lineRule="auto" w:line="276" w:before="0" w:after="0"/>
              <w:rPr>
                <w:b/>
                <w:bCs/>
                <w:sz w:val="16"/>
                <w:szCs w:val="16"/>
              </w:rPr>
            </w:pPr>
            <w:r>
              <w:rPr>
                <w:b/>
                <w:bCs/>
                <w:sz w:val="16"/>
                <w:szCs w:val="16"/>
              </w:rPr>
              <w:t>Głębokie uczenie</w:t>
            </w:r>
          </w:p>
        </w:tc>
        <w:tc>
          <w:tcPr>
            <w:tcW w:w="2836" w:type="dxa"/>
            <w:tcBorders>
              <w:top w:val="nil"/>
              <w:bottom w:val="nil"/>
            </w:tcBorders>
          </w:tcPr>
          <w:p>
            <w:pPr>
              <w:pStyle w:val="Normal"/>
              <w:suppressAutoHyphens w:val="true"/>
              <w:spacing w:lineRule="auto" w:line="276" w:before="0" w:after="0"/>
              <w:rPr>
                <w:sz w:val="16"/>
                <w:szCs w:val="16"/>
              </w:rPr>
            </w:pPr>
            <w:r>
              <w:rPr>
                <w:sz w:val="16"/>
                <w:szCs w:val="16"/>
              </w:rPr>
              <w:t>Braindecode/PyTorch</w:t>
            </w:r>
          </w:p>
        </w:tc>
        <w:tc>
          <w:tcPr>
            <w:tcW w:w="3859" w:type="dxa"/>
            <w:tcBorders>
              <w:top w:val="nil"/>
              <w:bottom w:val="nil"/>
            </w:tcBorders>
          </w:tcPr>
          <w:p>
            <w:pPr>
              <w:pStyle w:val="Normal"/>
              <w:suppressAutoHyphens w:val="true"/>
              <w:spacing w:lineRule="auto" w:line="276" w:before="0" w:after="0"/>
              <w:rPr>
                <w:sz w:val="16"/>
                <w:szCs w:val="16"/>
              </w:rPr>
            </w:pPr>
            <w:r>
              <w:rPr>
                <w:sz w:val="16"/>
                <w:szCs w:val="16"/>
              </w:rPr>
              <w:t>Zewnętrzny zbiór testowy</w:t>
            </w:r>
          </w:p>
        </w:tc>
      </w:tr>
      <w:tr>
        <w:trPr/>
        <w:tc>
          <w:tcPr>
            <w:tcW w:w="3341" w:type="dxa"/>
            <w:tcBorders>
              <w:top w:val="nil"/>
              <w:bottom w:val="nil"/>
            </w:tcBorders>
            <w:shd w:color="auto" w:fill="D3DFEE" w:themeFill="accent1" w:themeFillTint="3f" w:val="clear"/>
          </w:tcPr>
          <w:p>
            <w:pPr>
              <w:pStyle w:val="Normal"/>
              <w:suppressAutoHyphens w:val="true"/>
              <w:spacing w:lineRule="auto" w:line="276" w:before="0" w:after="0"/>
              <w:rPr>
                <w:b/>
                <w:bCs/>
                <w:sz w:val="16"/>
                <w:szCs w:val="16"/>
              </w:rPr>
            </w:pPr>
            <w:r>
              <w:rPr>
                <w:b/>
                <w:bCs/>
                <w:sz w:val="16"/>
                <w:szCs w:val="16"/>
              </w:rPr>
              <w:t>Integracja ECG/EMG/EDA</w:t>
            </w:r>
          </w:p>
        </w:tc>
        <w:tc>
          <w:tcPr>
            <w:tcW w:w="2836" w:type="dxa"/>
            <w:tcBorders>
              <w:top w:val="nil"/>
              <w:bottom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MNE + NeuroKit2</w:t>
            </w:r>
          </w:p>
        </w:tc>
        <w:tc>
          <w:tcPr>
            <w:tcW w:w="3859" w:type="dxa"/>
            <w:tcBorders>
              <w:top w:val="nil"/>
              <w:bottom w:val="nil"/>
            </w:tcBorders>
            <w:shd w:color="auto" w:fill="D3DFEE" w:themeFill="accent1" w:themeFillTint="3f" w:val="clear"/>
          </w:tcPr>
          <w:p>
            <w:pPr>
              <w:pStyle w:val="Normal"/>
              <w:suppressAutoHyphens w:val="true"/>
              <w:spacing w:lineRule="auto" w:line="276" w:before="0" w:after="0"/>
              <w:rPr>
                <w:sz w:val="16"/>
                <w:szCs w:val="16"/>
              </w:rPr>
            </w:pPr>
            <w:r>
              <w:rPr>
                <w:sz w:val="16"/>
                <w:szCs w:val="16"/>
              </w:rPr>
              <w:t>Synchronizacja multimodalna</w:t>
            </w:r>
          </w:p>
        </w:tc>
      </w:tr>
      <w:tr>
        <w:trPr/>
        <w:tc>
          <w:tcPr>
            <w:tcW w:w="3341" w:type="dxa"/>
            <w:tcBorders>
              <w:top w:val="nil"/>
            </w:tcBorders>
          </w:tcPr>
          <w:p>
            <w:pPr>
              <w:pStyle w:val="Normal"/>
              <w:suppressAutoHyphens w:val="true"/>
              <w:spacing w:lineRule="auto" w:line="276" w:before="0" w:after="0"/>
              <w:rPr>
                <w:b/>
                <w:bCs/>
                <w:sz w:val="16"/>
                <w:szCs w:val="16"/>
              </w:rPr>
            </w:pPr>
            <w:r>
              <w:rPr>
                <w:b/>
                <w:bCs/>
                <w:sz w:val="16"/>
                <w:szCs w:val="16"/>
              </w:rPr>
              <w:t>Prezentacja wyników</w:t>
            </w:r>
          </w:p>
        </w:tc>
        <w:tc>
          <w:tcPr>
            <w:tcW w:w="2836" w:type="dxa"/>
            <w:tcBorders>
              <w:top w:val="nil"/>
            </w:tcBorders>
          </w:tcPr>
          <w:p>
            <w:pPr>
              <w:pStyle w:val="Normal"/>
              <w:suppressAutoHyphens w:val="true"/>
              <w:spacing w:lineRule="auto" w:line="276" w:before="0" w:after="0"/>
              <w:rPr>
                <w:sz w:val="16"/>
                <w:szCs w:val="16"/>
              </w:rPr>
            </w:pPr>
            <w:r>
              <w:rPr>
                <w:sz w:val="16"/>
                <w:szCs w:val="16"/>
              </w:rPr>
              <w:t>MNE + Matplotlib</w:t>
            </w:r>
          </w:p>
        </w:tc>
        <w:tc>
          <w:tcPr>
            <w:tcW w:w="3859" w:type="dxa"/>
            <w:tcBorders>
              <w:top w:val="nil"/>
            </w:tcBorders>
          </w:tcPr>
          <w:p>
            <w:pPr>
              <w:pStyle w:val="Normal"/>
              <w:suppressAutoHyphens w:val="true"/>
              <w:spacing w:lineRule="auto" w:line="276" w:before="0" w:after="0"/>
              <w:rPr>
                <w:sz w:val="16"/>
                <w:szCs w:val="16"/>
              </w:rPr>
            </w:pPr>
            <w:r>
              <w:rPr>
                <w:sz w:val="16"/>
                <w:szCs w:val="16"/>
              </w:rPr>
              <w:t>Plotly, seaborn</w:t>
            </w:r>
          </w:p>
        </w:tc>
      </w:tr>
    </w:tbl>
    <w:p>
      <w:pPr>
        <w:pStyle w:val="Normal"/>
        <w:spacing w:lineRule="auto" w:line="240" w:before="0" w:after="0"/>
        <w:rPr/>
      </w:pPr>
      <w:r>
        <w:rPr/>
      </w:r>
    </w:p>
    <w:p>
      <w:pPr>
        <w:pStyle w:val="Normal"/>
        <w:jc w:val="both"/>
        <w:rPr/>
      </w:pPr>
      <w:r>
        <w:rPr/>
        <w:t>W</w:t>
      </w:r>
      <w:r>
        <w:rPr/>
        <w:t> neuropsychologii najpierw warto nauczyć się rozróżniać pytanie badawcze, wielkość fizyczną i metodę wnioskowania. Dopiero wówczas dobór biblioteki ma sens. Python jest narzędziem analizy, a nie źródłem dowodu naukowego: to projekt eksperymentu, jakość danych i metodologia decydują o trafności wnioskowania.</w:t>
      </w:r>
    </w:p>
    <w:p>
      <w:pPr>
        <w:pStyle w:val="Heading1"/>
        <w:keepNext w:val="true"/>
        <w:rPr/>
      </w:pPr>
      <w:r>
        <w:rPr/>
        <w:t>23. Uzupełniająca literatura metodologiczna</w:t>
      </w:r>
    </w:p>
    <w:p>
      <w:pPr>
        <w:pStyle w:val="Normal"/>
        <w:spacing w:before="0" w:after="20"/>
        <w:rPr/>
      </w:pPr>
      <w:r>
        <w:rPr>
          <w:sz w:val="16"/>
        </w:rPr>
        <w:t>[16] Gramfort, A. i in. (2013). MEG and EEG data analysis with MNE-Python. Frontiers in Neuroscience, 7, 267. https://doi.org/10.3389/fnins.2013.00267</w:t>
      </w:r>
    </w:p>
    <w:p>
      <w:pPr>
        <w:pStyle w:val="Normal"/>
        <w:spacing w:before="0" w:after="20"/>
        <w:rPr/>
      </w:pPr>
      <w:r>
        <w:rPr>
          <w:sz w:val="16"/>
        </w:rPr>
        <w:t>[17] Pernet, C. R. i in. (2019). EEG-BIDS, an extension to the brain imaging data structure for electroencephalography. Scientific Data, 6, 103. https://doi.org/10.1038/s41597-019-0104-8</w:t>
      </w:r>
    </w:p>
    <w:p>
      <w:pPr>
        <w:pStyle w:val="Normal"/>
        <w:spacing w:before="0" w:after="20"/>
        <w:rPr/>
      </w:pPr>
      <w:r>
        <w:rPr>
          <w:sz w:val="16"/>
        </w:rPr>
        <w:t>[18] Appelhoff, S. i in. (2019). MNE-BIDS: Organizing electrophysiological data into the BIDS format and facilitating their analysis. Journal of Open Source Software, 4(44), 1896. https://doi.org/10.21105/joss.01896</w:t>
      </w:r>
    </w:p>
    <w:p>
      <w:pPr>
        <w:pStyle w:val="Normal"/>
        <w:spacing w:before="0" w:after="20"/>
        <w:rPr/>
      </w:pPr>
      <w:r>
        <w:rPr>
          <w:sz w:val="16"/>
        </w:rPr>
        <w:t>[19] Jas, M. i in. (2017). Autoreject: Automated artifact rejection for MEG and EEG data. NeuroImage, 159, 417–429. https://doi.org/10.1016/j.neuroimage.2017.06.016</w:t>
      </w:r>
    </w:p>
    <w:p>
      <w:pPr>
        <w:pStyle w:val="Normal"/>
        <w:spacing w:before="0" w:after="20"/>
        <w:rPr/>
      </w:pPr>
      <w:r>
        <w:rPr>
          <w:sz w:val="16"/>
        </w:rPr>
        <w:t>[20] MNE-Python: przegląd struktur danych i podstawowych analiz. https://mne.tools/stable/auto_tutorials/intro/10_overview.html</w:t>
      </w:r>
    </w:p>
    <w:p>
      <w:pPr>
        <w:pStyle w:val="Heading1"/>
        <w:keepNext w:val="true"/>
        <w:rPr>
          <w:lang w:val="pl-PL"/>
        </w:rPr>
      </w:pPr>
      <w:r>
        <w:rPr/>
        <w:t>24. Bibliografia i dokumentacja podstawowa</w:t>
      </w:r>
    </w:p>
    <w:p>
      <w:pPr>
        <w:pStyle w:val="Normal"/>
        <w:spacing w:before="0" w:after="20"/>
        <w:rPr>
          <w:lang w:val="pl-PL"/>
        </w:rPr>
      </w:pPr>
      <w:r>
        <w:rPr>
          <w:sz w:val="16"/>
          <w:lang w:val="pl-PL"/>
        </w:rPr>
        <w:t>[1] MNE-Python, instalacja i dokumentacja API. https://mne.tools/stable/install/manual_install_python.html ; https://mne.tools/stable/</w:t>
      </w:r>
    </w:p>
    <w:p>
      <w:pPr>
        <w:pStyle w:val="Normal"/>
        <w:spacing w:before="0" w:after="20"/>
        <w:rPr>
          <w:lang w:val="pl-PL"/>
        </w:rPr>
      </w:pPr>
      <w:r>
        <w:rPr>
          <w:sz w:val="16"/>
          <w:lang w:val="pl-PL"/>
        </w:rPr>
        <w:t>[2] MNE-Python, Repairing artifacts with ICA. https://mne.tools/stable/auto_tutorials/preprocessing/40_artifact_correction_ica.html</w:t>
      </w:r>
    </w:p>
    <w:p>
      <w:pPr>
        <w:pStyle w:val="Normal"/>
        <w:spacing w:before="0" w:after="20"/>
        <w:rPr>
          <w:lang w:val="pl-PL"/>
        </w:rPr>
      </w:pPr>
      <w:r>
        <w:rPr>
          <w:sz w:val="16"/>
          <w:lang w:val="pl-PL"/>
        </w:rPr>
        <w:t>[3] MNE-BIDS, dokumentacja. https://mne.tools/mne-bids/stable/</w:t>
      </w:r>
    </w:p>
    <w:p>
      <w:pPr>
        <w:pStyle w:val="Normal"/>
        <w:spacing w:before="0" w:after="20"/>
        <w:rPr>
          <w:lang w:val="pl-PL"/>
        </w:rPr>
      </w:pPr>
      <w:r>
        <w:rPr>
          <w:sz w:val="16"/>
          <w:lang w:val="pl-PL"/>
        </w:rPr>
        <w:t>[4] MNE-BIDS-Pipeline, Basic usage. https://mne.tools/mne-bids-pipeline/stable/getting_started/basic_usage.html</w:t>
      </w:r>
    </w:p>
    <w:p>
      <w:pPr>
        <w:pStyle w:val="Normal"/>
        <w:spacing w:before="0" w:after="20"/>
        <w:rPr>
          <w:lang w:val="pl-PL"/>
        </w:rPr>
      </w:pPr>
      <w:r>
        <w:rPr>
          <w:sz w:val="16"/>
          <w:lang w:val="pl-PL"/>
        </w:rPr>
        <w:t>[5] MNE-Connectivity, APi spectral_connectivity_epochs. https://mne.tools/mne-connectivity/stable/generated/mne_connectivity.spectral_connectivity_epochs.html</w:t>
      </w:r>
    </w:p>
    <w:p>
      <w:pPr>
        <w:pStyle w:val="Normal"/>
        <w:spacing w:before="0" w:after="20"/>
        <w:rPr>
          <w:lang w:val="pl-PL"/>
        </w:rPr>
      </w:pPr>
      <w:r>
        <w:rPr>
          <w:sz w:val="16"/>
          <w:lang w:val="pl-PL"/>
        </w:rPr>
        <w:t>[6] autoreject, dokumentacja. https://autoreject.github.io/</w:t>
      </w:r>
    </w:p>
    <w:p>
      <w:pPr>
        <w:pStyle w:val="Normal"/>
        <w:spacing w:before="0" w:after="20"/>
        <w:rPr>
          <w:lang w:val="pl-PL"/>
        </w:rPr>
      </w:pPr>
      <w:r>
        <w:rPr>
          <w:sz w:val="16"/>
          <w:lang w:val="pl-PL"/>
        </w:rPr>
        <w:t>[7] pyEDFlib, dokumentacja. https://pyedflib.readthedocs.io/</w:t>
      </w:r>
    </w:p>
    <w:p>
      <w:pPr>
        <w:pStyle w:val="Normal"/>
        <w:spacing w:before="0" w:after="20"/>
        <w:rPr>
          <w:lang w:val="pl-PL"/>
        </w:rPr>
      </w:pPr>
      <w:r>
        <w:rPr>
          <w:sz w:val="16"/>
          <w:lang w:val="pl-PL"/>
        </w:rPr>
        <w:t>[8] NeuroKit2, dokumentacja. https://neuropsychology.github.io/NeuroKit/</w:t>
      </w:r>
    </w:p>
    <w:p>
      <w:pPr>
        <w:pStyle w:val="Normal"/>
        <w:spacing w:before="0" w:after="20"/>
        <w:rPr>
          <w:lang w:val="pl-PL"/>
        </w:rPr>
      </w:pPr>
      <w:r>
        <w:rPr>
          <w:sz w:val="16"/>
          <w:lang w:val="pl-PL"/>
        </w:rPr>
        <w:t>[9] YASA, dokumentacja. https://yasa-sleep.org/</w:t>
      </w:r>
    </w:p>
    <w:p>
      <w:pPr>
        <w:pStyle w:val="Normal"/>
        <w:spacing w:before="0" w:after="20"/>
        <w:rPr>
          <w:lang w:val="pl-PL"/>
        </w:rPr>
      </w:pPr>
      <w:r>
        <w:rPr>
          <w:sz w:val="16"/>
          <w:lang w:val="pl-PL"/>
        </w:rPr>
        <w:t>[10] Braindecode, dokumentacja. https://braindecode.org/</w:t>
      </w:r>
    </w:p>
    <w:p>
      <w:pPr>
        <w:pStyle w:val="Normal"/>
        <w:spacing w:before="0" w:after="20"/>
        <w:rPr>
          <w:lang w:val="pl-PL"/>
        </w:rPr>
      </w:pPr>
      <w:r>
        <w:rPr>
          <w:sz w:val="16"/>
          <w:lang w:val="pl-PL"/>
        </w:rPr>
        <w:t>[11] Eelbrain, dokumentacja. https://eelbrain.readthedocs.io/</w:t>
      </w:r>
    </w:p>
    <w:p>
      <w:pPr>
        <w:pStyle w:val="Normal"/>
        <w:spacing w:before="0" w:after="20"/>
        <w:rPr>
          <w:lang w:val="pl-PL"/>
        </w:rPr>
      </w:pPr>
      <w:r>
        <w:rPr>
          <w:sz w:val="16"/>
          <w:lang w:val="pl-PL"/>
        </w:rPr>
        <w:t>[12] MNE-Python, import plików EEG. https://mne.tools/stable/auto_tutorials/io/20_reading_eeg_data.html</w:t>
      </w:r>
    </w:p>
    <w:p>
      <w:pPr>
        <w:pStyle w:val="Normal"/>
        <w:spacing w:before="0" w:after="20"/>
        <w:rPr>
          <w:lang w:val="pl-PL"/>
        </w:rPr>
      </w:pPr>
      <w:r>
        <w:rPr>
          <w:sz w:val="16"/>
          <w:lang w:val="pl-PL"/>
        </w:rPr>
        <w:t>[13] MNE-Python, analiza statystyczna. https://mne.tools/stable/auto_tutorials/stats-sensor-space/index.html</w:t>
      </w:r>
    </w:p>
    <w:p>
      <w:pPr>
        <w:pStyle w:val="Normal"/>
        <w:spacing w:before="0" w:after="20"/>
        <w:rPr>
          <w:lang w:val="pl-PL"/>
        </w:rPr>
      </w:pPr>
      <w:r>
        <w:rPr>
          <w:sz w:val="16"/>
          <w:lang w:val="pl-PL"/>
        </w:rPr>
        <w:t>[14] MNE-Python, EEG reference. https://mne.tools/stable/auto_tutorials/preprocessing/55_setting_eeg_reference.html</w:t>
      </w:r>
    </w:p>
    <w:p>
      <w:pPr>
        <w:pStyle w:val="Normal"/>
        <w:spacing w:before="0" w:after="20"/>
        <w:rPr>
          <w:lang w:val="pl-PL"/>
        </w:rPr>
      </w:pPr>
      <w:r>
        <w:rPr>
          <w:sz w:val="16"/>
          <w:lang w:val="pl-PL"/>
        </w:rPr>
        <w:t>[15] PhysioNet Sleep-EDF. https://physionet.org/content/sleep-edfx/1.0.0/</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52" w:right="1152" w:gutter="0" w:header="454" w:top="1037" w:footer="454" w:bottom="965"/>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family w:val="swiss"/>
    <w:pitch w:val="fixed"/>
  </w:font>
  <w:font w:name="Consolas">
    <w:charset w:val="01" w:characterSet="utf-8"/>
    <w:family w:val="roman"/>
    <w:pitch w:val="variable"/>
  </w:font>
  <w:font w:name="Consols">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before="0" w:after="100"/>
      <w:rPr>
        <w:i/>
        <w:iCs/>
        <w:color w:val="666666"/>
        <w:sz w:val="12"/>
        <w:szCs w:val="12"/>
      </w:rPr>
    </w:pPr>
    <w:r>
      <w:rPr>
        <w:i/>
        <w:iCs/>
        <w:color w:val="666666"/>
        <w:sz w:val="12"/>
        <w:szCs w:val="12"/>
      </w:rPr>
      <w:t>PYTHON  |  ANALIZA EEG DLA NEUROPSYCHOLOGÓW</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before="0" w:after="100"/>
      <w:rPr>
        <w:i/>
        <w:iCs/>
        <w:color w:val="666666"/>
        <w:sz w:val="12"/>
        <w:szCs w:val="12"/>
      </w:rPr>
    </w:pPr>
    <w:r>
      <w:rPr>
        <w:i/>
        <w:iCs/>
        <w:color w:val="666666"/>
        <w:sz w:val="12"/>
        <w:szCs w:val="12"/>
      </w:rPr>
      <w:t>PYTHON  |  ANALIZA EEG DLA NEUROPSYCHOLOGÓW</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70"/>
      <w:jc w:val="start"/>
    </w:pPr>
    <w:rPr>
      <w:rFonts w:ascii="Aptos" w:hAnsi="Aptos" w:eastAsia="" w:cs="" w:cstheme="minorBidi" w:eastAsiaTheme="minorEastAsia"/>
      <w:color w:val="auto"/>
      <w:kern w:val="0"/>
      <w:sz w:val="20"/>
      <w:szCs w:val="22"/>
      <w:lang w:val="pl-PL" w:eastAsia="en-US" w:bidi="ar-SA"/>
    </w:rPr>
  </w:style>
  <w:style w:type="paragraph" w:styleId="Heading1">
    <w:name w:val="heading 1"/>
    <w:basedOn w:val="Normal"/>
    <w:next w:val="Normal"/>
    <w:link w:val="Heading1Char"/>
    <w:uiPriority w:val="9"/>
    <w:qFormat/>
    <w:rsid w:val="00fc693f"/>
    <w:pPr>
      <w:keepNext w:val="true"/>
      <w:keepLines/>
      <w:spacing w:before="260" w:after="100"/>
      <w:outlineLvl w:val="0"/>
    </w:pPr>
    <w:rPr>
      <w:rFonts w:ascii="Calibri" w:hAnsi="Calibri" w:eastAsia="" w:cs="" w:asciiTheme="majorHAnsi" w:cstheme="majorBidi" w:eastAsiaTheme="majorEastAsia" w:hAnsiTheme="majorHAnsi"/>
      <w:b/>
      <w:bCs/>
      <w:color w:val="1A4C68"/>
      <w:sz w:val="26"/>
      <w:szCs w:val="28"/>
    </w:rPr>
  </w:style>
  <w:style w:type="paragraph" w:styleId="Heading2">
    <w:name w:val="heading 2"/>
    <w:basedOn w:val="Normal"/>
    <w:next w:val="Normal"/>
    <w:link w:val="Heading2Char"/>
    <w:uiPriority w:val="9"/>
    <w:unhideWhenUsed/>
    <w:qFormat/>
    <w:rsid w:val="00fc693f"/>
    <w:pPr>
      <w:keepNext w:val="true"/>
      <w:keepLines/>
      <w:spacing w:before="260" w:after="100"/>
      <w:outlineLvl w:val="1"/>
    </w:pPr>
    <w:rPr>
      <w:rFonts w:ascii="Calibri" w:hAnsi="Calibri" w:eastAsia="" w:cs="" w:asciiTheme="majorHAnsi" w:cstheme="majorBidi" w:eastAsiaTheme="majorEastAsia" w:hAnsiTheme="majorHAnsi"/>
      <w:b/>
      <w:bCs/>
      <w:color w:val="1A4C68"/>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ks">
    <w:name w:val="Indeks"/>
    <w:basedOn w:val="Normal"/>
    <w:qFormat/>
    <w:pPr>
      <w:suppressLineNumbers/>
    </w:pPr>
    <w:rPr>
      <w:rFonts w:cs="Noto Sans Devanagari"/>
    </w:rPr>
  </w:style>
  <w:style w:type="paragraph" w:styleId="Nagwekuser">
    <w:name w:val="Nagłówek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eksuser">
    <w:name w:val="Indeks (user)"/>
    <w:basedOn w:val="Normal"/>
    <w:qFormat/>
    <w:pPr>
      <w:suppressLineNumbers/>
    </w:pPr>
    <w:rPr>
      <w:rFonts w:cs="Noto Sans Devanagari"/>
    </w:rPr>
  </w:style>
  <w:style w:type="paragraph" w:styleId="Gwkaistopkauser">
    <w:name w:val="Główka i stopka (user)"/>
    <w:basedOn w:val="Normal"/>
    <w:qFormat/>
    <w:pPr/>
    <w:rPr/>
  </w:style>
  <w:style w:type="paragraph" w:styleId="Gwkaistopka">
    <w:name w:val="Główka i stopk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260" w:after="100"/>
      <w:contextualSpacing/>
    </w:pPr>
    <w:rPr>
      <w:rFonts w:ascii="Calibri" w:hAnsi="Calibri" w:eastAsia="" w:cs="" w:asciiTheme="majorHAnsi" w:cstheme="majorBidi" w:eastAsiaTheme="majorEastAsia" w:hAnsiTheme="majorHAnsi"/>
      <w:b/>
      <w:color w:val="144258"/>
      <w:spacing w:val="5"/>
      <w:kern w:val="2"/>
      <w:sz w:val="3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z w:val="19"/>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Nagwekuser"/>
    <w:pPr/>
    <w:rPr/>
  </w:style>
  <w:style w:type="paragraph" w:styleId="TOCHeading">
    <w:name w:val="TOC Heading"/>
    <w:basedOn w:val="Heading1"/>
    <w:next w:val="Normal"/>
    <w:uiPriority w:val="39"/>
    <w:semiHidden/>
    <w:unhideWhenUsed/>
    <w:qFormat/>
    <w:rsid w:val="00fc693f"/>
    <w:pPr>
      <w:outlineLvl w:val="9"/>
    </w:pPr>
    <w:rPr/>
  </w:style>
  <w:style w:type="paragraph" w:styleId="Zawartotabeli">
    <w:name w:val="Zawartość tabeli"/>
    <w:basedOn w:val="Normal"/>
    <w:qFormat/>
    <w:pPr>
      <w:widowControl w:val="false"/>
      <w:suppressLineNumbers/>
    </w:pPr>
    <w:rPr/>
  </w:style>
  <w:style w:type="paragraph" w:styleId="Nagwektabeli">
    <w:name w:val="Nagłówek tabeli"/>
    <w:basedOn w:val="Zawartotabeli"/>
    <w:qFormat/>
    <w:pPr>
      <w:suppressLineNumbers/>
      <w:jc w:val="center"/>
    </w:pPr>
    <w:rPr>
      <w:b/>
      <w:bCs/>
    </w:rPr>
  </w:style>
  <w:style w:type="numbering" w:styleId="Bezlistyuser" w:default="1">
    <w:name w:val="Bez listy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LibreOffice/26.2.6.3$Linux_X86_64 LibreOffice_project/620$Build-3</Application>
  <AppVersion>15.0000</AppVersion>
  <Pages>11</Pages>
  <Words>3369</Words>
  <Characters>25281</Characters>
  <CharactersWithSpaces>28502</CharactersWithSpaces>
  <Paragraphs>302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pl-PL</dc:language>
  <cp:lastModifiedBy/>
  <dcterms:modified xsi:type="dcterms:W3CDTF">2026-10-11T00:07:46Z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