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13"/>
        <w:jc w:val="center"/>
        <w:rPr>
          <w:rFonts w:ascii="Montserrat Medium" w:hAnsi="Montserrat Medium"/>
        </w:rPr>
      </w:pPr>
      <w:r>
        <w:rPr>
          <w:rFonts w:ascii="Montserrat Medium" w:hAnsi="Montserrat Medium"/>
        </w:rPr>
        <w:t>CASIE i pokrewne nurty badań nad kontekstowym rozpoznawaniem emocji</w:t>
      </w:r>
      <w:bookmarkStart w:id="0" w:name="content"/>
      <w:bookmarkStart w:id="1" w:name="X0827d967fa2313900d2f4b30c8840da7123c160"/>
    </w:p>
    <w:p>
      <w:pPr>
        <w:pStyle w:val="FirstParagraph"/>
        <w:jc w:val="both"/>
        <w:rPr/>
      </w:pPr>
      <w:bookmarkStart w:id="2" w:name="podsumowanie-kierownicze"/>
      <w:r>
        <w:rPr/>
        <w:t xml:space="preserve">W przeszukanej literaturze naukowej akronim </w:t>
      </w:r>
      <w:r>
        <w:rPr>
          <w:b/>
          <w:bCs/>
        </w:rPr>
        <w:t>CASIE</w:t>
      </w:r>
      <w:r>
        <w:rPr/>
        <w:t xml:space="preserve"> nie funkcjonuje przede wszystkim jako „Contextual Affect Sensing for Intelligent Environments”, lecz jako </w:t>
      </w:r>
      <w:r>
        <w:rPr>
          <w:b/>
          <w:bCs/>
        </w:rPr>
        <w:t>Computing Affect and Social IntelligencE</w:t>
      </w:r>
      <w:r>
        <w:rPr/>
        <w:t xml:space="preserve"> - nazwa zaproponowanej w 2021 roku architektury dla robotów społecznych w ochronie zdrowia. Równolegle istnieje wcześniejszy, blisko spokrewniony nurt badań nad </w:t>
      </w:r>
      <w:r>
        <w:rPr>
          <w:b/>
          <w:bCs/>
        </w:rPr>
        <w:t>context-sensitive / contextual affect sensing</w:t>
      </w:r>
      <w:r>
        <w:rPr/>
        <w:t xml:space="preserve">, rozwijany głównie przez </w:t>
      </w:r>
      <w:r>
        <w:rPr>
          <w:b/>
          <w:bCs/>
        </w:rPr>
        <w:t>Li Zhang</w:t>
      </w:r>
      <w:r>
        <w:rPr/>
        <w:t xml:space="preserve"> i współpracowników w obszarze agentów konwersacyjnych i wirtualnej improwizacji dramatycznej, oraz pokrewny nurt </w:t>
      </w:r>
      <w:r>
        <w:rPr>
          <w:b/>
          <w:bCs/>
        </w:rPr>
        <w:t>context-aware emotional intelligence</w:t>
      </w:r>
      <w:r>
        <w:rPr/>
        <w:t xml:space="preserve"> rozwijany przez </w:t>
      </w:r>
      <w:r>
        <w:rPr>
          <w:b/>
          <w:bCs/>
        </w:rPr>
        <w:t>Michala Ptaszyńskiego</w:t>
      </w:r>
      <w:r>
        <w:rPr/>
        <w:t xml:space="preserve"> i współautorów. Z tego powodu najbardziej rzetelne ujęcie „frameworków CASIE” to nie jedna ustalona rodzina modeli, lecz </w:t>
      </w:r>
      <w:r>
        <w:rPr>
          <w:b/>
          <w:bCs/>
        </w:rPr>
        <w:t>trzy powiązane linie architektoniczne</w:t>
      </w:r>
      <w:r>
        <w:rPr/>
        <w:t xml:space="preserve">: </w:t>
      </w:r>
      <w:r>
        <w:rPr>
          <w:w w:val="98"/>
        </w:rPr>
        <w:t>kontekstowe wykrywanie afektu w dialogu, kontekstową ocenę adekwatności emocji oraz pełniejszą architekturę robotyczną CASIE dla opieki zdrowotnej</w:t>
      </w:r>
      <w:r>
        <w:rPr>
          <w:rStyle w:val="Hyperlink"/>
          <w:w w:val="98"/>
        </w:rPr>
        <w:t>.</w:t>
      </w:r>
    </w:p>
    <w:p>
      <w:pPr>
        <w:pStyle w:val="BodyText"/>
        <w:spacing w:before="113" w:after="57"/>
        <w:rPr/>
      </w:pPr>
      <w:r>
        <w:rPr/>
        <w:t xml:space="preserve">Najważniejszy wniosek architektoniczny jest taki, że </w:t>
      </w:r>
      <w:r>
        <w:rPr>
          <w:b/>
          <w:bCs/>
        </w:rPr>
        <w:t>CASIE nie jest klasyfikatorem „emocja z twarzy = reakcja”</w:t>
      </w:r>
      <w:r>
        <w:rPr/>
        <w:t xml:space="preserve">. W wersji robotycznej rozszerza klasyczną pętlę </w:t>
      </w:r>
      <w:r>
        <w:rPr>
          <w:i/>
          <w:iCs/>
        </w:rPr>
        <w:t>sense–think–act</w:t>
      </w:r>
      <w:r>
        <w:rPr/>
        <w:t xml:space="preserve"> o: multimodalną percepcję mowy i obrazu, </w:t>
      </w:r>
      <w:r>
        <w:rPr>
          <w:b/>
          <w:bCs/>
        </w:rPr>
        <w:t>fuzję multimodalną</w:t>
      </w:r>
      <w:r>
        <w:rPr/>
        <w:t xml:space="preserve">, </w:t>
      </w:r>
      <w:r>
        <w:rPr>
          <w:b/>
          <w:bCs/>
        </w:rPr>
        <w:t>bazę wiedzy / knowledge graph</w:t>
      </w:r>
      <w:r>
        <w:rPr/>
        <w:t xml:space="preserve">, </w:t>
      </w:r>
      <w:r>
        <w:rPr>
          <w:b/>
          <w:bCs/>
        </w:rPr>
        <w:t>High-Level Control Centre</w:t>
      </w:r>
      <w:r>
        <w:rPr/>
        <w:t xml:space="preserve">, </w:t>
      </w:r>
      <w:r>
        <w:rPr>
          <w:b/>
          <w:bCs/>
        </w:rPr>
        <w:t>emotion-based decision-making</w:t>
      </w:r>
      <w:r>
        <w:rPr/>
        <w:t xml:space="preserve">, </w:t>
      </w:r>
      <w:r>
        <w:rPr>
          <w:b/>
          <w:bCs/>
        </w:rPr>
        <w:t>probabilistyczny planner</w:t>
      </w:r>
      <w:r>
        <w:rPr/>
        <w:t xml:space="preserve"> oraz </w:t>
      </w:r>
      <w:r>
        <w:rPr>
          <w:b/>
          <w:bCs/>
        </w:rPr>
        <w:t>normatywny komponent etyczno-społeczny</w:t>
      </w:r>
      <w:r>
        <w:rPr/>
        <w:t xml:space="preserve">. To odróżnia CASIE od czysto korelacyjnych systemów rozpoznawania emocji </w:t>
      </w:r>
      <w:hyperlink r:id="rId2">
        <w:r>
          <w:rPr>
            <w:rStyle w:val="Hyperlink"/>
          </w:rPr>
          <w:t>[2]</w:t>
        </w:r>
      </w:hyperlink>
      <w:r>
        <w:rPr>
          <w:rStyle w:val="Hyperlink"/>
        </w:rPr>
        <w:t>.</w:t>
      </w:r>
    </w:p>
    <w:p>
      <w:pPr>
        <w:pStyle w:val="BodyText"/>
        <w:rPr/>
      </w:pPr>
      <w:r>
        <w:rPr/>
        <w:t xml:space="preserve">Jednocześnie CASIE - w opublikowanej postaci - </w:t>
      </w:r>
      <w:r>
        <w:rPr>
          <w:b/>
          <w:bCs/>
        </w:rPr>
        <w:t>nie dostarcza jeszcze jawnego formalizmu przyczynowego</w:t>
      </w:r>
      <w:r>
        <w:rPr/>
        <w:t xml:space="preserve"> w sensie współczesnych modeli SCM/counterfactual reasoning, ani nie rozwija kompletnego mechanizmu </w:t>
      </w:r>
      <w:r>
        <w:rPr>
          <w:b/>
          <w:bCs/>
        </w:rPr>
        <w:t>kalibracji niepewności, abstencji czy proszenia użytkownika o doprecyzowanie</w:t>
      </w:r>
      <w:r>
        <w:rPr/>
        <w:t xml:space="preserve">. W tym sensie bliżej mu do </w:t>
      </w:r>
      <w:r>
        <w:rPr>
          <w:b/>
          <w:bCs/>
        </w:rPr>
        <w:t>hybrydowego rozumowania logiczno-probabilistycznego</w:t>
      </w:r>
      <w:r>
        <w:rPr/>
        <w:t xml:space="preserve"> niż do pełnego modelu przyczynowego. Współczesne prace z obszaru context-aware emotion recognition, takie jak </w:t>
      </w:r>
      <w:r>
        <w:rPr>
          <w:b/>
          <w:bCs/>
        </w:rPr>
        <w:t>CLEF</w:t>
      </w:r>
      <w:r>
        <w:rPr/>
        <w:t xml:space="preserve"> z CVPR 2024, zaczynają już explicite modelować graf przyczynowy i odróżniać użyteczny kontekst od kontekstu będącego źródłem pozornych korelacji. Osobny nurt wnosi formalne modelowanie niepewności, np. </w:t>
      </w:r>
      <w:r>
        <w:rPr>
          <w:b/>
          <w:bCs/>
        </w:rPr>
        <w:t>HU-Dialogue</w:t>
      </w:r>
      <w:r>
        <w:rPr/>
        <w:t xml:space="preserve"> oraz </w:t>
      </w:r>
      <w:r>
        <w:rPr>
          <w:b/>
          <w:bCs/>
        </w:rPr>
        <w:t>conformal prediction</w:t>
      </w:r>
      <w:r>
        <w:rPr/>
        <w:t xml:space="preserve"> dla ERC </w:t>
      </w:r>
      <w:hyperlink r:id="rId3">
        <w:r>
          <w:rPr>
            <w:rStyle w:val="Hyperlink"/>
          </w:rPr>
          <w:t>[3]</w:t>
        </w:r>
      </w:hyperlink>
      <w:r>
        <w:rPr>
          <w:rStyle w:val="Hyperlink"/>
        </w:rPr>
        <w:t>.</w:t>
      </w:r>
    </w:p>
    <w:p>
      <w:pPr>
        <w:pStyle w:val="BodyText"/>
        <w:rPr/>
      </w:pPr>
      <w:r>
        <w:rPr/>
        <w:t xml:space="preserve">Praktycznie rzecz ujmując, CASIE jest dziś najlepiej czytać jako </w:t>
      </w:r>
      <w:r>
        <w:rPr>
          <w:b/>
          <w:bCs/>
        </w:rPr>
        <w:t>program badawczy i architekturę referencyjną</w:t>
      </w:r>
      <w:r>
        <w:rPr/>
        <w:t xml:space="preserve">, a nie jako skończony, zwalidowany end-to-end framework produkcyjny. Jego mocną stroną jest bogate ujęcie kontekstu, planowania i etyki; słabszą - brak pełnej operacjonalizacji przyczynowości, niepewności i polityk „nie wiem / zapytaj człowieka”. Dla współczesnych zastosowań należałoby więc budować </w:t>
      </w:r>
      <w:r>
        <w:rPr>
          <w:b/>
          <w:bCs/>
        </w:rPr>
        <w:t>CASIE-2</w:t>
      </w:r>
      <w:r>
        <w:rPr/>
        <w:t xml:space="preserve">: z jawnym stanem przekonań, kalibracją, mechanizmem aktywnego dopytywania i restrykcyjną polityką bezpieczeństwa działań </w:t>
      </w:r>
      <w:hyperlink r:id="rId4">
        <w:r>
          <w:rPr>
            <w:rStyle w:val="Hyperlink"/>
          </w:rPr>
          <w:t>[4]</w:t>
        </w:r>
      </w:hyperlink>
      <w:bookmarkEnd w:id="2"/>
      <w:r>
        <w:rPr>
          <w:rStyle w:val="Hyperlink"/>
        </w:rPr>
        <w:t>.</w:t>
      </w:r>
    </w:p>
    <w:p>
      <w:pPr>
        <w:pStyle w:val="Heading2"/>
        <w:rPr/>
      </w:pPr>
      <w:r>
        <w:rPr/>
        <w:t>Co w literaturze naprawdę oznacza CASIE</w:t>
      </w:r>
    </w:p>
    <w:p>
      <w:pPr>
        <w:pStyle w:val="FirstParagraph"/>
        <w:rPr/>
      </w:pPr>
      <w:r>
        <w:rPr/>
        <w:t xml:space="preserve">W recenzowanych źródłach, które udało się zidentyfikować, </w:t>
      </w:r>
      <w:r>
        <w:rPr>
          <w:b/>
          <w:bCs/>
        </w:rPr>
        <w:t>CASIE</w:t>
      </w:r>
      <w:r>
        <w:rPr/>
        <w:t xml:space="preserve"> jako rozwinięty akronim pojawia się przede wszystkim w artykule </w:t>
      </w:r>
      <w:r>
        <w:rPr>
          <w:b/>
          <w:bCs/>
        </w:rPr>
        <w:t>Vasiliu i in.</w:t>
      </w:r>
      <w:r>
        <w:rPr/>
        <w:t xml:space="preserve"> w </w:t>
      </w:r>
      <w:r>
        <w:rPr>
          <w:i/>
          <w:iCs/>
        </w:rPr>
        <w:t>Paladyn, Journal of Behavioral Robotics</w:t>
      </w:r>
      <w:r>
        <w:rPr/>
        <w:t xml:space="preserve"> jako </w:t>
      </w:r>
      <w:r>
        <w:rPr>
          <w:b/>
          <w:bCs/>
        </w:rPr>
        <w:t>Computing Affect and Social IntelligencE</w:t>
      </w:r>
      <w:r>
        <w:rPr/>
        <w:t xml:space="preserve"> dla robotów społecznych w opiece zdrowotnej. Autorzy explicite opisują CASIE jako „emotion-aware architecture” łączącą affective computing, NLP, computer vision i complex decision-making in HRI. Repozytorium DCU oznacza ten artykuł recenzowany </w:t>
      </w:r>
      <w:hyperlink r:id="rId5">
        <w:r>
          <w:rPr>
            <w:rStyle w:val="Hyperlink"/>
          </w:rPr>
          <w:t>[5]</w:t>
        </w:r>
      </w:hyperlink>
      <w:r>
        <w:rPr>
          <w:rStyle w:val="Hyperlink"/>
        </w:rPr>
        <w:t>.</w:t>
      </w:r>
    </w:p>
    <w:p>
      <w:pPr>
        <w:pStyle w:val="BodyText"/>
        <w:spacing w:before="181" w:after="57"/>
        <w:rPr/>
      </w:pPr>
      <w:r>
        <w:rPr/>
        <w:t xml:space="preserve">Starsza literatura, z którą CASIE jest ideowo spójne, ale która </w:t>
      </w:r>
      <w:r>
        <w:rPr>
          <w:b/>
          <w:bCs/>
        </w:rPr>
        <w:t>nie używa jeszcze tego akronimu</w:t>
      </w:r>
      <w:r>
        <w:rPr/>
        <w:t xml:space="preserve">, mówi o </w:t>
      </w:r>
      <w:r>
        <w:rPr>
          <w:b/>
          <w:bCs/>
        </w:rPr>
        <w:t>context-sensitive affect sensing</w:t>
      </w:r>
      <w:r>
        <w:rPr/>
        <w:t xml:space="preserve">, </w:t>
      </w:r>
      <w:r>
        <w:rPr>
          <w:b/>
          <w:bCs/>
        </w:rPr>
        <w:t>contextual affect sensing</w:t>
      </w:r>
      <w:r>
        <w:rPr/>
        <w:t xml:space="preserve"> oraz </w:t>
      </w:r>
      <w:r>
        <w:rPr>
          <w:b/>
          <w:bCs/>
        </w:rPr>
        <w:t>context-aware emotional intelligence</w:t>
      </w:r>
      <w:r>
        <w:rPr/>
        <w:t xml:space="preserve">. U </w:t>
      </w:r>
      <w:r>
        <w:rPr>
          <w:b/>
          <w:bCs/>
        </w:rPr>
        <w:t>Li Zhang</w:t>
      </w:r>
      <w:r>
        <w:rPr/>
        <w:t xml:space="preserve"> rdzeniem problemu jest interpretowanie afektu z wypowiedzi, które mają słabe lub zerowe jawne wskaźniki emocjonalne, lecz nabierają znaczenia dzięki </w:t>
      </w:r>
      <w:r>
        <w:rPr>
          <w:b/>
          <w:bCs/>
        </w:rPr>
        <w:t>historii dialogu, relacjom między postaciami, tematowi rozmowy i modelowaniu nastroju postaci</w:t>
      </w:r>
      <w:r>
        <w:rPr/>
        <w:t>. U </w:t>
      </w:r>
      <w:r>
        <w:rPr>
          <w:b/>
          <w:bCs/>
        </w:rPr>
        <w:t>Ptaszyńskiego i współautorów</w:t>
      </w:r>
      <w:r>
        <w:rPr/>
        <w:t xml:space="preserve"> celem jest krok dalej: nie tylko rozpoznać emocję, ale też ocenić, czy jest ona </w:t>
      </w:r>
      <w:r>
        <w:rPr>
          <w:b/>
          <w:bCs/>
        </w:rPr>
        <w:t>adekwatna do kontekstu</w:t>
      </w:r>
      <w:r>
        <w:rPr/>
        <w:t>, aby agent potrafił wybrać właściwą strategię odpowiedzi.</w:t>
      </w:r>
    </w:p>
    <w:p>
      <w:pPr>
        <w:pStyle w:val="BodyText"/>
        <w:rPr/>
      </w:pPr>
      <w:r>
        <w:rPr/>
        <w:t xml:space="preserve">Tak więc, jeśli przez „frameworki CASIE” rozumieć </w:t>
      </w:r>
      <w:r>
        <w:rPr>
          <w:b/>
          <w:bCs/>
        </w:rPr>
        <w:t>szerszą rodzinę kontekstowo-rozumujących systemów afektywnych</w:t>
      </w:r>
      <w:r>
        <w:rPr/>
        <w:t>, to najbardziej trafny podział wygląda następująco:</w:t>
      </w:r>
    </w:p>
    <w:p>
      <w:pPr>
        <w:pStyle w:val="BodyText"/>
        <w:numPr>
          <w:ilvl w:val="0"/>
          <w:numId w:val="1"/>
        </w:numPr>
        <w:spacing w:before="57" w:after="113"/>
        <w:rPr/>
      </w:pPr>
      <w:r>
        <w:rPr/>
        <w:t xml:space="preserve">po pierwsze, </w:t>
      </w:r>
      <w:r>
        <w:rPr>
          <w:b/>
          <w:bCs/>
        </w:rPr>
        <w:t>kontekstowe wykrywanie afektu w dialogu</w:t>
      </w:r>
      <w:r>
        <w:rPr/>
        <w:t>;</w:t>
      </w:r>
    </w:p>
    <w:p>
      <w:pPr>
        <w:pStyle w:val="BodyText"/>
        <w:numPr>
          <w:ilvl w:val="0"/>
          <w:numId w:val="1"/>
        </w:numPr>
        <w:spacing w:before="57" w:after="113"/>
        <w:rPr/>
      </w:pPr>
      <w:r>
        <w:rPr/>
        <w:t xml:space="preserve">po drugie, </w:t>
      </w:r>
      <w:r>
        <w:rPr>
          <w:b/>
          <w:bCs/>
        </w:rPr>
        <w:t>kontekstowa ocena adekwatności afektu</w:t>
      </w:r>
      <w:r>
        <w:rPr/>
        <w:t>;</w:t>
      </w:r>
    </w:p>
    <w:p>
      <w:pPr>
        <w:pStyle w:val="BodyText"/>
        <w:numPr>
          <w:ilvl w:val="0"/>
          <w:numId w:val="1"/>
        </w:numPr>
        <w:spacing w:before="57" w:after="113"/>
        <w:rPr/>
      </w:pPr>
      <w:r>
        <w:rPr/>
        <w:t xml:space="preserve">po trzecie, </w:t>
      </w:r>
      <w:r>
        <w:rPr>
          <w:b/>
          <w:bCs/>
        </w:rPr>
        <w:t>pełna architektura robotyczna CASIE</w:t>
      </w:r>
      <w:r>
        <w:rPr/>
        <w:t xml:space="preserve">, w której percepcja afektu jest tylko jedną z warstw całego systemu </w:t>
      </w:r>
      <w:hyperlink r:id="rId6">
        <w:r>
          <w:rPr>
            <w:rStyle w:val="Hyperlink"/>
          </w:rPr>
          <w:t>[7]</w:t>
        </w:r>
      </w:hyperlink>
      <w:r>
        <w:rPr>
          <w:rStyle w:val="Hyperlink"/>
        </w:rPr>
        <w:t>.</w:t>
      </w:r>
    </w:p>
    <w:p>
      <w:pPr>
        <w:pStyle w:val="FirstParagrap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823595</wp:posOffset>
            </wp:positionH>
            <wp:positionV relativeFrom="paragraph">
              <wp:posOffset>50800</wp:posOffset>
            </wp:positionV>
            <wp:extent cx="5234305" cy="4883150"/>
            <wp:effectExtent l="0" t="0" r="0" b="0"/>
            <wp:wrapTopAndBottom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5668" r="7216" b="6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488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rstParagraph"/>
        <w:rPr/>
      </w:pPr>
      <w:r>
        <w:rPr/>
        <w:t xml:space="preserve">Oś czasu pokazuje, że CASIE z 2021 roku nie powstało w próżni: wyrasta z co najmniej piętnastoletniej tradycji badań nad tym, jak </w:t>
      </w:r>
      <w:r>
        <w:rPr>
          <w:b/>
          <w:bCs/>
        </w:rPr>
        <w:t>kontekst przekształca znaczenie sygnałów emocjonalnych</w:t>
      </w:r>
      <w:r>
        <w:rPr/>
        <w:t xml:space="preserve"> i jak agent może działać adekwatnie społecznie, a nie tylko reagować na korelacje w danych </w:t>
      </w:r>
      <w:hyperlink r:id="rId8">
        <w:r>
          <w:rPr>
            <w:rStyle w:val="Hyperlink"/>
          </w:rPr>
          <w:t>[8]</w:t>
        </w:r>
      </w:hyperlink>
      <w:r>
        <w:rPr>
          <w:rStyle w:val="Hyperlink"/>
        </w:rPr>
        <w:t>.</w:t>
      </w:r>
    </w:p>
    <w:p>
      <w:pPr>
        <w:pStyle w:val="Heading3"/>
        <w:rPr/>
      </w:pPr>
      <w:r>
        <w:rPr/>
        <w:t>Kluczowe publikacje i miejsca publikacji</w:t>
      </w:r>
    </w:p>
    <w:tbl>
      <w:tblPr>
        <w:tblStyle w:val="Table"/>
        <w:tblW w:w="102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19"/>
        <w:gridCol w:w="2437"/>
        <w:gridCol w:w="2672"/>
        <w:gridCol w:w="4538"/>
      </w:tblGrid>
      <w:tr>
        <w:trPr>
          <w:tblHeader w:val="true"/>
        </w:trPr>
        <w:tc>
          <w:tcPr>
            <w:tcW w:w="6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kern w:val="0"/>
                <w:sz w:val="18"/>
                <w:szCs w:val="18"/>
                <w:lang w:val="pl-PL" w:eastAsia="en-US" w:bidi="ar-SA"/>
              </w:rPr>
              <w:t>Rok</w:t>
            </w:r>
          </w:p>
        </w:tc>
        <w:tc>
          <w:tcPr>
            <w:tcW w:w="24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kern w:val="0"/>
                <w:sz w:val="18"/>
                <w:szCs w:val="18"/>
                <w:lang w:val="pl-PL" w:eastAsia="en-US" w:bidi="ar-SA"/>
              </w:rPr>
              <w:t>Publikacja</w:t>
            </w:r>
          </w:p>
        </w:tc>
        <w:tc>
          <w:tcPr>
            <w:tcW w:w="26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kern w:val="0"/>
                <w:sz w:val="18"/>
                <w:szCs w:val="18"/>
                <w:lang w:val="pl-PL" w:eastAsia="en-US" w:bidi="ar-SA"/>
              </w:rPr>
              <w:t>Autorzy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kern w:val="0"/>
                <w:sz w:val="18"/>
                <w:szCs w:val="18"/>
                <w:lang w:val="pl-PL" w:eastAsia="en-US" w:bidi="ar-SA"/>
              </w:rPr>
              <w:t>Znaczenie architektoniczne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2006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Developments in Affect Detection in E-drama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Li Zhang, John A. Barnden, Robert J. Hendley, Alan M. Wallington;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EACL Demonstrations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Wczesny system wykrywania afektu w e-dramie; punkt wyjścia dla późniejszego modelowania kontekstu.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2009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Towards Context Aware Emotional Intelligence in Machines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Michal Ptaszynski, Pawel Dybala, Wenhan Shi, Rafal Rzepka, Kenji Araki;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IJCAI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Wprowadza pojęcie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adekwatności emocji względem kontekstu</w:t>
            </w: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 i agentowej strategii reakcji.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2010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Metaphor Interpretation and Context-based Affect Detection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Li Zhang;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COLING 2010 Poster Volume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Łączy interpretację metafor z kontekstowym wykrywaniem afektu i modelowaniem Markowowskim.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2011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Exploration on Context-Sensitive Affect Sensing in an Intelligent Agent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Li Zhang;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IVA 2011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Dodaje wnioskowanie o nastroju improwizacyjnym postaci i emocjach osadzonych w kontekście komunikacyjnym.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2011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Context-Sensitive Affect Sensing and Metaphor Identification in Virtual Drama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Li Zhang, John Barnden;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ACII 2011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Formalizuje połączenie kontekstu i metafory w architekturze wirtualnego dramatu.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2012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Contextual affect sensing and metaphor interpretation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Li Zhang, Alamgir Hossain;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Entertainment Computing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Artykuł journalowy porządkujący nurt; opisuje profil kontekstu, pewność odpowiedzi i wyniki ewaluacji.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2021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CASIE – Computing affect and social intelligence for healthcare in an ethical and trustworthy manner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Laurentiu Vasiliu i in.;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Paladyn, Journal of Behavioral Robotics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Najpełniejsza architektura CASIE: multimodalna percepcja, knowledge base, planner, etyka, edge/cloud.</w:t>
            </w:r>
          </w:p>
        </w:tc>
      </w:tr>
      <w:tr>
        <w:trPr/>
        <w:tc>
          <w:tcPr>
            <w:tcW w:w="619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8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80"/>
                <w:kern w:val="0"/>
                <w:sz w:val="18"/>
                <w:szCs w:val="18"/>
                <w:lang w:val="pl-PL" w:eastAsia="en-US" w:bidi="ar-SA"/>
              </w:rPr>
              <w:t>2024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i w:val="false"/>
                <w:iCs w:val="false"/>
                <w:w w:val="90"/>
                <w:kern w:val="0"/>
                <w:sz w:val="18"/>
                <w:szCs w:val="18"/>
                <w:lang w:val="pl-PL" w:eastAsia="en-US" w:bidi="ar-SA"/>
              </w:rPr>
              <w:t>Robust Emotion Recognition in Context Debiasing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Dingkang Yang i in.;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CVPR 2024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Nowoczesny punkt odniesienia: jawny </w:t>
            </w:r>
            <w:r>
              <w:rPr>
                <w:rFonts w:eastAsia="Aptos" w:cs="" w:ascii="Adwaita Sans" w:hAnsi="Adwaita Sans"/>
                <w:b/>
                <w:bCs/>
                <w:w w:val="90"/>
                <w:kern w:val="0"/>
                <w:sz w:val="18"/>
                <w:szCs w:val="18"/>
                <w:lang w:val="pl-PL" w:eastAsia="en-US" w:bidi="ar-SA"/>
              </w:rPr>
              <w:t>graf przyczynowy</w:t>
            </w: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 xml:space="preserve"> i kontrfaktyczne usuwanie biasu kontekstowego.</w:t>
            </w:r>
          </w:p>
        </w:tc>
      </w:tr>
    </w:tbl>
    <w:p>
      <w:pPr>
        <w:pStyle w:val="Heading2"/>
        <w:spacing w:before="170" w:after="57"/>
        <w:rPr/>
      </w:pPr>
      <w:r>
        <w:rPr/>
        <w:t>Genealogia i architektury poprzedzające CASIE</w:t>
      </w:r>
    </w:p>
    <w:p>
      <w:pPr>
        <w:pStyle w:val="FirstParagraph"/>
        <w:rPr/>
      </w:pPr>
      <w:r>
        <w:rPr/>
        <w:t xml:space="preserve">Najwcześniejsza linia, związana z projektem </w:t>
      </w:r>
      <w:r>
        <w:rPr>
          <w:b/>
          <w:bCs/>
        </w:rPr>
        <w:t>EMMA / e-drama</w:t>
      </w:r>
      <w:r>
        <w:rPr/>
        <w:t xml:space="preserve">, startowała od rozpoznawania afektu bezpośrednio z każdej pojedynczej wypowiedzi użytkownika. Już wtedy jednak autorzy zauważyli, że wiele emocjonalnie ważnych wypowiedzi nie zawiera „silnych wskaźników afektu”, a ich znaczenie ujawnia dopiero kontekst. W pracy z COLING 2010 Li Zhang opisuje użycie </w:t>
      </w:r>
      <w:r>
        <w:rPr>
          <w:b/>
          <w:bCs/>
        </w:rPr>
        <w:t>analizy kontekstu językowego</w:t>
      </w:r>
      <w:r>
        <w:rPr/>
        <w:t xml:space="preserve">, </w:t>
      </w:r>
      <w:r>
        <w:rPr>
          <w:b/>
          <w:bCs/>
        </w:rPr>
        <w:t>poznawczego modelowania emocji opartego na łańcuchach Markowa</w:t>
      </w:r>
      <w:r>
        <w:rPr/>
        <w:t xml:space="preserve"> oraz „dynamicznego algorytmu” do interpretacji afektu z kontekstu w otwartym dialogu tekstowym. Ewaluacja na transkryptach scenariusza szkolnego bullyingu dała około </w:t>
      </w:r>
      <w:r>
        <w:rPr>
          <w:b/>
          <w:bCs/>
        </w:rPr>
        <w:t>69% średniej dokładności</w:t>
      </w:r>
      <w:r>
        <w:rPr/>
        <w:t xml:space="preserve"> dla kontekstowego interpretowania emocji postaci </w:t>
      </w:r>
      <w:hyperlink r:id="rId9">
        <w:r>
          <w:rPr>
            <w:rStyle w:val="Hyperlink"/>
          </w:rPr>
          <w:t>[11]</w:t>
        </w:r>
      </w:hyperlink>
      <w:r>
        <w:rPr>
          <w:rStyle w:val="Hyperlink"/>
        </w:rPr>
        <w:t>.</w:t>
      </w:r>
    </w:p>
    <w:p>
      <w:pPr>
        <w:pStyle w:val="BodyText"/>
        <w:rPr/>
      </w:pPr>
      <w:r>
        <w:rPr/>
        <w:t xml:space="preserve">W dojrzałej wersji tego nurtu, opisanej w </w:t>
      </w:r>
      <w:r>
        <w:rPr>
          <w:i/>
          <w:iCs/>
        </w:rPr>
        <w:t>Entertainment Computing</w:t>
      </w:r>
      <w:r>
        <w:rPr/>
        <w:t xml:space="preserve">, moduł kontekstu obejmował </w:t>
      </w:r>
      <w:r>
        <w:rPr>
          <w:b/>
          <w:bCs/>
        </w:rPr>
        <w:t>improwizacyjny nastrój danej postaci</w:t>
      </w:r>
      <w:r>
        <w:rPr/>
        <w:t xml:space="preserve">, </w:t>
      </w:r>
      <w:r>
        <w:rPr>
          <w:b/>
          <w:bCs/>
        </w:rPr>
        <w:t>ostatnie profile emocjonalne innych postaci</w:t>
      </w:r>
      <w:r>
        <w:rPr/>
        <w:t xml:space="preserve">, </w:t>
      </w:r>
      <w:r>
        <w:rPr>
          <w:b/>
          <w:bCs/>
        </w:rPr>
        <w:t>wątek tematyczny rozmowy</w:t>
      </w:r>
      <w:r>
        <w:rPr/>
        <w:t xml:space="preserve"> oraz detekcję emocji z wyrażeń metaforycznych. Co ważne, agent nie reagował w sposób bezwzględny: autorzy wskazują, że </w:t>
      </w:r>
      <w:r>
        <w:rPr>
          <w:b/>
          <w:bCs/>
        </w:rPr>
        <w:t>AI agent może dostosować prawdopodobieństwo odpowiedzi do tego, jak pewny jest swojej interpretacji</w:t>
      </w:r>
      <w:r>
        <w:rPr/>
        <w:t xml:space="preserve">, co można uznać za wczesny, jeszcze nieusystematyzowany odpowiednik epistemicznej pokory. W tej samej pracy odnotowano m. in. </w:t>
      </w:r>
      <w:r>
        <w:rPr>
          <w:b/>
          <w:bCs/>
        </w:rPr>
        <w:t>68%</w:t>
      </w:r>
      <w:r>
        <w:rPr/>
        <w:t xml:space="preserve"> trafności interpretacji opartej na kontekście w scenariuszu Crohna oraz bardzo niską zgodność między ludzkimi anotatorami (</w:t>
      </w:r>
      <w:r>
        <w:rPr>
          <w:b/>
          <w:bCs/>
        </w:rPr>
        <w:t>κ = 0,35</w:t>
      </w:r>
      <w:r>
        <w:rPr/>
        <w:t xml:space="preserve">), co pokazuje, że sam problem jest subiektywny i niejednoznaczny </w:t>
      </w:r>
      <w:hyperlink r:id="rId10">
        <w:r>
          <w:rPr>
            <w:rStyle w:val="Hyperlink"/>
          </w:rPr>
          <w:t>[17]</w:t>
        </w:r>
      </w:hyperlink>
      <w:r>
        <w:rPr>
          <w:rStyle w:val="Hyperlink"/>
        </w:rPr>
        <w:t>.</w:t>
      </w:r>
    </w:p>
    <w:p>
      <w:pPr>
        <w:pStyle w:val="BodyText"/>
        <w:rPr/>
      </w:pPr>
      <w:r>
        <w:rPr/>
        <w:t xml:space="preserve">Równoległy, lecz trochę inny trop rozwinęli </w:t>
      </w:r>
      <w:r>
        <w:rPr>
          <w:b/>
          <w:bCs/>
        </w:rPr>
        <w:t>Ptaszynski, Dybala, Shi, Rzepka i Araki</w:t>
      </w:r>
      <w:r>
        <w:rPr/>
        <w:t xml:space="preserve">. W ich ujęciu samo rozpoznanie emocji nie wystarcza, bo system powinien odróżnić ekspresję </w:t>
      </w:r>
      <w:r>
        <w:rPr>
          <w:b/>
          <w:bCs/>
        </w:rPr>
        <w:t>adekwatną</w:t>
      </w:r>
      <w:r>
        <w:rPr/>
        <w:t xml:space="preserve"> od </w:t>
      </w:r>
      <w:r>
        <w:rPr>
          <w:b/>
          <w:bCs/>
        </w:rPr>
        <w:t>nieadekwatnej</w:t>
      </w:r>
      <w:r>
        <w:rPr/>
        <w:t xml:space="preserve"> kontekstowo. Ich architektura łączy </w:t>
      </w:r>
      <w:r>
        <w:rPr>
          <w:b/>
          <w:bCs/>
        </w:rPr>
        <w:t>tekstowy system analizy afektu</w:t>
      </w:r>
      <w:r>
        <w:rPr/>
        <w:t xml:space="preserve"> z </w:t>
      </w:r>
      <w:r>
        <w:rPr>
          <w:b/>
          <w:bCs/>
        </w:rPr>
        <w:t>web miningiem / commonsense reasoning</w:t>
      </w:r>
      <w:r>
        <w:rPr/>
        <w:t xml:space="preserve">, który szuka, jakie emocje są naturalnie skojarzone z danym kontekstem wypowiedzi. Na tej podstawie agent może zdecydować, czy powinien użytkownikowi współczuć, czy raczej pomóc mu regulować emocje. W tej pracy raportowano m.in. </w:t>
      </w:r>
      <w:r>
        <w:rPr>
          <w:b/>
          <w:bCs/>
        </w:rPr>
        <w:t>72%</w:t>
      </w:r>
      <w:r>
        <w:rPr/>
        <w:t xml:space="preserve"> trafności web miningowego wydobywania skojarzeń emocjonalnych oraz – w zależności od rygoru oceny - około </w:t>
      </w:r>
      <w:r>
        <w:rPr>
          <w:b/>
          <w:bCs/>
        </w:rPr>
        <w:t>45–50%</w:t>
      </w:r>
      <w:r>
        <w:rPr/>
        <w:t xml:space="preserve"> trafności dla oceny kontekstowej adekwatności emocji, a w warunkach łagodniejszych </w:t>
      </w:r>
      <w:r>
        <w:rPr>
          <w:b/>
          <w:bCs/>
        </w:rPr>
        <w:t>80–85%</w:t>
      </w:r>
      <w:r>
        <w:rPr/>
        <w:t xml:space="preserve"> </w:t>
      </w:r>
      <w:hyperlink r:id="rId11">
        <w:r>
          <w:rPr>
            <w:rStyle w:val="Hyperlink"/>
          </w:rPr>
          <w:t>[10]</w:t>
        </w:r>
      </w:hyperlink>
      <w:r>
        <w:rPr>
          <w:rStyle w:val="Hyperlink"/>
        </w:rPr>
        <w:t>.</w:t>
      </w:r>
    </w:p>
    <w:p>
      <w:pPr>
        <w:pStyle w:val="BodyText"/>
        <w:rPr/>
      </w:pPr>
      <w:r>
        <w:rPr/>
        <w:t xml:space="preserve">To ważny moment metodologiczny. Zarówno nurt Zhang, jak i nurt Ptaszyńskiego, przesuwają system afektywny z poziomu „mapowania sygnału na etykietę” ku poziomowi </w:t>
      </w:r>
      <w:r>
        <w:rPr>
          <w:b/>
          <w:bCs/>
        </w:rPr>
        <w:t>interpretacji sytuacji, relacji i historii interakcji</w:t>
      </w:r>
      <w:r>
        <w:rPr/>
        <w:t xml:space="preserve">. Nie są to jeszcze pełne modele przyczynowe w dzisiejszym sensie, ale są to podejścia </w:t>
      </w:r>
      <w:r>
        <w:rPr>
          <w:b/>
          <w:bCs/>
        </w:rPr>
        <w:t>jawnie kontekstowe, sekwencyjne i semantyczne</w:t>
      </w:r>
      <w:r>
        <w:rPr/>
        <w:t xml:space="preserve">, a więc bliższe rozumowaniu niż korelacji </w:t>
      </w:r>
      <w:hyperlink r:id="rId12">
        <w:r>
          <w:rPr>
            <w:rStyle w:val="Hyperlink"/>
          </w:rPr>
          <w:t>[18]</w:t>
        </w:r>
      </w:hyperlink>
      <w:r>
        <w:rPr>
          <w:rStyle w:val="Hyperlink"/>
        </w:rPr>
        <w:t>.</w:t>
      </w:r>
    </w:p>
    <w:p>
      <w:pPr>
        <w:pStyle w:val="Heading3"/>
        <w:rPr/>
      </w:pPr>
      <w:r>
        <w:rPr/>
        <w:t>Porównanie nurtów poprzedzających CASIE</w:t>
      </w:r>
    </w:p>
    <w:tbl>
      <w:tblPr>
        <w:tblStyle w:val="Table"/>
        <w:tblW w:w="10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22"/>
        <w:gridCol w:w="1753"/>
        <w:gridCol w:w="1705"/>
        <w:gridCol w:w="1136"/>
        <w:gridCol w:w="1584"/>
        <w:gridCol w:w="1415"/>
        <w:gridCol w:w="1585"/>
      </w:tblGrid>
      <w:tr>
        <w:trPr>
          <w:tblHeader w:val="true"/>
        </w:trPr>
        <w:tc>
          <w:tcPr>
            <w:tcW w:w="10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Nurt</w:t>
            </w:r>
          </w:p>
        </w:tc>
        <w:tc>
          <w:tcPr>
            <w:tcW w:w="17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Kontekst</w:t>
            </w:r>
          </w:p>
        </w:tc>
        <w:tc>
          <w:tcPr>
            <w:tcW w:w="17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Rozumowanie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Czasowość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Akcja</w:t>
            </w:r>
          </w:p>
        </w:tc>
        <w:tc>
          <w:tcPr>
            <w:tcW w:w="1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Niepewność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Miary ewaluacji</w:t>
            </w:r>
          </w:p>
        </w:tc>
      </w:tr>
      <w:tr>
        <w:trPr/>
        <w:tc>
          <w:tcPr>
            <w:tcW w:w="1022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Zhang / e-drama / EMMA</w:t>
            </w:r>
          </w:p>
        </w:tc>
        <w:tc>
          <w:tcPr>
            <w:tcW w:w="175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temat dialogu, relacje między postaciami, profile emocjonalne, nastrój improwizacyjny, metafory</w:t>
            </w:r>
          </w:p>
        </w:tc>
        <w:tc>
          <w:tcPr>
            <w:tcW w:w="170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regułowo-semantyczne + modelowanie oparte o Markov chains / dynamic algorithm</w:t>
            </w:r>
          </w:p>
        </w:tc>
        <w:tc>
          <w:tcPr>
            <w:tcW w:w="1136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tak, przez profile i historię dialogu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agent wybiera odpowiedzi wspierające przebieg improwizacji</w:t>
            </w:r>
          </w:p>
        </w:tc>
        <w:tc>
          <w:tcPr>
            <w:tcW w:w="141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szczątkowo ujęta przez confidence-driven response likelihood</w:t>
            </w:r>
          </w:p>
        </w:tc>
        <w:tc>
          <w:tcPr>
            <w:tcW w:w="158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Cohen’s κ, accuracy ok. 68–69% dla modułu kontekstowego</w:t>
            </w:r>
          </w:p>
        </w:tc>
      </w:tr>
      <w:tr>
        <w:trPr/>
        <w:tc>
          <w:tcPr>
            <w:tcW w:w="1022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Ptaszynski et al.</w:t>
            </w:r>
          </w:p>
        </w:tc>
        <w:tc>
          <w:tcPr>
            <w:tcW w:w="175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kontekst wypowiedzi + commonsense z Web mining</w:t>
            </w:r>
          </w:p>
        </w:tc>
        <w:tc>
          <w:tcPr>
            <w:tcW w:w="170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analiza afektu + ocena adekwatności emocji wobec kontekstu</w:t>
            </w:r>
          </w:p>
        </w:tc>
        <w:tc>
          <w:tcPr>
            <w:tcW w:w="1136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umiarkowana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agent wybiera strategię: sympatyzowanie vs pomoc w regulacji emocji</w:t>
            </w:r>
          </w:p>
        </w:tc>
        <w:tc>
          <w:tcPr>
            <w:tcW w:w="141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brak formalnej kalibracji, ale jawna świadomość błędów kontekstu</w:t>
            </w:r>
          </w:p>
        </w:tc>
        <w:tc>
          <w:tcPr>
            <w:tcW w:w="158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balanced F-score, accuracy kontekstowej adekwatności, badania z agentami</w:t>
            </w:r>
          </w:p>
        </w:tc>
      </w:tr>
      <w:tr>
        <w:trPr/>
        <w:tc>
          <w:tcPr>
            <w:tcW w:w="1022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CASIE 2021</w:t>
            </w:r>
          </w:p>
        </w:tc>
        <w:tc>
          <w:tcPr>
            <w:tcW w:w="175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audio, wideo, przestrzeń społeczna, mapa semantyczna, knowledge graph, dane z chmury, wearables, smart home</w:t>
            </w:r>
          </w:p>
        </w:tc>
        <w:tc>
          <w:tcPr>
            <w:tcW w:w="170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hybrydowe logiczno-probabilistyczne, high-level control, emotion-based decision-making, probabilistic planner</w:t>
            </w:r>
          </w:p>
        </w:tc>
        <w:tc>
          <w:tcPr>
            <w:tcW w:w="1136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tak, osobne warstwy dla decyzji „tu i teraz” i długiego horyzontu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bardzo silne - pełny komponent planowania i wykonania ruchu/dialogu</w:t>
            </w:r>
          </w:p>
        </w:tc>
        <w:tc>
          <w:tcPr>
            <w:tcW w:w="141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niepewność i niekompletność są uznane jako centralny problem, lecz bez pełnej procedury kalibracji</w:t>
            </w:r>
          </w:p>
        </w:tc>
        <w:tc>
          <w:tcPr>
            <w:tcW w:w="1585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dwaita Sans" w:hAnsi="Adwaita Sans" w:eastAsia="Aptos" w:cs=""/>
                <w:w w:val="90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Adwaita Sans" w:hAnsi="Adwaita Sans"/>
                <w:w w:val="90"/>
                <w:kern w:val="0"/>
                <w:sz w:val="18"/>
                <w:szCs w:val="18"/>
                <w:lang w:val="pl-PL" w:eastAsia="en-US" w:bidi="ar-SA"/>
              </w:rPr>
              <w:t>artykuł koncepcyjny; brak raportu pełnej ewaluacji end-to-end architektury</w:t>
            </w:r>
            <w:bookmarkStart w:id="3" w:name="porównanie-nurtów-poprzedzających-casie"/>
            <w:bookmarkEnd w:id="3"/>
          </w:p>
        </w:tc>
      </w:tr>
    </w:tbl>
    <w:p>
      <w:pPr>
        <w:pStyle w:val="Heading2"/>
        <w:rPr/>
      </w:pPr>
      <w:r>
        <w:rPr/>
        <w:t>Architektura CASIE w robotyce zdrowotnej</w:t>
      </w:r>
    </w:p>
    <w:p>
      <w:pPr>
        <w:pStyle w:val="FirstParagraph"/>
        <w:rPr/>
      </w:pPr>
      <w:r>
        <w:rPr/>
        <w:t xml:space="preserve">Artykuł CASIE z 2021 roku definiuje architekturę, która </w:t>
      </w:r>
      <w:r>
        <w:rPr>
          <w:b/>
          <w:bCs/>
        </w:rPr>
        <w:t>adaptuje</w:t>
      </w:r>
      <w:r>
        <w:rPr/>
        <w:t xml:space="preserve"> klasyczną pętlę robotyczną </w:t>
      </w:r>
      <w:r>
        <w:rPr>
          <w:i/>
          <w:iCs/>
        </w:rPr>
        <w:t>sense–think–act</w:t>
      </w:r>
      <w:r>
        <w:rPr/>
        <w:t xml:space="preserve"> do interakcji społecznych wzbogaconych o przetwarzanie emocji. Autorzy podkreślają, że dane wejściowe mają służyć nie tylko bieżącej decyzji, lecz także budowaniu </w:t>
      </w:r>
      <w:r>
        <w:rPr>
          <w:b/>
          <w:bCs/>
        </w:rPr>
        <w:t>pamięci długotrwałej</w:t>
      </w:r>
      <w:r>
        <w:rPr/>
        <w:t xml:space="preserve"> robota - tak, aby potrafił pamiętać twarze, tematy rozmów, obiekty w otoczeniu i kontekst sytuacyjny. </w:t>
      </w:r>
      <w:hyperlink r:id="rId13">
        <w:r>
          <w:rPr>
            <w:rStyle w:val="Hyperlink"/>
          </w:rPr>
          <w:t>[26]</w:t>
        </w:r>
      </w:hyperlink>
    </w:p>
    <w:p>
      <w:pPr>
        <w:pStyle w:val="FirstParagraph"/>
        <w:spacing w:before="227" w:after="181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-50800</wp:posOffset>
            </wp:positionH>
            <wp:positionV relativeFrom="paragraph">
              <wp:posOffset>-19050</wp:posOffset>
            </wp:positionV>
            <wp:extent cx="6480175" cy="457200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W warstwie </w:t>
      </w:r>
      <w:r>
        <w:rPr>
          <w:b/>
          <w:bCs/>
        </w:rPr>
        <w:t>percepcji językowo-głosowej</w:t>
      </w:r>
      <w:r>
        <w:rPr/>
        <w:t xml:space="preserve"> CASIE przewiduje identyfikację języka źródłowego, rozpoznanie emocji zgodnej z intencją dialogu, analizę prosodii oraz pipeline NLP typu hybrydowego - od tokenizacji i parsowania po NER i klasyfikację emocji. Autorzy proponują wykorzystanie zasobów takich jak </w:t>
      </w:r>
      <w:r>
        <w:rPr>
          <w:b/>
          <w:bCs/>
        </w:rPr>
        <w:t>NRC EmoLex</w:t>
      </w:r>
      <w:r>
        <w:rPr/>
        <w:t xml:space="preserve"> i wcześniejszej platformy </w:t>
      </w:r>
      <w:r>
        <w:rPr>
          <w:b/>
          <w:bCs/>
        </w:rPr>
        <w:t>SSIX</w:t>
      </w:r>
      <w:r>
        <w:rPr/>
        <w:t xml:space="preserve">, a w części fuzji zakładają zarówno proste agregacje klasyfikatorów, jak majority voting, jak i bardziej zaawansowaną </w:t>
      </w:r>
      <w:r>
        <w:rPr>
          <w:b/>
          <w:bCs/>
        </w:rPr>
        <w:t>feature-level fusion</w:t>
      </w:r>
      <w:r>
        <w:rPr/>
        <w:t xml:space="preserve"> z użyciem sieci głębokich. </w:t>
      </w:r>
      <w:hyperlink r:id="rId15">
        <w:r>
          <w:rPr>
            <w:rStyle w:val="Hyperlink"/>
          </w:rPr>
          <w:t>[27]</w:t>
        </w:r>
      </w:hyperlink>
    </w:p>
    <w:p>
      <w:pPr>
        <w:pStyle w:val="BodyText"/>
        <w:rPr/>
      </w:pPr>
      <w:r>
        <w:rPr/>
        <w:t xml:space="preserve">W warstwie </w:t>
      </w:r>
      <w:r>
        <w:rPr>
          <w:b/>
          <w:bCs/>
        </w:rPr>
        <w:t>percepcji wizualno-przestrzennej</w:t>
      </w:r>
      <w:r>
        <w:rPr/>
        <w:t xml:space="preserve"> CASIE obejmuje równoległe pipeline’y rozpoznawania twarzy, pozy i mowy ciała, rozpoznawania obiektów, lokalizacji i mapowania. Szczególnie charakterystyczny element to </w:t>
      </w:r>
      <w:r>
        <w:rPr>
          <w:b/>
          <w:bCs/>
        </w:rPr>
        <w:t>social map</w:t>
      </w:r>
      <w:r>
        <w:rPr/>
        <w:t xml:space="preserve">: rozszerzenie mapy semantycznej i geometrycznej o lokalizację ludzi, ich pozę i dynamikę ruchu, z uwzględnieniem proxemiki, podejścia, prowadzenia i podążania. Tu już widać, że CASIE interesuje nie tylko „czy użytkownik jest smutny”, ale też </w:t>
      </w:r>
      <w:r>
        <w:rPr>
          <w:b/>
          <w:bCs/>
        </w:rPr>
        <w:t>jak ten stan emocjonalny i sytuacyjny wpływa na zachowania w przestrzeni społecznej</w:t>
      </w:r>
      <w:r>
        <w:rPr/>
        <w:t xml:space="preserve">. </w:t>
      </w:r>
      <w:hyperlink r:id="rId16">
        <w:r>
          <w:rPr>
            <w:rStyle w:val="Hyperlink"/>
          </w:rPr>
          <w:t>[28]</w:t>
        </w:r>
      </w:hyperlink>
    </w:p>
    <w:p>
      <w:pPr>
        <w:pStyle w:val="BodyText"/>
        <w:rPr/>
      </w:pPr>
      <w:r>
        <w:rPr/>
        <w:t xml:space="preserve">Najciekawsza z punktu widzenia „rozumowania, a nie korelacji” jest jednak warstwa </w:t>
      </w:r>
      <w:r>
        <w:rPr>
          <w:b/>
          <w:bCs/>
        </w:rPr>
        <w:t>High-Level Control Centre</w:t>
      </w:r>
      <w:r>
        <w:rPr/>
        <w:t>. Składa się ona z trzech części: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pierwszej, </w:t>
      </w:r>
      <w:r>
        <w:rPr>
          <w:b/>
          <w:bCs/>
        </w:rPr>
        <w:t>niedeterministycznego FSM</w:t>
      </w:r>
      <w:r>
        <w:rPr/>
        <w:t xml:space="preserve"> dla decyzji lokalnych i natychmiastowych;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drugiej, </w:t>
      </w:r>
      <w:r>
        <w:rPr>
          <w:b/>
          <w:bCs/>
        </w:rPr>
        <w:t>Emotion-Based Decision-Making</w:t>
      </w:r>
      <w:r>
        <w:rPr/>
        <w:t>, które rozstrzyga między potencjalnie sprzecznymi działaniami na podstawie stanów emocjonalnych wywnioskowanych z mowy, zdarzeń i obrazu;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trzeciej, </w:t>
      </w:r>
      <w:r>
        <w:rPr>
          <w:b/>
          <w:bCs/>
        </w:rPr>
        <w:t>Robotic Planner</w:t>
      </w:r>
      <w:r>
        <w:rPr/>
        <w:t xml:space="preserve">, czyli probabilistycznego planera budującego sekwencje działań o najwyższym prawdopodobieństwie osiągnięcia celu. Planner ma wprost radzić sobie z informacją </w:t>
      </w:r>
      <w:r>
        <w:rPr>
          <w:b/>
          <w:bCs/>
        </w:rPr>
        <w:t>niekompletną, częściowo obserwowalną, stochastyczną i z niepewnymi postconditionami</w:t>
      </w:r>
      <w:r>
        <w:rPr/>
        <w:t xml:space="preserve">. </w:t>
      </w:r>
      <w:hyperlink r:id="rId17">
        <w:r>
          <w:rPr>
            <w:rStyle w:val="Hyperlink"/>
          </w:rPr>
          <w:t>[22]</w:t>
        </w:r>
      </w:hyperlink>
    </w:p>
    <w:p>
      <w:pPr>
        <w:pStyle w:val="BodyText"/>
        <w:rPr/>
      </w:pPr>
      <w:r>
        <w:rPr/>
        <w:t xml:space="preserve">Wiedza długotrwała robota jest ujęta jako </w:t>
      </w:r>
      <w:r>
        <w:rPr>
          <w:b/>
          <w:bCs/>
        </w:rPr>
        <w:t>knowledge base / knowledge graph</w:t>
      </w:r>
      <w:r>
        <w:rPr/>
        <w:t xml:space="preserve"> z procesorem zapytań, optymalizatorem zapytań i cache’em. Baza wiedzy ma pełnić jednocześnie rolę pamięci długotrwałej, warstwy abstrakcji nad zewnętrznymi usługami i głównego zaplecza dla planowania oraz podejmowania decyzji. To ważne, bo oznacza, że CASIE nie traktuje emocji jako odrębnego „widgetu”, lecz jako część szerszego stanu świata. </w:t>
      </w:r>
      <w:hyperlink r:id="rId18">
        <w:r>
          <w:rPr>
            <w:rStyle w:val="Hyperlink"/>
          </w:rPr>
          <w:t>[24]</w:t>
        </w:r>
      </w:hyperlink>
    </w:p>
    <w:p>
      <w:pPr>
        <w:pStyle w:val="BodyText"/>
        <w:rPr/>
      </w:pPr>
      <w:r>
        <w:rPr/>
        <w:t xml:space="preserve">Artykuł CASIE mocno akcentuje też warstwę </w:t>
      </w:r>
      <w:r>
        <w:rPr>
          <w:b/>
          <w:bCs/>
        </w:rPr>
        <w:t>etyczno-społeczną</w:t>
      </w:r>
      <w:r>
        <w:rPr/>
        <w:t xml:space="preserve">. Autorzy wymagają minimalizowania biasu na poziomie danych treningowych, modeli językowych i modeli rozpoznawania twarzy; podkreślają potrzebę transparentności i rozliczalności wobec potrzeb pacjenta, języka, płci, wieku i kontekstu opieki; oraz osadzają architekturę w unijnych i profesjonalnych ramach zaufanej AI. W przeciwieństwie do wielu prac z affect recognition, tutaj etyka nie jest dopiskiem, lecz osobnym komponentem architektury. </w:t>
      </w:r>
      <w:hyperlink r:id="rId19">
        <w:r>
          <w:rPr>
            <w:rStyle w:val="Hyperlink"/>
          </w:rPr>
          <w:t>[29]</w:t>
        </w:r>
      </w:hyperlink>
    </w:p>
    <w:p>
      <w:pPr>
        <w:pStyle w:val="BodyText"/>
        <w:rPr/>
      </w:pPr>
      <w:r>
        <w:rPr/>
        <w:t xml:space="preserve">Jednocześnie tekst wyraźnie ujawnia, że CASIE jest </w:t>
      </w:r>
      <w:r>
        <w:rPr>
          <w:b/>
          <w:bCs/>
        </w:rPr>
        <w:t>programem badawczym</w:t>
      </w:r>
      <w:r>
        <w:rPr/>
        <w:t xml:space="preserve">: autorzy omawiają dziewięć obszarów wyzwań, podają przewidywane komponenty i technologie, ale nie raportują pełnej walidacji całej zintegrowanej platformy na wdrożonym robocie. To istotne: CASIE jest architekturą ambitną i dojrzałą koncepcyjnie, ale nie jest jeszcze w tym artykule potwierdzonym, kompletnym benchmarkiem systemowym. </w:t>
      </w:r>
      <w:hyperlink r:id="rId20">
        <w:r>
          <w:rPr>
            <w:rStyle w:val="Hyperlink"/>
          </w:rPr>
          <w:t>[30]</w:t>
        </w:r>
      </w:hyperlink>
    </w:p>
    <w:p>
      <w:pPr>
        <w:pStyle w:val="Heading2"/>
        <w:rPr/>
      </w:pPr>
      <w:r>
        <w:rPr/>
        <w:t>CASIE wobec współczesnych modeli przyczynowych i niepewności</w:t>
      </w:r>
    </w:p>
    <w:p>
      <w:pPr>
        <w:pStyle w:val="FirstParagraph"/>
        <w:rPr/>
      </w:pPr>
      <w:r>
        <w:rPr/>
        <w:t xml:space="preserve">Najważniejsza granica między CASIE a dzisiejszymi </w:t>
      </w:r>
      <w:r>
        <w:rPr>
          <w:b/>
          <w:bCs/>
        </w:rPr>
        <w:t>jawnie przyczynowymi</w:t>
      </w:r>
      <w:r>
        <w:rPr/>
        <w:t xml:space="preserve"> modelami emocji polega na tym, że CASIE mówi o </w:t>
      </w:r>
      <w:r>
        <w:rPr>
          <w:b/>
          <w:bCs/>
        </w:rPr>
        <w:t>niekompletności, niepewności, częściowej obserwowalności i hybrydzie rozumowania logicznego z probabilistycznym</w:t>
      </w:r>
      <w:r>
        <w:rPr/>
        <w:t xml:space="preserve">, ale nie formułuje jeszcze wprost </w:t>
      </w:r>
      <w:r>
        <w:rPr>
          <w:b/>
          <w:bCs/>
        </w:rPr>
        <w:t>strukturalnego modelu przyczynowego</w:t>
      </w:r>
      <w:r>
        <w:rPr/>
        <w:t xml:space="preserve"> ani kontrfaktycznej procedury testowania „co by model przewidział, gdyby tło było inne”. CASIE stawia to jako wyzwanie architektoniczne; nowsze prace zaczynają już dawać formalny aparat matematyczny. </w:t>
      </w:r>
      <w:hyperlink r:id="rId21">
        <w:r>
          <w:rPr>
            <w:rStyle w:val="Hyperlink"/>
          </w:rPr>
          <w:t>[22]</w:t>
        </w:r>
      </w:hyperlink>
    </w:p>
    <w:p>
      <w:pPr>
        <w:pStyle w:val="BodyText"/>
        <w:rPr/>
      </w:pPr>
      <w:r>
        <w:rPr/>
        <w:t xml:space="preserve">Dobrym kontrastem jest </w:t>
      </w:r>
      <w:r>
        <w:rPr>
          <w:b/>
          <w:bCs/>
        </w:rPr>
        <w:t>CLEF</w:t>
      </w:r>
      <w:r>
        <w:rPr/>
        <w:t xml:space="preserve"> z CVPR 2024. Autorzy tej pracy pokazują, że w context-aware emotion recognition sam kontekst może być równie pomocny, co niebezpieczny, bo model uczy się </w:t>
      </w:r>
      <w:r>
        <w:rPr>
          <w:b/>
          <w:bCs/>
        </w:rPr>
        <w:t>spurious shortcuts</w:t>
      </w:r>
      <w:r>
        <w:rPr/>
        <w:t xml:space="preserve"> między tłem a etykietą emocji. Proponują więc </w:t>
      </w:r>
      <w:r>
        <w:rPr>
          <w:b/>
          <w:bCs/>
        </w:rPr>
        <w:t>uogólniony graf przyczynowy</w:t>
      </w:r>
      <w:r>
        <w:rPr/>
        <w:t xml:space="preserve">, osobną gałąź modelującą bezpośredni niepożądany efekt kontekstu oraz procedurę porównywania wyników </w:t>
      </w:r>
      <w:r>
        <w:rPr>
          <w:b/>
          <w:bCs/>
        </w:rPr>
        <w:t>faktycznych i kontrfaktycznych</w:t>
      </w:r>
      <w:r>
        <w:rPr/>
        <w:t xml:space="preserve">, aby usunąć szkodliwy bezpośredni wpływ kontekstu z całkowitego efektu przyczynowego. To jest dokładnie ten poziom modelowania, którego CASIE jeszcze nie posiada, a który byłby naturalnym następcą jego ambicji. </w:t>
      </w:r>
      <w:hyperlink r:id="rId22">
        <w:r>
          <w:rPr>
            <w:rStyle w:val="Hyperlink"/>
          </w:rPr>
          <w:t>[16]</w:t>
        </w:r>
      </w:hyperlink>
    </w:p>
    <w:p>
      <w:pPr>
        <w:pStyle w:val="BodyText"/>
        <w:rPr/>
      </w:pPr>
      <w:r>
        <w:rPr/>
        <w:t xml:space="preserve">Podobnie rozwija się obszar </w:t>
      </w:r>
      <w:r>
        <w:rPr>
          <w:b/>
          <w:bCs/>
        </w:rPr>
        <w:t>niepewności</w:t>
      </w:r>
      <w:r>
        <w:rPr/>
        <w:t xml:space="preserve">. W rozmowach i interakcjach emocje są subiektywne, wieloznaczne i zmienne w czasie, czego symptomem były już stare wyniki Zhang: zgoda między ludzkimi anotatorami bywała niska, a sam agent miał porównywalne trudności interpretacyjne. Nowsze prace, takie jak </w:t>
      </w:r>
      <w:r>
        <w:rPr>
          <w:b/>
          <w:bCs/>
        </w:rPr>
        <w:t>HU-Dialogue</w:t>
      </w:r>
      <w:r>
        <w:rPr/>
        <w:t xml:space="preserve">, wprowadzają hierarchiczne modelowanie niepewności na poziomie kontekstu i modalności, adaptując metody bayesowskie do ERC. Z kolei prace nad </w:t>
      </w:r>
      <w:r>
        <w:rPr>
          <w:b/>
          <w:bCs/>
        </w:rPr>
        <w:t>conformal prediction</w:t>
      </w:r>
      <w:r>
        <w:rPr/>
        <w:t xml:space="preserve"> dla ERC pokazują, że można przejść od pojedynczej etykiety do </w:t>
      </w:r>
      <w:r>
        <w:rPr>
          <w:b/>
          <w:bCs/>
        </w:rPr>
        <w:t>zbioru predykcji z gwarancją pokrycia</w:t>
      </w:r>
      <w:r>
        <w:rPr/>
        <w:t xml:space="preserve"> i redukować bias pokrycia między klasami emocji. </w:t>
      </w:r>
      <w:hyperlink r:id="rId23">
        <w:r>
          <w:rPr>
            <w:rStyle w:val="Hyperlink"/>
          </w:rPr>
          <w:t>[31]</w:t>
        </w:r>
      </w:hyperlink>
    </w:p>
    <w:p>
      <w:pPr>
        <w:pStyle w:val="BodyText"/>
        <w:rPr/>
      </w:pPr>
      <w:r>
        <w:rPr/>
        <w:t xml:space="preserve">To ważne, bo w ochronie zdrowia robot nie powinien być zmuszany do nadmiernej pewności. Jeśli rozpoznaje „lęk” tylko dlatego, że użytkownik siedzi w szpitalnej poczekalni, mamy klasyczny problem kontekstu jako pozornej przyczyny. Jeśli zaś jego posterior jest rozlany między „zmęczenie”, „smutek” i „ból”, poprawna odpowiedź systemu nie brzmi „smutek 0,81”, lecz raczej: </w:t>
      </w:r>
      <w:r>
        <w:rPr>
          <w:b/>
          <w:bCs/>
        </w:rPr>
        <w:t>„nie jestem dość pewny; czy chcesz powiedzieć, co czujesz?”</w:t>
      </w:r>
      <w:r>
        <w:rPr/>
        <w:t xml:space="preserve"> albo </w:t>
      </w:r>
      <w:r>
        <w:rPr>
          <w:b/>
          <w:bCs/>
        </w:rPr>
        <w:t>„eskaluj do opiekuna”</w:t>
      </w:r>
      <w:r>
        <w:rPr/>
        <w:t xml:space="preserve">. Tę logikę wspierają zarówno współczesne prace o niepewności w ERC, jak i unijne wymogi dotyczące nadzoru człowieka, przejrzystości i bezpieczeństwa technicznego. </w:t>
      </w:r>
      <w:hyperlink r:id="rId24">
        <w:r>
          <w:rPr>
            <w:rStyle w:val="Hyperlink"/>
          </w:rPr>
          <w:t>[32]</w:t>
        </w:r>
      </w:hyperlink>
    </w:p>
    <w:p>
      <w:pPr>
        <w:pStyle w:val="BodyText"/>
        <w:rPr/>
      </w:pPr>
      <w:r>
        <w:rPr/>
        <w:t xml:space="preserve">Warto tu dodać ostrożność płynącą z badań HRI. Przegląd „Four Critical Lessons” podkreśla, że w interakcjach sytuowanych </w:t>
      </w:r>
      <w:r>
        <w:rPr>
          <w:b/>
          <w:bCs/>
        </w:rPr>
        <w:t>sześć podstawowych kategorii emocji nie zawsze jest odpowiednie</w:t>
      </w:r>
      <w:r>
        <w:rPr/>
        <w:t xml:space="preserve">, sama poprawa accuracy nie jest dobrym celem, a modele afektu </w:t>
      </w:r>
      <w:r>
        <w:rPr>
          <w:b/>
          <w:bCs/>
        </w:rPr>
        <w:t>słabo generalizują między kontekstami</w:t>
      </w:r>
      <w:r>
        <w:rPr/>
        <w:t xml:space="preserve">. To bardzo mocna krytyka dla każdej wdrożeniowej wersji CASIE, jeśli nie będzie ona uczona i oceniana w konkretnym środowisku opiekuńczym. </w:t>
      </w:r>
      <w:hyperlink r:id="rId25">
        <w:r>
          <w:rPr>
            <w:rStyle w:val="Hyperlink"/>
          </w:rPr>
          <w:t>[33]</w:t>
        </w:r>
      </w:hyperlink>
    </w:p>
    <w:p>
      <w:pPr>
        <w:pStyle w:val="Heading3"/>
        <w:rPr/>
      </w:pPr>
      <w:r>
        <w:rPr/>
        <w:t>Tabela porównawcza CASIE z nowocześniejszymi rozszerzeniami</w:t>
      </w:r>
    </w:p>
    <w:tbl>
      <w:tblPr>
        <w:tblStyle w:val="Table"/>
        <w:tblW w:w="10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78"/>
        <w:gridCol w:w="1840"/>
        <w:gridCol w:w="1619"/>
        <w:gridCol w:w="1529"/>
        <w:gridCol w:w="1227"/>
        <w:gridCol w:w="1323"/>
        <w:gridCol w:w="1593"/>
      </w:tblGrid>
      <w:tr>
        <w:trPr>
          <w:tblHeader w:val="true"/>
        </w:trPr>
        <w:tc>
          <w:tcPr>
            <w:tcW w:w="1078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Podejście</w:t>
            </w:r>
          </w:p>
        </w:tc>
        <w:tc>
          <w:tcPr>
            <w:tcW w:w="1840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Zdolność przyczynowa</w:t>
            </w:r>
          </w:p>
        </w:tc>
        <w:tc>
          <w:tcPr>
            <w:tcW w:w="1619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Niepewność</w:t>
            </w:r>
          </w:p>
        </w:tc>
        <w:tc>
          <w:tcPr>
            <w:tcW w:w="1529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Możliwość abstencji / dopytania</w:t>
            </w:r>
          </w:p>
        </w:tc>
        <w:tc>
          <w:tcPr>
            <w:tcW w:w="1227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Interpretowalność</w:t>
            </w:r>
          </w:p>
        </w:tc>
        <w:tc>
          <w:tcPr>
            <w:tcW w:w="1323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Wykonalność czasu rzeczywistego</w:t>
            </w:r>
          </w:p>
        </w:tc>
        <w:tc>
          <w:tcPr>
            <w:tcW w:w="1593" w:type="dxa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b w:val="false"/>
                <w:bCs w:val="false"/>
                <w:kern w:val="0"/>
                <w:sz w:val="18"/>
                <w:szCs w:val="18"/>
                <w:lang w:val="pl-PL" w:eastAsia="en-US" w:bidi="ar-SA"/>
              </w:rPr>
              <w:t>Główna słabość</w:t>
            </w:r>
          </w:p>
        </w:tc>
      </w:tr>
      <w:tr>
        <w:trPr/>
        <w:tc>
          <w:tcPr>
            <w:tcW w:w="1078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Zhang / EMMA</w:t>
            </w:r>
          </w:p>
        </w:tc>
        <w:tc>
          <w:tcPr>
            <w:tcW w:w="1840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niska do umiarkowanej; kontekst i sekwencja, ale bez jawnego grafu przyczynowego</w:t>
            </w:r>
          </w:p>
        </w:tc>
        <w:tc>
          <w:tcPr>
            <w:tcW w:w="161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heurystyczna pewność odpowiedzi</w:t>
            </w:r>
          </w:p>
        </w:tc>
        <w:tc>
          <w:tcPr>
            <w:tcW w:w="152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pośrednio możliwa, lecz nieformalna</w:t>
            </w:r>
          </w:p>
        </w:tc>
        <w:tc>
          <w:tcPr>
            <w:tcW w:w="1227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umiarkowana, bo oparte na profilach kontekstu i regułach</w:t>
            </w:r>
          </w:p>
        </w:tc>
        <w:tc>
          <w:tcPr>
            <w:tcW w:w="132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dobra dla dialogu tekstowego</w:t>
            </w:r>
          </w:p>
        </w:tc>
        <w:tc>
          <w:tcPr>
            <w:tcW w:w="159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mała skala i domenowość scenariuszy</w:t>
            </w:r>
          </w:p>
        </w:tc>
      </w:tr>
      <w:tr>
        <w:trPr/>
        <w:tc>
          <w:tcPr>
            <w:tcW w:w="1078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Ptaszynski et al.</w:t>
            </w:r>
          </w:p>
        </w:tc>
        <w:tc>
          <w:tcPr>
            <w:tcW w:w="1840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umiarkowana; ocena adekwatności emocji wobec kontekstu, ale bez formalnego SCM</w:t>
            </w:r>
          </w:p>
        </w:tc>
        <w:tc>
          <w:tcPr>
            <w:tcW w:w="161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brak nowoczesnej kalibracji</w:t>
            </w:r>
          </w:p>
        </w:tc>
        <w:tc>
          <w:tcPr>
            <w:tcW w:w="152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agent wybiera strategię reakcji, lecz bez abstain policy</w:t>
            </w:r>
          </w:p>
        </w:tc>
        <w:tc>
          <w:tcPr>
            <w:tcW w:w="1227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wysoka konceptualnie</w:t>
            </w:r>
          </w:p>
        </w:tc>
        <w:tc>
          <w:tcPr>
            <w:tcW w:w="132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</w:t>
            </w:r>
          </w:p>
        </w:tc>
        <w:tc>
          <w:tcPr>
            <w:tcW w:w="159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zależność od jakości commonsense/web mining</w:t>
            </w:r>
          </w:p>
        </w:tc>
      </w:tr>
      <w:tr>
        <w:trPr/>
        <w:tc>
          <w:tcPr>
            <w:tcW w:w="1078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CASIE 2021</w:t>
            </w:r>
          </w:p>
        </w:tc>
        <w:tc>
          <w:tcPr>
            <w:tcW w:w="1840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umiarkowana; hybryda logiczno-probabilistyczna i planner, lecz bez jawnych kontrfaktyków</w:t>
            </w:r>
          </w:p>
        </w:tc>
        <w:tc>
          <w:tcPr>
            <w:tcW w:w="161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rozpoznana jako centralna potrzeba, ale nieoperacjonalizowana kalibracyjnie</w:t>
            </w:r>
          </w:p>
        </w:tc>
        <w:tc>
          <w:tcPr>
            <w:tcW w:w="152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nieopisana explicite w architekturze</w:t>
            </w:r>
          </w:p>
        </w:tc>
        <w:tc>
          <w:tcPr>
            <w:tcW w:w="1227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wysoka na poziomie modułów i wiedzy</w:t>
            </w:r>
          </w:p>
        </w:tc>
        <w:tc>
          <w:tcPr>
            <w:tcW w:w="132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projektowana pod real-time i edge/cloud, ale kosztowna obliczeniowo</w:t>
            </w:r>
          </w:p>
        </w:tc>
        <w:tc>
          <w:tcPr>
            <w:tcW w:w="159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brak pełnej walidacji end-to-end w publikacji</w:t>
            </w:r>
          </w:p>
        </w:tc>
      </w:tr>
      <w:tr>
        <w:trPr/>
        <w:tc>
          <w:tcPr>
            <w:tcW w:w="1078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CLEF 2024</w:t>
            </w:r>
          </w:p>
        </w:tc>
        <w:tc>
          <w:tcPr>
            <w:tcW w:w="1840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wysoka; jawny graf przyczynowy i wnioskowanie kontrfaktyczne</w:t>
            </w:r>
          </w:p>
        </w:tc>
        <w:tc>
          <w:tcPr>
            <w:tcW w:w="161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pośrednia, przez oddzielenie użytecznego efektu kontekstu od biasu</w:t>
            </w:r>
          </w:p>
        </w:tc>
        <w:tc>
          <w:tcPr>
            <w:tcW w:w="152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nie jest to główny cel pracy</w:t>
            </w:r>
          </w:p>
        </w:tc>
        <w:tc>
          <w:tcPr>
            <w:tcW w:w="1227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</w:t>
            </w:r>
          </w:p>
        </w:tc>
        <w:tc>
          <w:tcPr>
            <w:tcW w:w="132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potencjalnie dobra jako nakładka model-agnostic</w:t>
            </w:r>
          </w:p>
        </w:tc>
        <w:tc>
          <w:tcPr>
            <w:tcW w:w="159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skupia się na debiasingu, nie na całym HRI/planning stacku</w:t>
            </w:r>
          </w:p>
        </w:tc>
      </w:tr>
      <w:tr>
        <w:trPr/>
        <w:tc>
          <w:tcPr>
            <w:tcW w:w="1078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HU-Dialogue + conformal ERC</w:t>
            </w:r>
          </w:p>
        </w:tc>
        <w:tc>
          <w:tcPr>
            <w:tcW w:w="1840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niska przyczynowo, wysoka w niepewności</w:t>
            </w:r>
          </w:p>
        </w:tc>
        <w:tc>
          <w:tcPr>
            <w:tcW w:w="161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wysoka; uncertainty hierarchiczne i zbiory predykcji z coverage guarantees</w:t>
            </w:r>
          </w:p>
        </w:tc>
        <w:tc>
          <w:tcPr>
            <w:tcW w:w="1529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Aptos" w:hAnsi="Apto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wysoka; naturalna baza dla „abstain / ask clarification”</w:t>
            </w:r>
          </w:p>
        </w:tc>
        <w:tc>
          <w:tcPr>
            <w:tcW w:w="1227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umiarkowana</w:t>
            </w:r>
          </w:p>
        </w:tc>
        <w:tc>
          <w:tcPr>
            <w:tcW w:w="132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dobra dla systemów konwersacyjnych</w:t>
            </w:r>
          </w:p>
        </w:tc>
        <w:tc>
          <w:tcPr>
            <w:tcW w:w="1593" w:type="dxa"/>
            <w:tcBorders/>
          </w:tcPr>
          <w:p>
            <w:pPr>
              <w:pStyle w:val="Compact"/>
              <w:widowControl/>
              <w:spacing w:lineRule="auto" w:line="240" w:before="36" w:after="36"/>
              <w:jc w:val="left"/>
              <w:rPr>
                <w:rFonts w:ascii="Liberation Sans" w:hAnsi="Liberation Sans" w:eastAsia="Aptos" w:cs="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Aptos" w:cs="" w:ascii="Liberation Sans" w:hAnsi="Liberation Sans"/>
                <w:kern w:val="0"/>
                <w:sz w:val="18"/>
                <w:szCs w:val="18"/>
                <w:lang w:val="pl-PL" w:eastAsia="en-US" w:bidi="ar-SA"/>
              </w:rPr>
              <w:t>nie rozwiązuje sama z siebie problemu przyczynowości ani planowania</w:t>
            </w:r>
            <w:bookmarkStart w:id="4" w:name="X29d59545a91a07816f1be1afa011fcbd591d725"/>
            <w:bookmarkStart w:id="5" w:name="Xa8e8cdd30b2fac1bc68b5a049d8a6ad703b1272"/>
            <w:bookmarkEnd w:id="4"/>
            <w:bookmarkEnd w:id="5"/>
          </w:p>
        </w:tc>
      </w:tr>
    </w:tbl>
    <w:p>
      <w:pPr>
        <w:pStyle w:val="Heading2"/>
        <w:rPr/>
      </w:pPr>
      <w:r>
        <w:rPr/>
        <w:t>Ryzyka, regulacje i rekomendacje dla nowoczesnego CASIE</w:t>
      </w:r>
    </w:p>
    <w:p>
      <w:pPr>
        <w:pStyle w:val="FirstParagraph"/>
        <w:rPr/>
      </w:pPr>
      <w:r>
        <w:rPr/>
        <w:t xml:space="preserve">W świetle prawa unijnego emocjonalne systemy robotyczne działają dziś w dużo bardziej wymagającym otoczeniu niż w czasie formułowania wcześniejszych frameworków. </w:t>
      </w:r>
      <w:r>
        <w:rPr>
          <w:b/>
          <w:bCs/>
        </w:rPr>
        <w:t>AI Act</w:t>
      </w:r>
      <w:r>
        <w:rPr/>
        <w:t xml:space="preserve"> definiuje „emotion recognition system” jako system AI służący do identyfikowania lub wnioskowania o emocjach lub intencjach osób fizycznych na podstawie danych biometrycznych. W unijnym podsumowaniu po polsku wskazano też zakaz wnioskowania o emocjach w </w:t>
      </w:r>
      <w:r>
        <w:rPr>
          <w:b/>
          <w:bCs/>
        </w:rPr>
        <w:t>miejscach pracy</w:t>
      </w:r>
      <w:r>
        <w:rPr/>
        <w:t xml:space="preserve"> i </w:t>
      </w:r>
      <w:r>
        <w:rPr>
          <w:b/>
          <w:bCs/>
        </w:rPr>
        <w:t>instytucjach edukacyjnych</w:t>
      </w:r>
      <w:r>
        <w:rPr/>
        <w:t xml:space="preserve">, z wyjątkami m.in. dla celów medycznych lub bezpieczeństwa. To nie eliminuje CASIE dla opieki zdrowotnej, ale wyraźnie podnosi wymogi dotyczące uzasadnienia celu, proporcjonalności, dokumentacji i nadzoru człowieka. </w:t>
      </w:r>
      <w:hyperlink r:id="rId26">
        <w:r>
          <w:rPr>
            <w:rStyle w:val="Hyperlink"/>
          </w:rPr>
          <w:t>[39]</w:t>
        </w:r>
      </w:hyperlink>
    </w:p>
    <w:p>
      <w:pPr>
        <w:pStyle w:val="BodyText"/>
        <w:rPr/>
      </w:pPr>
      <w:r>
        <w:rPr/>
        <w:t xml:space="preserve">Równolegle europejskie wytyczne dla godnej zaufania AI oraz </w:t>
      </w:r>
      <w:r>
        <w:rPr>
          <w:b/>
          <w:bCs/>
        </w:rPr>
        <w:t>ALTAI</w:t>
      </w:r>
      <w:r>
        <w:rPr/>
        <w:t xml:space="preserve"> wymagają: przewodniej i nadzorczej roli człowieka, technicznej solidności i bezpieczeństwa, ochrony prywatności i danych, przejrzystości, niedyskryminacji, dobrostanu społecznego oraz rozliczalności. To niezwykle dobrze współgra z etycznym komponentem CASIE, ale równocześnie odsłania jego dzisiejszy brak: aby spełnić te wymogi praktycznie, system powinien umieć </w:t>
      </w:r>
      <w:r>
        <w:rPr>
          <w:b/>
          <w:bCs/>
        </w:rPr>
        <w:t>wycofać się z decyzji, gdy jest niepewny</w:t>
      </w:r>
      <w:r>
        <w:rPr/>
        <w:t xml:space="preserve">, a nie tylko wyprodukować najbardziej prawdopodobną etykietę emocji. </w:t>
      </w:r>
      <w:hyperlink r:id="rId27">
        <w:r>
          <w:rPr>
            <w:rStyle w:val="Hyperlink"/>
          </w:rPr>
          <w:t>[40]</w:t>
        </w:r>
      </w:hyperlink>
    </w:p>
    <w:p>
      <w:pPr>
        <w:pStyle w:val="BodyText"/>
        <w:rPr/>
      </w:pPr>
      <w:r>
        <w:rPr/>
        <w:t>Warto też studzić oczekiwania wdrożeniowe. Przegląd parasolowy nad społecznie wspierającymi robotami w zdrowiu i opiece pokazał, że choć liczne badania sygnalizują poprawę nastroju, interakcji społecznych, samotności, stresu czy bólu, to łączna meta-analityczna ocena nie wykazała jednoznacznego efektu dla jakości życia, lęku i depresji. Innymi s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3735070</wp:posOffset>
            </wp:positionH>
            <wp:positionV relativeFrom="paragraph">
              <wp:posOffset>124460</wp:posOffset>
            </wp:positionV>
            <wp:extent cx="2835275" cy="5252720"/>
            <wp:effectExtent l="0" t="0" r="0" b="0"/>
            <wp:wrapSquare wrapText="lef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525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łowy: wartość robotów społecznych istnieje, ale </w:t>
      </w:r>
      <w:r>
        <w:rPr>
          <w:b/>
          <w:bCs/>
        </w:rPr>
        <w:t>nie należy jej automatycznie utożsamiać z niezawodnym rozpoznawaniem emocji</w:t>
      </w:r>
      <w:r>
        <w:rPr/>
        <w:t>.</w:t>
      </w:r>
    </w:p>
    <w:p>
      <w:pPr>
        <w:pStyle w:val="BodyText"/>
        <w:spacing w:before="113" w:after="113"/>
        <w:rPr/>
      </w:pPr>
      <w:r>
        <w:rPr/>
        <w:t xml:space="preserve">Dlatego najbardziej sensowna ścieżka rozwojowa to nie „wdrożyć CASIE tak, jak opisano w 2021”, lecz zbudować </w:t>
      </w:r>
      <w:r>
        <w:rPr>
          <w:b/>
          <w:bCs/>
        </w:rPr>
        <w:t>wariant z kontrolowaną niepewnością i aktywnym doprecyzowaniem</w:t>
      </w:r>
      <w:r>
        <w:rPr/>
        <w:t>. Taki system powinien łączyć:</w:t>
      </w:r>
    </w:p>
    <w:p>
      <w:pPr>
        <w:pStyle w:val="BodyText"/>
        <w:widowControl/>
        <w:numPr>
          <w:ilvl w:val="0"/>
          <w:numId w:val="3"/>
        </w:numPr>
        <w:suppressAutoHyphens w:val="false"/>
        <w:bidi w:val="0"/>
        <w:spacing w:before="113" w:after="113"/>
        <w:ind w:hanging="340" w:left="680" w:right="0"/>
        <w:jc w:val="left"/>
        <w:rPr>
          <w:w w:val="90"/>
        </w:rPr>
      </w:pPr>
      <w:r>
        <w:rPr>
          <w:w w:val="90"/>
        </w:rPr>
        <w:t>interpretowalną warstwę wiedzy i planowania z CASIE,</w:t>
      </w:r>
    </w:p>
    <w:p>
      <w:pPr>
        <w:pStyle w:val="BodyText"/>
        <w:widowControl/>
        <w:numPr>
          <w:ilvl w:val="0"/>
          <w:numId w:val="3"/>
        </w:numPr>
        <w:suppressAutoHyphens w:val="false"/>
        <w:bidi w:val="0"/>
        <w:spacing w:before="113" w:after="113"/>
        <w:ind w:hanging="340" w:left="680" w:right="0"/>
        <w:jc w:val="left"/>
        <w:rPr>
          <w:w w:val="90"/>
        </w:rPr>
      </w:pPr>
      <w:r>
        <w:rPr>
          <w:w w:val="90"/>
        </w:rPr>
        <w:t>kontrfaktyczne odszumianie kontekstu w stylu CLEF,</w:t>
      </w:r>
    </w:p>
    <w:p>
      <w:pPr>
        <w:pStyle w:val="BodyText"/>
        <w:widowControl/>
        <w:numPr>
          <w:ilvl w:val="0"/>
          <w:numId w:val="3"/>
        </w:numPr>
        <w:suppressAutoHyphens w:val="false"/>
        <w:bidi w:val="0"/>
        <w:spacing w:before="113" w:after="113"/>
        <w:ind w:hanging="340" w:left="680" w:right="0"/>
        <w:jc w:val="left"/>
        <w:rPr>
          <w:w w:val="90"/>
        </w:rPr>
      </w:pPr>
      <w:r>
        <w:rPr>
          <w:w w:val="90"/>
        </w:rPr>
        <w:t>warstwę niepewności typu HU-Dialogue / conformal prediction dla decyzji o abstencji.</w:t>
      </w:r>
    </w:p>
    <w:p>
      <w:pPr>
        <w:pStyle w:val="FirstParagraph"/>
        <w:rPr/>
      </w:pPr>
      <w:r>
        <w:rPr/>
        <w:t xml:space="preserve">W praktyce architektura typu </w:t>
      </w:r>
      <w:r>
        <w:rPr>
          <w:b/>
          <w:bCs/>
        </w:rPr>
        <w:t>CASIE-2</w:t>
      </w:r>
      <w:r>
        <w:rPr/>
        <w:t xml:space="preserve"> powinna działać według prostej zasady: jeśli kontekst i sygnały są spójne, system planuje działanie; jeśli są słabe, sprzeczne lub obciążone biasem kontekstowym, system </w:t>
      </w:r>
      <w:r>
        <w:rPr>
          <w:b/>
          <w:bCs/>
        </w:rPr>
        <w:t>zadaje pytanie doprecyzowujące</w:t>
      </w:r>
      <w:r>
        <w:rPr/>
        <w:t>, przełącza się na reakcję neutralno-wspierającą albo eskaluje do personelu. Takie zachowanie jest bardziej zgodne zarówno z psychologiczną naturą emocji, jak i z wymaganiami zaufanej AI.</w:t>
      </w:r>
    </w:p>
    <w:p>
      <w:pPr>
        <w:pStyle w:val="Heading3"/>
        <w:rPr/>
      </w:pPr>
      <w:r>
        <w:rPr/>
        <w:t>W</w:t>
      </w:r>
      <w:bookmarkStart w:id="6" w:name="mój-werdykt-badawczy"/>
      <w:r>
        <w:rPr/>
        <w:t>erdykt badawczy</w:t>
      </w:r>
    </w:p>
    <w:p>
      <w:pPr>
        <w:pStyle w:val="FirstParagraph"/>
        <w:rPr/>
      </w:pPr>
      <w:r>
        <w:rPr/>
        <w:t xml:space="preserve">Jeśli szukać </w:t>
      </w:r>
      <w:r>
        <w:rPr>
          <w:b/>
          <w:bCs/>
        </w:rPr>
        <w:t>najbliższego literaturowego odpowiednika „CASIE framework”</w:t>
      </w:r>
      <w:r>
        <w:rPr/>
        <w:t xml:space="preserve">, to właściwą odpowiedzią jest </w:t>
      </w:r>
      <w:r>
        <w:rPr>
          <w:b/>
          <w:bCs/>
        </w:rPr>
        <w:t>CASIE 2021 jako referencyjna architektura robotyki afektywnej dla zdrowia</w:t>
      </w:r>
      <w:r>
        <w:rPr/>
        <w:t xml:space="preserve">, osadzona w starszej genealogii </w:t>
      </w:r>
      <w:r>
        <w:rPr>
          <w:b/>
          <w:bCs/>
        </w:rPr>
        <w:t>context-sensitive affect sensing</w:t>
      </w:r>
      <w:r>
        <w:rPr/>
        <w:t xml:space="preserve"> i </w:t>
      </w:r>
      <w:r>
        <w:rPr>
          <w:b/>
          <w:bCs/>
        </w:rPr>
        <w:t>context-aware emotional intelligence</w:t>
      </w:r>
      <w:r>
        <w:rPr/>
        <w:t xml:space="preserve">. Jeśli natomiast pytanie dotyczy systemów, które rzeczywiście „rozumują przyczynowo i kontekstowo”, to CASIE trzeba dziś czytać jako </w:t>
      </w:r>
      <w:r>
        <w:rPr>
          <w:b/>
          <w:bCs/>
        </w:rPr>
        <w:t>bardzo cenną bazę systemową</w:t>
      </w:r>
      <w:r>
        <w:rPr/>
        <w:t xml:space="preserve">, ale wymagającą uzupełnienia o współczesne komponenty: </w:t>
      </w:r>
      <w:r>
        <w:rPr>
          <w:b/>
          <w:bCs/>
        </w:rPr>
        <w:t>jawne modele przyczynowe, formalne modelowanie niepewności, abstencję i aktywne dopytywanie</w:t>
      </w:r>
      <w:r>
        <w:rPr/>
        <w:t>.</w:t>
      </w:r>
    </w:p>
    <w:p>
      <w:pPr>
        <w:pStyle w:val="BodyText"/>
        <w:rPr/>
      </w:pPr>
      <w:r>
        <w:rPr/>
        <w:t xml:space="preserve">Największa luka w literaturze nie dotyczy już samej percepcji afektu, lecz </w:t>
      </w:r>
      <w:r>
        <w:rPr>
          <w:b/>
          <w:bCs/>
        </w:rPr>
        <w:t>zintegrowania</w:t>
      </w:r>
      <w:r>
        <w:rPr/>
        <w:t xml:space="preserve"> pięciu rzeczy naraz: bogatego kontekstu społecznego, rozumowania przyczynowego, belief-state pod częściową obserwowalnością, kalibracji niepewności oraz polityki bezpiecznego działania. CASIE wykonało ważny krok w stronę takiej integracji, ale nie zamknęło tego programu badawczego. Właśnie dlatego pozostaje ono wartościowe: nie jako ostateczne rozwiązanie, lecz jako </w:t>
      </w:r>
      <w:r>
        <w:rPr>
          <w:b/>
          <w:bCs/>
        </w:rPr>
        <w:t>ambitny szkielet architektury, który nadal wyznacza sensowny kierunek badań</w:t>
      </w:r>
      <w:r>
        <w:rPr/>
        <w:t xml:space="preserve">. </w:t>
      </w:r>
      <w:hyperlink r:id="rId29">
        <w:r>
          <w:rPr>
            <w:rStyle w:val="Hyperlink"/>
          </w:rPr>
          <w:t>[45]</w:t>
        </w:r>
      </w:hyperlink>
      <w:bookmarkEnd w:id="0"/>
      <w:bookmarkEnd w:id="1"/>
      <w:bookmarkEnd w:id="6"/>
    </w:p>
    <w:p>
      <w:pPr>
        <w:pStyle w:val="Heading2"/>
        <w:spacing w:before="113" w:after="113"/>
        <w:rPr/>
      </w:pPr>
      <w:r>
        <w:rPr>
          <w:rStyle w:val="Hyperlink"/>
          <w:b/>
          <w:bCs/>
          <w:color w:themeColor="accent1" w:val="156082"/>
          <w14:textFill>
            <w14:solidFill>
              <w14:schemeClr w14:val="accent1">
                <w14:lumOff w14:val="0"/>
              </w14:schemeClr>
            </w14:solidFill>
          </w14:textFill>
        </w:rPr>
        <w:t>Literatura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rStyle w:val="Hyperlink"/>
          <w:color w:val="auto"/>
          <w:w w:val="100"/>
          <w:sz w:val="22"/>
          <w:szCs w:val="22"/>
        </w:rPr>
        <w:t xml:space="preserve">Vasiliu, L., Cortis, K., McDermott, R., Kerr, A., Peters, A., Hesse, M., Hagemeyer, J., Belpaeme, T., McDonald, J., Villing, R., Mileo, A., Caputo, A., Scriney, M., Griffiths, S., Koumpis, A., &amp; Davis, B. (2021). CASIE – Computing affect and social intelligence for healthcare in an ethical and trustworthy manner. </w:t>
      </w:r>
      <w:r>
        <w:rPr>
          <w:rStyle w:val="Emphasis"/>
          <w:color w:val="auto"/>
          <w:w w:val="100"/>
          <w:sz w:val="22"/>
          <w:szCs w:val="22"/>
        </w:rPr>
        <w:t>Paladyn, Journal of Behavioral Robotics, 12</w:t>
      </w:r>
      <w:r>
        <w:rPr>
          <w:rStyle w:val="Hyperlink"/>
          <w:color w:val="auto"/>
          <w:w w:val="100"/>
          <w:sz w:val="22"/>
          <w:szCs w:val="22"/>
        </w:rPr>
        <w:t xml:space="preserve">(1), 437–453. </w:t>
      </w:r>
      <w:hyperlink r:id="rId30">
        <w:r>
          <w:rPr>
            <w:rStyle w:val="Hyperlink"/>
            <w:color w:val="auto"/>
            <w:w w:val="100"/>
            <w:sz w:val="22"/>
            <w:szCs w:val="22"/>
          </w:rPr>
          <w:t>https://doi.org/10.1515/pjbr-2021-0026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Ptaszynski, M., Dybala, P., Shi, W., Rzepka, R., &amp; Araki, K. (2009). </w:t>
      </w:r>
      <w:r>
        <w:rPr>
          <w:rStyle w:val="Emphasis"/>
          <w:color w:val="auto"/>
          <w:w w:val="100"/>
          <w:sz w:val="22"/>
          <w:szCs w:val="22"/>
        </w:rPr>
        <w:t>Towards context aware emotional intelligence in machines: Computing contextual appropriateness of affective states</w:t>
      </w:r>
      <w:r>
        <w:rPr>
          <w:color w:val="auto"/>
          <w:w w:val="100"/>
          <w:sz w:val="22"/>
          <w:szCs w:val="22"/>
        </w:rPr>
        <w:t xml:space="preserve">. In </w:t>
      </w:r>
      <w:r>
        <w:rPr>
          <w:rStyle w:val="Emphasis"/>
          <w:color w:val="auto"/>
          <w:w w:val="100"/>
          <w:sz w:val="22"/>
          <w:szCs w:val="22"/>
        </w:rPr>
        <w:t>Proceedings of the 21st International Joint Conference on Artificial Intelligence (IJCAI 2009)</w:t>
      </w:r>
      <w:r>
        <w:rPr>
          <w:color w:val="auto"/>
          <w:w w:val="100"/>
          <w:sz w:val="22"/>
          <w:szCs w:val="22"/>
        </w:rPr>
        <w:t xml:space="preserve"> (pp. 1172–1177). IJCAI.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Zhang, L., Barnden, J. A., Hendley, R. J., &amp; Wallington, A. M. (2006). </w:t>
      </w:r>
      <w:r>
        <w:rPr>
          <w:rStyle w:val="Emphasis"/>
          <w:color w:val="auto"/>
          <w:w w:val="100"/>
          <w:sz w:val="22"/>
          <w:szCs w:val="22"/>
        </w:rPr>
        <w:t>Developments in affect detection in e-drama</w:t>
      </w:r>
      <w:r>
        <w:rPr>
          <w:color w:val="auto"/>
          <w:w w:val="100"/>
          <w:sz w:val="22"/>
          <w:szCs w:val="22"/>
        </w:rPr>
        <w:t xml:space="preserve">. In </w:t>
      </w:r>
      <w:r>
        <w:rPr>
          <w:rStyle w:val="Emphasis"/>
          <w:color w:val="auto"/>
          <w:w w:val="100"/>
          <w:sz w:val="22"/>
          <w:szCs w:val="22"/>
        </w:rPr>
        <w:t>Proceedings of the 11th Conference of the European Chapter of the Association for Computational Linguistics: Demonstrations</w:t>
      </w:r>
      <w:r>
        <w:rPr>
          <w:color w:val="auto"/>
          <w:w w:val="100"/>
          <w:sz w:val="22"/>
          <w:szCs w:val="22"/>
        </w:rPr>
        <w:t xml:space="preserve"> (pp. 17–20). Association for Computational Linguistics.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Zhang, L. (2010). Metaphor interpretation and context-based affect detection. In J. Huang &amp; D. Jurafsky (Eds.), </w:t>
      </w:r>
      <w:r>
        <w:rPr>
          <w:rStyle w:val="Emphasis"/>
          <w:color w:val="auto"/>
          <w:w w:val="100"/>
          <w:sz w:val="22"/>
          <w:szCs w:val="22"/>
        </w:rPr>
        <w:t>COLING 2010: Posters</w:t>
      </w:r>
      <w:r>
        <w:rPr>
          <w:color w:val="auto"/>
          <w:w w:val="100"/>
          <w:sz w:val="22"/>
          <w:szCs w:val="22"/>
        </w:rPr>
        <w:t xml:space="preserve"> (pp. 1523–1531). Association for Computational Linguistics.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Zhang, L. (2011). Exploration on context-sensitive affect sensing in an intelligent agent. In H. H. Vilhjálmsson, S. Kopp, S. Marsella, &amp; K. R. Thórisson (Eds.), </w:t>
      </w:r>
      <w:r>
        <w:rPr>
          <w:rStyle w:val="Emphasis"/>
          <w:color w:val="auto"/>
          <w:w w:val="100"/>
          <w:sz w:val="22"/>
          <w:szCs w:val="22"/>
        </w:rPr>
        <w:t>Intelligent Virtual Agents: 11th International Conference, IVA 2011</w:t>
      </w:r>
      <w:r>
        <w:rPr>
          <w:color w:val="auto"/>
          <w:w w:val="100"/>
          <w:sz w:val="22"/>
          <w:szCs w:val="22"/>
        </w:rPr>
        <w:t xml:space="preserve"> (Lecture Notes in Computer Science, Vol. 6895, pp. 427–430). Springer. </w:t>
      </w:r>
      <w:hyperlink r:id="rId31">
        <w:r>
          <w:rPr>
            <w:rStyle w:val="Hyperlink"/>
            <w:color w:val="auto"/>
            <w:w w:val="100"/>
            <w:sz w:val="22"/>
            <w:szCs w:val="22"/>
          </w:rPr>
          <w:t>https://doi.org/10.1007/978-3-642-23974-8_44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Zhang, L., &amp; Barnden, J. A. (2011). Context-sensitive affect sensing and metaphor identification in virtual drama. In </w:t>
      </w:r>
      <w:r>
        <w:rPr>
          <w:rStyle w:val="Emphasis"/>
          <w:color w:val="auto"/>
          <w:w w:val="100"/>
          <w:sz w:val="22"/>
          <w:szCs w:val="22"/>
        </w:rPr>
        <w:t>Affective Computing and Intelligent Interaction: 4th International Conference, ACII 2011</w:t>
      </w:r>
      <w:r>
        <w:rPr>
          <w:color w:val="auto"/>
          <w:w w:val="100"/>
          <w:sz w:val="22"/>
          <w:szCs w:val="22"/>
        </w:rPr>
        <w:t xml:space="preserve"> (Lecture Notes in Computer Science, Vol. 6974, pp. 322–331). Springer. </w:t>
      </w:r>
      <w:hyperlink r:id="rId32">
        <w:r>
          <w:rPr>
            <w:rStyle w:val="Hyperlink"/>
            <w:color w:val="auto"/>
            <w:w w:val="100"/>
            <w:sz w:val="22"/>
            <w:szCs w:val="22"/>
          </w:rPr>
          <w:t>https://doi.org/10.1007/978-3-642-24571-8_18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Zhang, L., &amp; Hossain, A. (2012). Contextual affect sensing and metaphor interpretation. </w:t>
      </w:r>
      <w:r>
        <w:rPr>
          <w:rStyle w:val="Emphasis"/>
          <w:color w:val="auto"/>
          <w:w w:val="100"/>
          <w:sz w:val="22"/>
          <w:szCs w:val="22"/>
        </w:rPr>
        <w:t>Entertainment Computing, 3</w:t>
      </w:r>
      <w:r>
        <w:rPr>
          <w:color w:val="auto"/>
          <w:w w:val="100"/>
          <w:sz w:val="22"/>
          <w:szCs w:val="22"/>
        </w:rPr>
        <w:t xml:space="preserve">(3), 81–88. </w:t>
      </w:r>
      <w:hyperlink r:id="rId33">
        <w:r>
          <w:rPr>
            <w:rStyle w:val="Hyperlink"/>
            <w:color w:val="auto"/>
            <w:w w:val="100"/>
            <w:sz w:val="22"/>
            <w:szCs w:val="22"/>
          </w:rPr>
          <w:t>https://doi.org/10.1016/j.entcom.2011.12.002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Gratch, J., &amp; Marsella, S. (2004). A domain-independent framework for modeling emotion. </w:t>
      </w:r>
      <w:r>
        <w:rPr>
          <w:rStyle w:val="Emphasis"/>
          <w:color w:val="auto"/>
          <w:w w:val="100"/>
          <w:sz w:val="22"/>
          <w:szCs w:val="22"/>
        </w:rPr>
        <w:t>Cognitive Systems Research, 5</w:t>
      </w:r>
      <w:r>
        <w:rPr>
          <w:color w:val="auto"/>
          <w:w w:val="100"/>
          <w:sz w:val="22"/>
          <w:szCs w:val="22"/>
        </w:rPr>
        <w:t xml:space="preserve">(4), 269–306. </w:t>
      </w:r>
      <w:hyperlink r:id="rId34">
        <w:r>
          <w:rPr>
            <w:rStyle w:val="Hyperlink"/>
            <w:color w:val="auto"/>
            <w:w w:val="100"/>
            <w:sz w:val="22"/>
            <w:szCs w:val="22"/>
          </w:rPr>
          <w:t>https://doi.org/10.1016/j.cogsys.2004.02.002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Pearl, J. (2009). Causal inference in statistics: An overview. </w:t>
      </w:r>
      <w:r>
        <w:rPr>
          <w:rStyle w:val="Emphasis"/>
          <w:color w:val="auto"/>
          <w:w w:val="100"/>
          <w:sz w:val="22"/>
          <w:szCs w:val="22"/>
        </w:rPr>
        <w:t>Statistics Surveys, 3</w:t>
      </w:r>
      <w:r>
        <w:rPr>
          <w:color w:val="auto"/>
          <w:w w:val="100"/>
          <w:sz w:val="22"/>
          <w:szCs w:val="22"/>
        </w:rPr>
        <w:t xml:space="preserve">, 96–146. </w:t>
      </w:r>
      <w:hyperlink r:id="rId35">
        <w:r>
          <w:rPr>
            <w:rStyle w:val="Hyperlink"/>
            <w:color w:val="auto"/>
            <w:w w:val="100"/>
            <w:sz w:val="22"/>
            <w:szCs w:val="22"/>
          </w:rPr>
          <w:t>https://doi.org/10.1214/09-SS057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Ortony, A., Clore, G. L., &amp; Collins, A. (1988). </w:t>
      </w:r>
      <w:r>
        <w:rPr>
          <w:rStyle w:val="Emphasis"/>
          <w:color w:val="auto"/>
          <w:w w:val="100"/>
          <w:sz w:val="22"/>
          <w:szCs w:val="22"/>
        </w:rPr>
        <w:t>The cognitive structure of emotions</w:t>
      </w:r>
      <w:r>
        <w:rPr>
          <w:color w:val="auto"/>
          <w:w w:val="100"/>
          <w:sz w:val="22"/>
          <w:szCs w:val="22"/>
        </w:rPr>
        <w:t>. Cambridge University Press.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Ha, D., &amp; Schmidhuber, J. (2018). </w:t>
      </w:r>
      <w:r>
        <w:rPr>
          <w:rStyle w:val="Emphasis"/>
          <w:color w:val="auto"/>
          <w:w w:val="100"/>
          <w:sz w:val="22"/>
          <w:szCs w:val="22"/>
        </w:rPr>
        <w:t>World models</w:t>
      </w:r>
      <w:r>
        <w:rPr>
          <w:color w:val="auto"/>
          <w:w w:val="100"/>
          <w:sz w:val="22"/>
          <w:szCs w:val="22"/>
        </w:rPr>
        <w:t xml:space="preserve">. arXiv. </w:t>
      </w:r>
      <w:hyperlink r:id="rId36">
        <w:r>
          <w:rPr>
            <w:rStyle w:val="Hyperlink"/>
            <w:color w:val="auto"/>
            <w:w w:val="100"/>
            <w:sz w:val="22"/>
            <w:szCs w:val="22"/>
          </w:rPr>
          <w:t>https://doi.org/10.48550/arXiv.1803.10122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Yang, D., Yang, K., Li, M., Wang, S., Wang, S., &amp; Zhang, L. (2024). Robust emotion recognition in context debiasing. In </w:t>
      </w:r>
      <w:r>
        <w:rPr>
          <w:rStyle w:val="Emphasis"/>
          <w:color w:val="auto"/>
          <w:w w:val="100"/>
          <w:sz w:val="22"/>
          <w:szCs w:val="22"/>
        </w:rPr>
        <w:t>Proceedings of the IEEE/CVF Conference on Computer Vision and Pattern Recognition (CVPR)</w:t>
      </w:r>
      <w:r>
        <w:rPr>
          <w:color w:val="auto"/>
          <w:w w:val="100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Roohi, S., Skarbez, R., &amp; Nguyen, H. D. (2024). Reliable uncertainty estimation in emotion recognition in conversation using conformal prediction framework. </w:t>
      </w:r>
      <w:r>
        <w:rPr>
          <w:rStyle w:val="Emphasis"/>
          <w:color w:val="auto"/>
          <w:w w:val="100"/>
          <w:sz w:val="22"/>
          <w:szCs w:val="22"/>
        </w:rPr>
        <w:t>Natural Language Processing</w:t>
      </w:r>
      <w:r>
        <w:rPr>
          <w:color w:val="auto"/>
          <w:w w:val="100"/>
          <w:sz w:val="22"/>
          <w:szCs w:val="22"/>
        </w:rPr>
        <w:t xml:space="preserve">. Advance online publication. </w:t>
      </w:r>
      <w:hyperlink r:id="rId37">
        <w:r>
          <w:rPr>
            <w:rStyle w:val="Hyperlink"/>
            <w:color w:val="auto"/>
            <w:w w:val="100"/>
            <w:sz w:val="22"/>
            <w:szCs w:val="22"/>
          </w:rPr>
          <w:t>https://doi.org/10.1017/nlp.2024.57</w:t>
        </w:r>
      </w:hyperlink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Gunes, H., &amp; Churamani, N. (2023). Affective computing for human-robot interaction research: Four critical lessons for the hitchhiker. In </w:t>
      </w:r>
      <w:r>
        <w:rPr>
          <w:rStyle w:val="Emphasis"/>
          <w:color w:val="auto"/>
          <w:w w:val="100"/>
          <w:sz w:val="22"/>
          <w:szCs w:val="22"/>
        </w:rPr>
        <w:t>Proceedings of the 32nd IEEE International Conference on Robot and Human Interactive Communication (RO-MAN 2023)</w:t>
      </w:r>
      <w:r>
        <w:rPr>
          <w:color w:val="auto"/>
          <w:w w:val="100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false"/>
        <w:bidi w:val="0"/>
        <w:spacing w:lineRule="auto" w:line="276" w:before="0" w:after="113"/>
        <w:ind w:hanging="340" w:left="340" w:right="0"/>
        <w:jc w:val="both"/>
        <w:rPr/>
      </w:pPr>
      <w:r>
        <w:rPr>
          <w:color w:val="auto"/>
          <w:w w:val="100"/>
          <w:sz w:val="22"/>
          <w:szCs w:val="22"/>
        </w:rPr>
        <w:t xml:space="preserve">Kosti, R., Alvarez, J. M., Recasens, A., &amp; Lapedriza, A. (2017). Emotion recognition in context. In </w:t>
      </w:r>
      <w:r>
        <w:rPr>
          <w:rStyle w:val="Emphasis"/>
          <w:color w:val="auto"/>
          <w:w w:val="100"/>
          <w:sz w:val="22"/>
          <w:szCs w:val="22"/>
        </w:rPr>
        <w:t>Proceedings of the IEEE Conference on Computer Vision and Pattern Recognition (CVPR 2017)</w:t>
      </w:r>
      <w:r>
        <w:rPr>
          <w:color w:val="auto"/>
          <w:w w:val="100"/>
          <w:sz w:val="22"/>
          <w:szCs w:val="22"/>
        </w:rPr>
        <w:t xml:space="preserve"> (pp. 1960–1968). IEEE. </w:t>
      </w:r>
      <w:hyperlink r:id="rId38">
        <w:r>
          <w:rPr>
            <w:rStyle w:val="Hyperlink"/>
            <w:color w:val="auto"/>
            <w:w w:val="100"/>
            <w:sz w:val="22"/>
            <w:szCs w:val="22"/>
          </w:rPr>
          <w:t>https://doi.org/10.1109/CVPR.2017.212</w:t>
        </w:r>
      </w:hyperlink>
    </w:p>
    <w:sectPr>
      <w:footerReference w:type="even" r:id="rId39"/>
      <w:footerReference w:type="default" r:id="rId40"/>
      <w:type w:val="nextPage"/>
      <w:pgSz w:w="12240" w:h="15840"/>
      <w:pgMar w:left="1020" w:right="1020" w:gutter="0" w:header="0" w:top="794" w:footer="227" w:bottom="7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ontserrat Medium">
    <w:charset w:val="01"/>
    <w:family w:val="swiss"/>
    <w:pitch w:val="default"/>
  </w:font>
  <w:font w:name="Adwaita San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/>
    </w:pPr>
    <w:bookmarkStart w:id="7" w:name="PageNumWizard_FOOTER_Domyślny_styl_stron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  <w:bookmarkEnd w:id="7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>
        <w:sz w:val="20"/>
        <w:szCs w:val="20"/>
      </w:rPr>
    </w:pPr>
    <w:bookmarkStart w:id="8" w:name="PageNumWizard_FOOTER_Domyślny_styl_stro1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7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10</w:t>
    </w:r>
    <w:r>
      <w:rPr>
        <w:sz w:val="20"/>
        <w:szCs w:val="20"/>
      </w:rPr>
      <w:fldChar w:fldCharType="end"/>
    </w:r>
    <w:bookmarkEnd w:id="8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embedSystemFonts/>
  <w:mirrorMargins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lineRule="auto" w:line="276" w:before="227" w:after="113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uppressAutoHyphens w:val="false"/>
      <w:spacing w:lineRule="auto" w:line="276" w:before="227" w:after="113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Znakiprzypiswdolnychuser">
    <w:name w:val="Znaki przypisów dolnych (user)"/>
    <w:basedOn w:val="BodyTextChar"/>
    <w:qFormat/>
    <w:rPr>
      <w:vertAlign w:val="superscript"/>
    </w:rPr>
  </w:style>
  <w:style w:type="character" w:styleId="Znakiprzypiswdolnych">
    <w:name w:val="Znaki przypisów dolnych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Znakinumeracjiuser">
    <w:name w:val="Znaki numeracji (user)"/>
    <w:qFormat/>
    <w:rPr/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uppressAutoHyphens w:val="false"/>
      <w:spacing w:lineRule="auto" w:line="276" w:before="57" w:after="113"/>
      <w:jc w:val="both"/>
    </w:pPr>
    <w:rPr>
      <w:sz w:val="22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ks">
    <w:name w:val="Indeks"/>
    <w:basedOn w:val="Normal"/>
    <w:qFormat/>
    <w:pPr>
      <w:suppressLineNumbers/>
    </w:pPr>
    <w:rPr>
      <w:rFonts w:ascii="Calibri" w:hAnsi="Calibri"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ascii="Calibri" w:hAnsi="Calibri"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/>
    </w:pPr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Nagwek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  <w:style w:type="paragraph" w:styleId="Gwkaistopkauser">
    <w:name w:val="Główka i stopka (user)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Gwkaistopka">
    <w:name w:val="Główka i stopka"/>
    <w:basedOn w:val="Normal"/>
    <w:qFormat/>
    <w:pPr/>
    <w:rPr/>
  </w:style>
  <w:style w:type="paragraph" w:styleId="Footer">
    <w:name w:val="footer"/>
    <w:basedOn w:val="Gwkaistopkaus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egruyterbrill.com/document/doi/10.1515/pjbr-2021-0026/html" TargetMode="External"/><Relationship Id="rId3" Type="http://schemas.openxmlformats.org/officeDocument/2006/relationships/hyperlink" Target="https://www.researchgate.net/publication/355352204_CASIE_-_Computing_affect_and_social_intelligence_for_healthcare_in_an_ethical_and_trustworthy_manner/fulltext/616b70cdb90c51266254f047/CASIE-Computing-affect-and-social-intelligence-for-healthcare-in-an-ethical-and-trustworthy-manner.pdf?_rtd=e30%3D" TargetMode="External"/><Relationship Id="rId4" Type="http://schemas.openxmlformats.org/officeDocument/2006/relationships/hyperlink" Target="https://www.degruyterbrill.com/document/doi/10.1515/pjbr-2021-0026/html" TargetMode="External"/><Relationship Id="rId5" Type="http://schemas.openxmlformats.org/officeDocument/2006/relationships/hyperlink" Target="https://www.degruyterbrill.com/document/doi/10.1515/pjbr-2021-0026/html" TargetMode="External"/><Relationship Id="rId6" Type="http://schemas.openxmlformats.org/officeDocument/2006/relationships/hyperlink" Target="https://www.degruyterbrill.com/document/doi/10.1515/pjbr-2021-0026/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clanthology.org/E06-2030/" TargetMode="External"/><Relationship Id="rId9" Type="http://schemas.openxmlformats.org/officeDocument/2006/relationships/hyperlink" Target="https://aclanthology.org/anthology-files/anthology-files/pdf/C/C10/C10-2169.pdf" TargetMode="External"/><Relationship Id="rId10" Type="http://schemas.openxmlformats.org/officeDocument/2006/relationships/hyperlink" Target="https://research.tees.ac.uk/ws/files/6483215/124493.pdf" TargetMode="External"/><Relationship Id="rId11" Type="http://schemas.openxmlformats.org/officeDocument/2006/relationships/hyperlink" Target="https://www.ijcai.org/Proceedings/09/Papers/246.pdf" TargetMode="External"/><Relationship Id="rId12" Type="http://schemas.openxmlformats.org/officeDocument/2006/relationships/hyperlink" Target="https://aclanthology.org/anthology-files/anthology-files/pdf/C/C10/C10-2169.pdf" TargetMode="External"/><Relationship Id="rId13" Type="http://schemas.openxmlformats.org/officeDocument/2006/relationships/hyperlink" Target="https://www.degruyterbrill.com/document/doi/10.1515/pjbr-2021-0026/html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degruyterbrill.com/document/doi/10.1515/pjbr-2021-0026/html" TargetMode="External"/><Relationship Id="rId16" Type="http://schemas.openxmlformats.org/officeDocument/2006/relationships/hyperlink" Target="https://www.degruyterbrill.com/document/doi/10.1515/pjbr-2021-0026/html" TargetMode="External"/><Relationship Id="rId17" Type="http://schemas.openxmlformats.org/officeDocument/2006/relationships/hyperlink" Target="https://www.researchgate.net/publication/355352204_CASIE_-_Computing_affect_and_social_intelligence_for_healthcare_in_an_ethical_and_trustworthy_manner/fulltext/616b70cdb90c51266254f047/CASIE-Computing-affect-and-social-intelligence-for-healthcare-in-an-ethical-and-trustworthy-manner.pdf?_rtd=e30%3D" TargetMode="External"/><Relationship Id="rId18" Type="http://schemas.openxmlformats.org/officeDocument/2006/relationships/hyperlink" Target="https://www.researchgate.net/publication/355352204_CASIE_-_Computing_affect_and_social_intelligence_for_healthcare_in_an_ethical_and_trustworthy_manner/fulltext/616b70cdb90c51266254f047/CASIE-Computing-affect-and-social-intelligence-for-healthcare-in-an-ethical-and-trustworthy-manner.pdf?_rtd=e30%3D" TargetMode="External"/><Relationship Id="rId19" Type="http://schemas.openxmlformats.org/officeDocument/2006/relationships/hyperlink" Target="https://www.degruyterbrill.com/document/doi/10.1515/pjbr-2021-0026/html" TargetMode="External"/><Relationship Id="rId20" Type="http://schemas.openxmlformats.org/officeDocument/2006/relationships/hyperlink" Target="https://www.degruyterbrill.com/document/doi/10.1515/pjbr-2021-0026/html" TargetMode="External"/><Relationship Id="rId21" Type="http://schemas.openxmlformats.org/officeDocument/2006/relationships/hyperlink" Target="https://www.researchgate.net/publication/355352204_CASIE_-_Computing_affect_and_social_intelligence_for_healthcare_in_an_ethical_and_trustworthy_manner/fulltext/616b70cdb90c51266254f047/CASIE-Computing-affect-and-social-intelligence-for-healthcare-in-an-ethical-and-trustworthy-manner.pdf?_rtd=e30%3D" TargetMode="External"/><Relationship Id="rId22" Type="http://schemas.openxmlformats.org/officeDocument/2006/relationships/hyperlink" Target="https://openaccess.thecvf.com/content/CVPR2024/papers/Yang_Robust_Emotion_Recognition_in_Context_Debiasing_CVPR_2024_paper.pdf" TargetMode="External"/><Relationship Id="rId23" Type="http://schemas.openxmlformats.org/officeDocument/2006/relationships/hyperlink" Target="https://research.tees.ac.uk/ws/files/6483215/124493.pdf" TargetMode="External"/><Relationship Id="rId24" Type="http://schemas.openxmlformats.org/officeDocument/2006/relationships/hyperlink" Target="https://pubmed.ncbi.nlm.nih.gov/35820006/" TargetMode="External"/><Relationship Id="rId25" Type="http://schemas.openxmlformats.org/officeDocument/2006/relationships/hyperlink" Target="https://www.cl.cam.ac.uk/~hg410/ROMAN2023-ACLessons4HRI.pdf" TargetMode="External"/><Relationship Id="rId26" Type="http://schemas.openxmlformats.org/officeDocument/2006/relationships/hyperlink" Target="https://eur-lex.europa.eu/eli/reg/2024/1689/oj/eng" TargetMode="External"/><Relationship Id="rId27" Type="http://schemas.openxmlformats.org/officeDocument/2006/relationships/hyperlink" Target="https://digital-strategy.ec.europa.eu/pl/library/ethics-guidelines-trustworthy-ai" TargetMode="External"/><Relationship Id="rId28" Type="http://schemas.openxmlformats.org/officeDocument/2006/relationships/image" Target="media/image3.png"/><Relationship Id="rId29" Type="http://schemas.openxmlformats.org/officeDocument/2006/relationships/hyperlink" Target="https://www.researchgate.net/publication/355352204_CASIE_-_Computing_affect_and_social_intelligence_for_healthcare_in_an_ethical_and_trustworthy_manner/fulltext/616b70cdb90c51266254f047/CASIE-Computing-affect-and-social-intelligence-for-healthcare-in-an-ethical-and-trustworthy-manner.pdf?_rtd=e30%3D" TargetMode="External"/><Relationship Id="rId30" Type="http://schemas.openxmlformats.org/officeDocument/2006/relationships/hyperlink" Target="https://doi.org/10.1515/pjbr-2021-0026" TargetMode="External"/><Relationship Id="rId31" Type="http://schemas.openxmlformats.org/officeDocument/2006/relationships/hyperlink" Target="https://doi.org/10.1007/978-3-642-23974-8_44" TargetMode="External"/><Relationship Id="rId32" Type="http://schemas.openxmlformats.org/officeDocument/2006/relationships/hyperlink" Target="https://doi.org/10.1007/978-3-642-24571-8_18" TargetMode="External"/><Relationship Id="rId33" Type="http://schemas.openxmlformats.org/officeDocument/2006/relationships/hyperlink" Target="https://doi.org/10.1016/j.entcom.2011.12.002" TargetMode="External"/><Relationship Id="rId34" Type="http://schemas.openxmlformats.org/officeDocument/2006/relationships/hyperlink" Target="https://doi.org/10.1016/j.cogsys.2004.02.002" TargetMode="External"/><Relationship Id="rId35" Type="http://schemas.openxmlformats.org/officeDocument/2006/relationships/hyperlink" Target="https://doi.org/10.1214/09-SS057" TargetMode="External"/><Relationship Id="rId36" Type="http://schemas.openxmlformats.org/officeDocument/2006/relationships/hyperlink" Target="https://doi.org/10.48550/arXiv.1803.10122" TargetMode="External"/><Relationship Id="rId37" Type="http://schemas.openxmlformats.org/officeDocument/2006/relationships/hyperlink" Target="https://doi.org/10.1017/nlp.2024.57" TargetMode="External"/><Relationship Id="rId38" Type="http://schemas.openxmlformats.org/officeDocument/2006/relationships/hyperlink" Target="https://doi.org/10.1109/CVPR.2017.212" TargetMode="External"/><Relationship Id="rId39" Type="http://schemas.openxmlformats.org/officeDocument/2006/relationships/footer" Target="footer1.xml"/><Relationship Id="rId40" Type="http://schemas.openxmlformats.org/officeDocument/2006/relationships/footer" Target="footer2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LibreOffice/25.8.6.2$Linux_X86_64 LibreOffice_project/580$Build-2</Application>
  <AppVersion>15.0000</AppVersion>
  <Pages>10</Pages>
  <Words>3332</Words>
  <Characters>22570</Characters>
  <CharactersWithSpaces>25690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2026-04-22T09:52:35Z</dcterms:created>
  <dc:creator/>
  <dc:description/>
  <dc:language>pl</dc:language>
  <cp:lastModifiedBy>Mateusz Pomianek</cp:lastModifiedBy>
  <dcterms:modified xsi:type="dcterms:W3CDTF">2026-04-22T12:59:08Z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