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315652" w14:textId="77777777" w:rsidR="00C826F4" w:rsidRPr="004C1B78" w:rsidRDefault="00C54218">
      <w:pPr>
        <w:spacing w:line="240" w:lineRule="auto"/>
        <w:jc w:val="center"/>
        <w:rPr>
          <w:rFonts w:ascii="Times New Roman" w:hAnsi="Times New Roman" w:cs="Times New Roman"/>
          <w:b/>
          <w:bCs/>
          <w:sz w:val="28"/>
          <w:szCs w:val="30"/>
        </w:rPr>
      </w:pPr>
      <w:r w:rsidRPr="004C1B78">
        <w:rPr>
          <w:rFonts w:ascii="Times New Roman" w:eastAsia="Times New Roman" w:hAnsi="Times New Roman" w:cs="Times New Roman"/>
          <w:b/>
          <w:bCs/>
          <w:sz w:val="28"/>
          <w:szCs w:val="30"/>
        </w:rPr>
        <w:t>S4D-TAM: Semantic 4D Token Attention Map for Autonomous Navigation of Unmanned Aerial Vehicles in GNSS-Degraded Environments</w:t>
      </w:r>
    </w:p>
    <w:p w14:paraId="08315653" w14:textId="77777777" w:rsidR="00C826F4" w:rsidRDefault="00C54218">
      <w:pPr>
        <w:spacing w:after="80" w:line="240" w:lineRule="auto"/>
        <w:jc w:val="center"/>
        <w:rPr>
          <w:rFonts w:ascii="Times New Roman" w:hAnsi="Times New Roman" w:cs="Times New Roman"/>
          <w:b/>
          <w:bCs/>
          <w:sz w:val="24"/>
          <w:szCs w:val="24"/>
        </w:rPr>
      </w:pPr>
      <w:r>
        <w:rPr>
          <w:rFonts w:ascii="Times New Roman" w:eastAsia="Times New Roman" w:hAnsi="Times New Roman" w:cs="Times New Roman"/>
          <w:b/>
          <w:bCs/>
          <w:sz w:val="24"/>
          <w:szCs w:val="24"/>
        </w:rPr>
        <w:t>Dr. Mateusz Pomianek</w:t>
      </w:r>
    </w:p>
    <w:p w14:paraId="08315654" w14:textId="185A5E2D" w:rsidR="00C826F4" w:rsidRDefault="00C54218">
      <w:pPr>
        <w:spacing w:after="60" w:line="240" w:lineRule="auto"/>
        <w:jc w:val="center"/>
        <w:rPr>
          <w:rFonts w:ascii="Times New Roman" w:hAnsi="Times New Roman" w:cs="Times New Roman"/>
          <w:bCs/>
          <w:i/>
        </w:rPr>
      </w:pPr>
      <w:r>
        <w:rPr>
          <w:rFonts w:ascii="Times New Roman" w:eastAsia="Times New Roman" w:hAnsi="Times New Roman" w:cs="Times New Roman"/>
          <w:i/>
          <w:iCs/>
        </w:rPr>
        <w:t xml:space="preserve">Department of </w:t>
      </w:r>
      <w:r w:rsidR="00E32465" w:rsidRPr="00E32465">
        <w:rPr>
          <w:rFonts w:ascii="Times New Roman" w:eastAsia="Times New Roman" w:hAnsi="Times New Roman" w:cs="Times New Roman"/>
          <w:i/>
          <w:iCs/>
        </w:rPr>
        <w:t>Computer and Control Engineering</w:t>
      </w:r>
      <w:r w:rsidR="00CD6871">
        <w:rPr>
          <w:rFonts w:ascii="Times New Roman" w:eastAsia="Times New Roman" w:hAnsi="Times New Roman" w:cs="Times New Roman"/>
          <w:i/>
          <w:iCs/>
        </w:rPr>
        <w:t>,</w:t>
      </w:r>
    </w:p>
    <w:p w14:paraId="08315657" w14:textId="0451D880" w:rsidR="00C826F4" w:rsidRPr="00887F0C" w:rsidRDefault="00C54218" w:rsidP="00887F0C">
      <w:pPr>
        <w:spacing w:after="60" w:line="240" w:lineRule="auto"/>
        <w:jc w:val="center"/>
        <w:rPr>
          <w:rFonts w:ascii="Times New Roman" w:hAnsi="Times New Roman" w:cs="Times New Roman"/>
          <w:bCs/>
          <w:i/>
          <w:lang w:val="pl-PL"/>
        </w:rPr>
      </w:pPr>
      <w:r w:rsidRPr="00EF1A2A">
        <w:rPr>
          <w:rFonts w:ascii="Times New Roman" w:eastAsia="Times New Roman" w:hAnsi="Times New Roman" w:cs="Times New Roman"/>
          <w:i/>
          <w:iCs/>
          <w:lang w:val="pl-PL"/>
        </w:rPr>
        <w:t>R</w:t>
      </w:r>
      <w:r w:rsidR="00887F0C">
        <w:rPr>
          <w:rFonts w:ascii="Times New Roman" w:eastAsia="Times New Roman" w:hAnsi="Times New Roman" w:cs="Times New Roman"/>
          <w:i/>
          <w:iCs/>
          <w:lang w:val="pl-PL"/>
        </w:rPr>
        <w:t>zeszów University of Technology</w:t>
      </w:r>
      <w:r w:rsidRPr="00EF1A2A">
        <w:rPr>
          <w:rFonts w:ascii="Times New Roman" w:eastAsia="Times New Roman" w:hAnsi="Times New Roman" w:cs="Times New Roman"/>
          <w:i/>
          <w:iCs/>
          <w:lang w:val="pl-PL"/>
        </w:rPr>
        <w:t>, Poland</w:t>
      </w:r>
      <w:r w:rsidR="00887F0C">
        <w:rPr>
          <w:rFonts w:ascii="Times New Roman" w:hAnsi="Times New Roman" w:cs="Times New Roman"/>
          <w:bCs/>
          <w:i/>
          <w:lang w:val="pl-PL"/>
        </w:rPr>
        <w:t xml:space="preserve">, </w:t>
      </w:r>
      <w:r>
        <w:rPr>
          <w:rFonts w:ascii="Times New Roman" w:eastAsia="Times New Roman" w:hAnsi="Times New Roman" w:cs="Times New Roman"/>
          <w:i/>
          <w:iCs/>
        </w:rPr>
        <w:t>m</w:t>
      </w:r>
      <w:r w:rsidR="00887F0C">
        <w:rPr>
          <w:rFonts w:ascii="Times New Roman" w:eastAsia="Times New Roman" w:hAnsi="Times New Roman" w:cs="Times New Roman"/>
          <w:i/>
          <w:iCs/>
        </w:rPr>
        <w:t>.</w:t>
      </w:r>
      <w:r>
        <w:rPr>
          <w:rFonts w:ascii="Times New Roman" w:eastAsia="Times New Roman" w:hAnsi="Times New Roman" w:cs="Times New Roman"/>
          <w:i/>
          <w:iCs/>
        </w:rPr>
        <w:t>pomianek@prz.edu.pl</w:t>
      </w:r>
    </w:p>
    <w:p w14:paraId="08315658" w14:textId="77777777" w:rsidR="00C826F4" w:rsidRDefault="00C54218">
      <w:pPr>
        <w:spacing w:before="280" w:after="140" w:line="240" w:lineRule="auto"/>
        <w:rPr>
          <w:rFonts w:ascii="Times New Roman" w:hAnsi="Times New Roman" w:cs="Times New Roman"/>
          <w:b/>
          <w:bCs/>
          <w:sz w:val="28"/>
          <w:szCs w:val="28"/>
        </w:rPr>
      </w:pPr>
      <w:r>
        <w:rPr>
          <w:rFonts w:ascii="Times New Roman" w:eastAsia="Times New Roman" w:hAnsi="Times New Roman" w:cs="Times New Roman"/>
          <w:b/>
          <w:bCs/>
          <w:sz w:val="28"/>
          <w:szCs w:val="28"/>
        </w:rPr>
        <w:t>Abstract</w:t>
      </w:r>
    </w:p>
    <w:p w14:paraId="08315659" w14:textId="1D55DC32" w:rsidR="00C826F4" w:rsidRPr="00C54218" w:rsidRDefault="00C54218">
      <w:pPr>
        <w:spacing w:after="120" w:line="240" w:lineRule="auto"/>
        <w:jc w:val="both"/>
        <w:rPr>
          <w:rFonts w:ascii="Times New Roman" w:eastAsia="Times New Roman" w:hAnsi="Times New Roman" w:cs="Times New Roman"/>
          <w:sz w:val="24"/>
          <w:szCs w:val="24"/>
        </w:rPr>
      </w:pPr>
      <w:r>
        <w:t>We propose S4D-TAM (Semantic 4D Token Attention Map), a novel navigation system architecture for unmanned aerial vehicles (UAVs) operating in GNSS-degraded environments. Unlike classical methods that repeatedly analyze raw image streams, the proposed system transforms sensor data (RGB, thermal, IMU, GNSS) into a persistent map of semantic 4D tokens. Each token represents a spatial fragment or object instance and contains its geometry, semantic embedding, dynamics, observation history, and calibrated uncertainty. A hierarchical spatiotemporal transformer updates the world model, aligns it with reference maps, and forecasts occupancy in partially observable regions. The predictive map is then used by a planner that accounts for risk, energy cost, and information value of future observations. The proposed representation aims to reduce image processing redundancy, increase robustness to GNSS degradation, and enable decision-making based on persistent spatial memory rather than solely on the current sensor field of view. The article presents the system concept, literature review, mathematical description, an executable auditable reference implementation, and a two-level experimental methodology separating external system comparison from internal mechanism ablation. Confirmatory experimental results are not yet reported.</w:t>
      </w:r>
    </w:p>
    <w:p w14:paraId="0831565A" w14:textId="77777777" w:rsidR="00C826F4" w:rsidRDefault="00C54218">
      <w:pPr>
        <w:spacing w:after="120" w:line="240" w:lineRule="auto"/>
        <w:jc w:val="both"/>
        <w:rPr>
          <w:rFonts w:ascii="Times New Roman" w:hAnsi="Times New Roman" w:cs="Times New Roman"/>
          <w:sz w:val="24"/>
          <w:szCs w:val="24"/>
        </w:rPr>
      </w:pPr>
      <w:r w:rsidRPr="00E02DAA">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unmanned aerial vehicles, semantic SLAM, 4D tokens, spatiotemporal transformer, autonomous navigation, GNSS degradation, world model, occupancy forecasting</w:t>
      </w:r>
    </w:p>
    <w:p w14:paraId="0831565B" w14:textId="77777777" w:rsidR="00C826F4" w:rsidRDefault="00C54218">
      <w:pPr>
        <w:spacing w:before="280" w:after="140" w:line="240" w:lineRule="auto"/>
        <w:rPr>
          <w:rFonts w:ascii="Times New Roman" w:hAnsi="Times New Roman" w:cs="Times New Roman"/>
          <w:b/>
          <w:bCs/>
          <w:sz w:val="28"/>
          <w:szCs w:val="28"/>
        </w:rPr>
      </w:pPr>
      <w:r>
        <w:rPr>
          <w:rFonts w:ascii="Times New Roman" w:eastAsia="Times New Roman" w:hAnsi="Times New Roman" w:cs="Times New Roman"/>
          <w:b/>
          <w:bCs/>
          <w:sz w:val="28"/>
          <w:szCs w:val="28"/>
        </w:rPr>
        <w:t>Table of Contents</w:t>
      </w:r>
    </w:p>
    <w:p w14:paraId="0831565C" w14:textId="77777777" w:rsidR="00C826F4" w:rsidRDefault="00C54218">
      <w:pPr>
        <w:spacing w:after="40" w:line="240" w:lineRule="auto"/>
        <w:rPr>
          <w:rFonts w:ascii="Times New Roman" w:hAnsi="Times New Roman" w:cs="Times New Roman"/>
        </w:rPr>
      </w:pPr>
      <w:r>
        <w:rPr>
          <w:rFonts w:ascii="Times New Roman" w:eastAsia="Times New Roman" w:hAnsi="Times New Roman" w:cs="Times New Roman"/>
        </w:rPr>
        <w:t>1. Introduction</w:t>
      </w:r>
    </w:p>
    <w:p w14:paraId="0831565D" w14:textId="77777777" w:rsidR="00C826F4" w:rsidRDefault="00C54218">
      <w:pPr>
        <w:spacing w:after="40" w:line="240" w:lineRule="auto"/>
        <w:rPr>
          <w:rFonts w:ascii="Times New Roman" w:hAnsi="Times New Roman" w:cs="Times New Roman"/>
        </w:rPr>
      </w:pPr>
      <w:r>
        <w:rPr>
          <w:rFonts w:ascii="Times New Roman" w:eastAsia="Times New Roman" w:hAnsi="Times New Roman" w:cs="Times New Roman"/>
        </w:rPr>
        <w:t>2. Literature Review</w:t>
      </w:r>
    </w:p>
    <w:p w14:paraId="0831565E"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2.1. Semantic SLAM for UAVs</w:t>
      </w:r>
    </w:p>
    <w:p w14:paraId="0831565F"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2.2. Point Cloud Transformers</w:t>
      </w:r>
    </w:p>
    <w:p w14:paraId="08315660"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2.3. 4D Occupancy Forecasting</w:t>
      </w:r>
    </w:p>
    <w:p w14:paraId="08315661"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2.4. World Models and Planning</w:t>
      </w:r>
    </w:p>
    <w:p w14:paraId="08315662"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2.5. UAV Navigation in GNSS-Denied Environments</w:t>
      </w:r>
    </w:p>
    <w:p w14:paraId="08315663" w14:textId="77777777" w:rsidR="00C826F4" w:rsidRDefault="00C54218">
      <w:pPr>
        <w:spacing w:after="40" w:line="240" w:lineRule="auto"/>
        <w:rPr>
          <w:rFonts w:ascii="Times New Roman" w:hAnsi="Times New Roman" w:cs="Times New Roman"/>
        </w:rPr>
      </w:pPr>
      <w:r>
        <w:rPr>
          <w:rFonts w:ascii="Times New Roman" w:eastAsia="Times New Roman" w:hAnsi="Times New Roman" w:cs="Times New Roman"/>
        </w:rPr>
        <w:t>3. Research Gap and Motivation</w:t>
      </w:r>
    </w:p>
    <w:p w14:paraId="08315664" w14:textId="77777777" w:rsidR="00C826F4" w:rsidRDefault="00C54218">
      <w:pPr>
        <w:spacing w:after="40" w:line="240" w:lineRule="auto"/>
        <w:rPr>
          <w:rFonts w:ascii="Times New Roman" w:hAnsi="Times New Roman" w:cs="Times New Roman"/>
        </w:rPr>
      </w:pPr>
      <w:r>
        <w:rPr>
          <w:rFonts w:ascii="Times New Roman" w:eastAsia="Times New Roman" w:hAnsi="Times New Roman" w:cs="Times New Roman"/>
        </w:rPr>
        <w:t>4. S4D-TAM System Concept</w:t>
      </w:r>
    </w:p>
    <w:p w14:paraId="08315665"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4.1. Definition of the 4D Token</w:t>
      </w:r>
    </w:p>
    <w:p w14:paraId="08315666"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4.2. System Architecture</w:t>
      </w:r>
    </w:p>
    <w:p>
      <w:pPr>
        <w:ind w:left="360"/>
      </w:pPr>
      <w:r>
        <w:rPr>
          <w:rFonts w:ascii="Times New Roman" w:hAnsi="Times New Roman"/>
        </w:rPr>
        <w:t>4.3. Current Reference Implementation and Target Research Modules</w:t>
      </w:r>
    </w:p>
    <w:p w14:paraId="08315667" w14:textId="77777777" w:rsidR="00C826F4" w:rsidRDefault="00C54218">
      <w:pPr>
        <w:spacing w:after="40" w:line="240" w:lineRule="auto"/>
        <w:rPr>
          <w:rFonts w:ascii="Times New Roman" w:hAnsi="Times New Roman" w:cs="Times New Roman"/>
        </w:rPr>
      </w:pPr>
      <w:r>
        <w:rPr>
          <w:rFonts w:ascii="Times New Roman" w:eastAsia="Times New Roman" w:hAnsi="Times New Roman" w:cs="Times New Roman"/>
        </w:rPr>
        <w:t>5. Mathematical Description</w:t>
      </w:r>
    </w:p>
    <w:p w14:paraId="08315668"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5.1. Sensor Layer and Data Fusion</w:t>
      </w:r>
    </w:p>
    <w:p w14:paraId="08315669"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5.2. SLAM Front-End</w:t>
      </w:r>
    </w:p>
    <w:p w14:paraId="0831566A"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5.3. Point Cloud Tokenization</w:t>
      </w:r>
    </w:p>
    <w:p w14:paraId="0831566B"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5.4. Spatiotemporal Attention Mechanism</w:t>
      </w:r>
    </w:p>
    <w:p w14:paraId="0831566C"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5.5. Object Memory and Semantics</w:t>
      </w:r>
    </w:p>
    <w:p w14:paraId="0831566D"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lastRenderedPageBreak/>
        <w:t>5.6. Reference Map Alignment</w:t>
      </w:r>
    </w:p>
    <w:p w14:paraId="0831566E"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5.7. Occupancy and Risk Forecasting</w:t>
      </w:r>
    </w:p>
    <w:p w14:paraId="0831566F"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5.8. Trajectory Planning</w:t>
      </w:r>
    </w:p>
    <w:p w14:paraId="08315670"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5.9. Active Perception</w:t>
      </w:r>
    </w:p>
    <w:p w14:paraId="08315671"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5.10. Metrological Error Analysis of the S4D-TAM System</w:t>
      </w:r>
    </w:p>
    <w:p w14:paraId="08315672"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5.11. Extended Semantic Token Model</w:t>
      </w:r>
    </w:p>
    <w:p w14:paraId="08315673"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5.12. Bayesian Inference about Future Scene States</w:t>
      </w:r>
    </w:p>
    <w:p w14:paraId="08315674"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5.13. Bayesian Risk Estimation and Trajectory Planning</w:t>
      </w:r>
    </w:p>
    <w:p w14:paraId="08315675"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5.14. Adaptive World Model with Hierarchical Resolution</w:t>
      </w:r>
    </w:p>
    <w:p w14:paraId="08315676"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5.15. Computational Resource Management and Bottleneck Elimination</w:t>
      </w:r>
    </w:p>
    <w:p w14:paraId="08315677" w14:textId="77777777" w:rsidR="00C826F4" w:rsidRDefault="00C54218">
      <w:pPr>
        <w:spacing w:after="40" w:line="240" w:lineRule="auto"/>
        <w:rPr>
          <w:rFonts w:ascii="Times New Roman" w:hAnsi="Times New Roman" w:cs="Times New Roman"/>
        </w:rPr>
      </w:pPr>
      <w:r>
        <w:rPr>
          <w:rFonts w:ascii="Times New Roman" w:eastAsia="Times New Roman" w:hAnsi="Times New Roman" w:cs="Times New Roman"/>
        </w:rPr>
        <w:t>6. Research Hypotheses</w:t>
      </w:r>
    </w:p>
    <w:p w14:paraId="08315678" w14:textId="77777777" w:rsidR="00C826F4" w:rsidRDefault="00C54218">
      <w:pPr>
        <w:spacing w:after="40" w:line="240" w:lineRule="auto"/>
        <w:rPr>
          <w:rFonts w:ascii="Times New Roman" w:hAnsi="Times New Roman" w:cs="Times New Roman"/>
        </w:rPr>
      </w:pPr>
      <w:r>
        <w:rPr>
          <w:rFonts w:ascii="Times New Roman" w:eastAsia="Times New Roman" w:hAnsi="Times New Roman" w:cs="Times New Roman"/>
        </w:rPr>
        <w:t>7. Proposed Experimental Validation</w:t>
      </w:r>
    </w:p>
    <w:p w14:paraId="08315679"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7.1. Datasets</w:t>
      </w:r>
    </w:p>
    <w:p w14:paraId="0831567A" w14:textId="77777777" w:rsidR="00C826F4" w:rsidRDefault="00C54218">
      <w:pPr>
        <w:spacing w:after="40" w:line="240" w:lineRule="auto"/>
        <w:ind w:left="360"/>
        <w:rPr>
          <w:rFonts w:ascii="Times New Roman" w:hAnsi="Times New Roman" w:cs="Times New Roman"/>
        </w:rPr>
      </w:pPr>
      <w:r>
        <w:t>7.2. Two-Level Comparison Design</w:t>
      </w:r>
    </w:p>
    <w:p>
      <w:pPr>
        <w:ind w:left="720"/>
      </w:pPr>
      <w:r>
        <w:rPr>
          <w:rFonts w:ascii="Times New Roman" w:hAnsi="Times New Roman"/>
        </w:rPr>
        <w:t>7.2.1. External System Comparison</w:t>
      </w:r>
    </w:p>
    <w:p>
      <w:pPr>
        <w:ind w:left="720"/>
      </w:pPr>
      <w:r>
        <w:rPr>
          <w:rFonts w:ascii="Times New Roman" w:hAnsi="Times New Roman"/>
        </w:rPr>
        <w:t>7.2.2. Internal Mechanism Study</w:t>
      </w:r>
    </w:p>
    <w:p w14:paraId="0831567B" w14:textId="77777777" w:rsidR="00C826F4" w:rsidRDefault="00C54218">
      <w:pPr>
        <w:spacing w:after="40" w:line="240" w:lineRule="auto"/>
        <w:ind w:left="360"/>
        <w:rPr>
          <w:rFonts w:ascii="Times New Roman" w:hAnsi="Times New Roman" w:cs="Times New Roman"/>
        </w:rPr>
      </w:pPr>
      <w:r>
        <w:rPr>
          <w:rFonts w:ascii="Times New Roman" w:eastAsia="Times New Roman" w:hAnsi="Times New Roman" w:cs="Times New Roman"/>
        </w:rPr>
        <w:t>7.3. Metrics</w:t>
      </w:r>
    </w:p>
    <w:p>
      <w:pPr>
        <w:ind w:left="360"/>
      </w:pPr>
      <w:r>
        <w:rPr>
          <w:rFonts w:ascii="Times New Roman" w:hAnsi="Times New Roman"/>
        </w:rPr>
        <w:t>7.4. Confirmatory Protocol and Statistical Analysis</w:t>
      </w:r>
    </w:p>
    <w:p w14:paraId="0831567C" w14:textId="77777777" w:rsidR="00C826F4" w:rsidRDefault="00C54218">
      <w:pPr>
        <w:spacing w:after="40" w:line="240" w:lineRule="auto"/>
        <w:rPr>
          <w:rFonts w:ascii="Times New Roman" w:hAnsi="Times New Roman" w:cs="Times New Roman"/>
        </w:rPr>
      </w:pPr>
      <w:r>
        <w:rPr>
          <w:rFonts w:ascii="Times New Roman" w:eastAsia="Times New Roman" w:hAnsi="Times New Roman" w:cs="Times New Roman"/>
        </w:rPr>
        <w:t>8. Discussion</w:t>
      </w:r>
    </w:p>
    <w:p w14:paraId="0831567D" w14:textId="77777777" w:rsidR="00C826F4" w:rsidRDefault="00C54218">
      <w:pPr>
        <w:spacing w:after="40" w:line="240" w:lineRule="auto"/>
        <w:rPr>
          <w:rFonts w:ascii="Times New Roman" w:hAnsi="Times New Roman" w:cs="Times New Roman"/>
        </w:rPr>
      </w:pPr>
      <w:r>
        <w:rPr>
          <w:rFonts w:ascii="Times New Roman" w:eastAsia="Times New Roman" w:hAnsi="Times New Roman" w:cs="Times New Roman"/>
        </w:rPr>
        <w:t>9. Conclusions and Future Research Directions</w:t>
      </w:r>
    </w:p>
    <w:p w14:paraId="0831567E" w14:textId="77777777" w:rsidR="00C826F4" w:rsidRDefault="00C54218">
      <w:pPr>
        <w:spacing w:before="280" w:after="140" w:line="240" w:lineRule="auto"/>
        <w:rPr>
          <w:rFonts w:ascii="Times New Roman" w:hAnsi="Times New Roman" w:cs="Times New Roman"/>
          <w:b/>
          <w:bCs/>
          <w:sz w:val="28"/>
          <w:szCs w:val="28"/>
        </w:rPr>
      </w:pPr>
      <w:r>
        <w:rPr>
          <w:rFonts w:ascii="Times New Roman" w:eastAsia="Times New Roman" w:hAnsi="Times New Roman" w:cs="Times New Roman"/>
          <w:b/>
          <w:bCs/>
          <w:sz w:val="28"/>
          <w:szCs w:val="28"/>
        </w:rPr>
        <w:t>1. Introduction</w:t>
      </w:r>
    </w:p>
    <w:p w14:paraId="0831567F"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Autonomous navigation of unmanned aerial vehicles (UAVs) in environments with limited GNSS signal availability is one of the central challenges of modern mobile robotics. Satellite signal degradation can occur in dense urban environments, under heavy forest canopy, in tunnels and canyons, and under deliberate jamming or spoofing conditions [19], [20], [47], [48]. In such scenarios, a UAV must rely on alternative information sources: RGB and thermal cameras, inertial measurement units (IMU), altimeters, LiDARs, and reference maps [26], [53], [54], [57].</w:t>
      </w:r>
    </w:p>
    <w:p w14:paraId="08315680" w14:textId="231F768B"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Contemporary autonomous navigation systems perform pose estimation, map construction, semantic segmentation, object recognition, occupancy forecasting, and trajectory planning as separate, loosely coupled modules [9], [31]. This approach leads to computational redundancy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same images are repeatedly analyzed by different modules, and semantic and geometric information is not efficiently shared between perception and planning stages [12], [40].</w:t>
      </w:r>
    </w:p>
    <w:p w14:paraId="08315681" w14:textId="4D017C2A"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In this work, we propose S4D-TAM (Semantic 4D Token Attention Map), a novel navigation system architecture in which the fundamental environment representation is a persistent, semantic, continuously updated map of 4D tokens derived from the SLAM point cloud. RGB and thermal camera data are used primarily to update the geometry and semantic meaning of points and objects stored in the map. Planning, risk assessment, and decision-making modules do not repeatedly analyze the same images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they operate on a compressed spatial representation containing geometry, semantics, dynamics, observation history, and uncertainty [1].</w:t>
      </w:r>
    </w:p>
    <w:p w14:paraId="08315682"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key scientific novelty of the proposed system is the introduction of a persistent memory map composed of semantic 4D tokens, which serves as a unified representation for localization, environment understanding, future scene state prediction, risk estimation, and UAV trajectory planning. The system remembers not only where an object was located, but also when and how many times it was observed, from which sensors the information originated, how reliable its position and recognition are, whether the object is static, dynamic, or periodically displaced, what spatial relations hold between it and other terrain elements, what invisible areas may be hidden behind it, and what significance the object has for flight safety and planning [1].</w:t>
      </w:r>
    </w:p>
    <w:p w14:paraId="08315683" w14:textId="77777777" w:rsidR="00C826F4" w:rsidRDefault="00C54218">
      <w:pPr>
        <w:spacing w:after="120" w:line="240" w:lineRule="auto"/>
        <w:jc w:val="both"/>
        <w:rPr>
          <w:rFonts w:ascii="Times New Roman" w:hAnsi="Times New Roman" w:cs="Times New Roman"/>
          <w:sz w:val="24"/>
          <w:szCs w:val="24"/>
        </w:rPr>
      </w:pPr>
      <w:r>
        <w:t>The article combines a conceptual system architecture with an executable research reference and a reproducible benchmark framework. The current repository implements token state and lifecycle management, proposal and association, multimodal encoder interfaces, attention-related processing, uncertainty calibration utilities, reference-map and topological support, causal occupancy and motion forecasting, deterministic risk-aware planning, telemetry, and the integrated S4DTAMReference execution path. The final learned hierarchical model, full public-dataset reproduction, and confirmatory results remain under development. Section 7 therefore specifies a prospective two-level validation protocol rather than reporting final performance results.</w:t>
      </w:r>
    </w:p>
    <w:p w14:paraId="08315684" w14:textId="77777777" w:rsidR="00C826F4" w:rsidRDefault="00C54218">
      <w:pPr>
        <w:spacing w:before="280" w:after="140" w:line="240" w:lineRule="auto"/>
        <w:rPr>
          <w:rFonts w:ascii="Times New Roman" w:hAnsi="Times New Roman" w:cs="Times New Roman"/>
          <w:b/>
          <w:bCs/>
          <w:sz w:val="28"/>
          <w:szCs w:val="28"/>
        </w:rPr>
      </w:pPr>
      <w:r>
        <w:rPr>
          <w:rFonts w:ascii="Times New Roman" w:eastAsia="Times New Roman" w:hAnsi="Times New Roman" w:cs="Times New Roman"/>
          <w:b/>
          <w:bCs/>
          <w:sz w:val="28"/>
          <w:szCs w:val="28"/>
        </w:rPr>
        <w:t>2. Literature Review</w:t>
      </w:r>
    </w:p>
    <w:p w14:paraId="08315685"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2.1. Semantic SLAM for UAVs</w:t>
      </w:r>
    </w:p>
    <w:p w14:paraId="08315686" w14:textId="5D24E7A3"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Semantic SLAM for aerial platforms must be lightweight, robust to GPS signal loss, and capable of producing useful semantic maps for planning and multi-robot coordination. Liu et al. proposed SlideSLAM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sparse, lightweight, decentralized metric-semantic SLAM for multi-robot navigation that uses an object-based representation and enables efficient map merging in heterogeneous aerial-ground teams [2]. Tao et al. integrated active exploration with metric-semantic SLAM for resource-constrained aerial robots, explicitly balancing exploration and localization uncertainty (including semantic loop closures), which informs S4D-TAM strategies for uncertainty-aware mapping in GNSS-denied environments [3]. Liu et al. presented a real-time semantic SLAM that detects and models tree trunks and planes from LiDAR to constrain poses and enable drift compensation during long-range autonomous flights under forest canopy, directly relevant to drift mitigation and semantic constraints in S4D-TAM trajectory planning [4].</w:t>
      </w:r>
    </w:p>
    <w:p w14:paraId="08315687" w14:textId="3D374BC3"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Tian et al. proposed SAME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ground-air collaboration system that fuses semantic Octree units from a UAV and a UGV into a coherent global map supporting collaborative exploration, offering a semantic octree architecture and fusion approach useful in S4D-TAM for cross-platform mapping and multi-perspective scene reconstruction [6]. Xiang and Su developed a LiDAR-based semantic mapping pipeline that creates hierarchical semantic maps together with occupancy grids for navigation and task adaptation, illustrating practical semantic mapping designs and hierarchical semantics that S4D-TAM can exploit for task-oriented scene understanding [7].</w:t>
      </w:r>
    </w:p>
    <w:p w14:paraId="08315688" w14:textId="0F885606"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Li et al. introduced Hi-SLAM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hierarchical categorical representation within 3D Gaussian Splatting for compact encoding of multiple semantic classes and improved semantic mapping and tracking, directly applicable to S4D-TAM requirements for scalable semantic scene representations [5], [46]. More recent semantic SLAM works employing 3D Gaussian Splatting include SGS-SLAM [27], GS4 [28], SemGauss-SLAM [29], SAP-SLAM [30], DynaGS-SLAM [32], GSFF-SLAM [33], OVO-SLAM [34], MSGS-SLAM [35], NIS-SLAM [36], and NEDS-SLAM [45], demonstrating growing interest in real-time dense semantic representations for SLAM.</w:t>
      </w:r>
    </w:p>
    <w:p w14:paraId="08315689"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2.2. Point Cloud Transformers</w:t>
      </w:r>
    </w:p>
    <w:p w14:paraId="0831568A"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Point cloud transformer architectures and related models provide expressive spatiotemporal encoding of 3D geometry and dynamics, useful for the point-cloud-based perception and temporal prediction modules of S4D-TAM. PCPNet introduces a transformer network for future LiDAR point cloud prediction with a semantic auxiliary training objective for semantically consistent forecasts, directly applicable to S4D-TAM for point-level prediction and semantic alignment [16]. Silva et al. proposed S2TPVFormer, which extends TPV </w:t>
      </w:r>
      <w:r>
        <w:rPr>
          <w:rFonts w:ascii="Times New Roman" w:eastAsia="Times New Roman" w:hAnsi="Times New Roman" w:cs="Times New Roman"/>
          <w:sz w:val="24"/>
          <w:szCs w:val="24"/>
        </w:rPr>
        <w:lastRenderedPageBreak/>
        <w:t>embeddings with hybrid cross-view temporal attention for temporally consistent semantic 3D occupancy, offering a spatiotemporal transformer design that S4D-TAM can adopt for temporally consistent semantic occupancy mapping [12].</w:t>
      </w:r>
    </w:p>
    <w:p w14:paraId="0831568B"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Chen et al. presented AdaOcc, which employs adaptive forward-view transformations and flow modeling (with strong Swin camera backbone models) to improve voxel occupancy and flow prediction, providing practical camera-to-3D transformer strategies applicable in vision-oriented S4D-TAM modules [15]. Work on point cloud forecasting as a proxy for 4D occupancy prediction redefines the problem toward sensor-agnostic spatiotemporal (4D) occupancy forecasting, directing S4D-TAM toward world-oriented 4D occupancy targets for robust temporal modeling [8].</w:t>
      </w:r>
    </w:p>
    <w:p w14:paraId="0831568C"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Further relevant works include Point-BERT [43], which introduces masked point modeling for pre-training point cloud transformers; SAT3D [42] for semantic segmentation of 3D scenes using slot attention; and YOGO [37] and Efficient Point Transformer [38], [39], demonstrating efficient point cloud processing with token representation and relation inference modules relevant to S4D-TAM token compression.</w:t>
      </w:r>
    </w:p>
    <w:p w14:paraId="0831568D"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2.3. 4D Occupancy Forecasting</w:t>
      </w:r>
    </w:p>
    <w:p w14:paraId="0831568E" w14:textId="79C8BD82"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Accurate 4D occupancy forecasting provides the spatiotemporal scene model required by S4D-TAM for risk assessment and trajectory planning. Yu et al. proposed Drive-OccWorld, which adapts a vision-centric 4D world model with memory normalization and action-conditioned decoding for occupancy and flow prediction, and integrates forecasting with end-to-end planning, providing an approach that S4D-TAM can leverage to couple occupancy prediction with trajectory selection [8]. Zheng et al. presented OccWorld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spatiotemporal generative transformer architecture for 4D occupancy prediction, demonstrating effectiveness on driving datasets and offering S4D-TAM a transformer backbone for long-horizon volumetric prediction [3].</w:t>
      </w:r>
    </w:p>
    <w:p w14:paraId="0831568F" w14:textId="1AD8FE29"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Ma et al. provided Cam4DOcc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standardized camera-only benchmark and four baselines for current and future occupancy estimation, providing S4D-TAM with evaluation protocols and camera-only baseline designs for 4D occupancy forecasting [4]. Guo et al. proposed FSF-Net, which uses coarse BEV scene flow plus vector-quantized latent features and U-Net fusion to improve occupancy prediction accuracy, showing a practical pipeline that S4D-TAM can adapt for efficient flow-conditioned occupancy prediction [7].</w:t>
      </w:r>
    </w:p>
    <w:p w14:paraId="08315690"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Wang et al. introduced OccSora, which uses a 4D scene tokenizer and a diffusion transformer for generative long-horizon 4D occupancy simulation conditioned on trajectories, offering S4D-TAM a generative world simulator approach for scenario generation and planning evaluation [10]. Liao et al. proposed I2-World with hierarchical intra/inter tokenizers and an encoder-decoder design for efficient compression and generation of temporally consistent 4D occupancy, presenting a tokenization strategy that S4D-TAM can apply for compact world representations and fast inference [14].</w:t>
      </w:r>
    </w:p>
    <w:p w14:paraId="08315691" w14:textId="0B865F09"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Zheng et al. presented GaussianAD, which represents scenes through semantic 3D Gaussians refined from images, predicts 3D flows for those Gaussians, and integrates forecasting with planning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sparse semantic Gaussian approach is directly relevant to S4D-TAM's lightweight scene abstractions and prediction-based planning [17].</w:t>
      </w:r>
    </w:p>
    <w:p w14:paraId="08315692"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2.4. World Models and Planning</w:t>
      </w:r>
    </w:p>
    <w:p w14:paraId="08315693" w14:textId="14044181"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World models unify perception, prediction, and planni</w:t>
      </w:r>
      <w:r w:rsidR="0087329F">
        <w:rPr>
          <w:rFonts w:ascii="Times New Roman" w:eastAsia="Times New Roman" w:hAnsi="Times New Roman" w:cs="Times New Roman"/>
          <w:sz w:val="24"/>
          <w:szCs w:val="24"/>
        </w:rPr>
        <w:t>ng; for S4D-TAM, they provide a </w:t>
      </w:r>
      <w:r>
        <w:rPr>
          <w:rFonts w:ascii="Times New Roman" w:eastAsia="Times New Roman" w:hAnsi="Times New Roman" w:cs="Times New Roman"/>
          <w:sz w:val="24"/>
          <w:szCs w:val="24"/>
        </w:rPr>
        <w:t xml:space="preserve">mechanism for simulating the future, evaluating trajectories, and incorporating action-conditioned forecasts. Chen et al. proposed DriveWorld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Memory State-Space Model with </w:t>
      </w:r>
      <w:r>
        <w:rPr>
          <w:rFonts w:ascii="Times New Roman" w:eastAsia="Times New Roman" w:hAnsi="Times New Roman" w:cs="Times New Roman"/>
          <w:sz w:val="24"/>
          <w:szCs w:val="24"/>
        </w:rPr>
        <w:lastRenderedPageBreak/>
        <w:t xml:space="preserve">dynamic memory and static scene propagation for spatiotemporal pre-training, demonstrating downstream gains in detection, mapping, tracking, forecasting, and planning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relevant to S4D-TAM pre-training strategies and multi-task world modeling [14], [18].</w:t>
      </w:r>
    </w:p>
    <w:p w14:paraId="08315694" w14:textId="27E11C11"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Zhao et al. used a contrastive world model objective to learn visual representations for drone navigation and visuomotor policy learning, illustrating how world model pre-training can improve navigation policies, which S4D-TAM can leverage for improved visual generalization [13]. Mei et al. proposed IR-WM, which focuses on predicting</w:t>
      </w:r>
      <w:r w:rsidR="00E2060E">
        <w:rPr>
          <w:rFonts w:ascii="Times New Roman" w:eastAsia="Times New Roman" w:hAnsi="Times New Roman" w:cs="Times New Roman"/>
          <w:sz w:val="24"/>
          <w:szCs w:val="24"/>
        </w:rPr>
        <w:t xml:space="preserve"> residual changes relative to a </w:t>
      </w:r>
      <w:r>
        <w:rPr>
          <w:rFonts w:ascii="Times New Roman" w:eastAsia="Times New Roman" w:hAnsi="Times New Roman" w:cs="Times New Roman"/>
          <w:sz w:val="24"/>
          <w:szCs w:val="24"/>
        </w:rPr>
        <w:t>temporal BEV prior and couples forecasting with planning, offering S4D-TAM a compact residual prediction approach that reduces redundant static background modeling and improves planning integration [10].</w:t>
      </w:r>
    </w:p>
    <w:p w14:paraId="08315695" w14:textId="12B67B78"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Cai et al. presented NEUSIS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compositional neuro-symbolic framework combining neuro-symbolic perception, a probabilistic world model with Bayesian filtering, and hierarchical search planning, exemplifying an interpretable and uncertainty-aware world modeling and planning workflow useful for S4D-TAM mission-level decision-making [11]. Liu et al. proposed HPP, which integrates occupancy-conditioned prediction with game-theoretic motion forecasting and planning, demonstrating methods for aligning prediction patterns with planning objectives that S4D-TAM can adopt for improved trajectory selection under uncertainty and interaction [11].</w:t>
      </w:r>
    </w:p>
    <w:p w14:paraId="08315696" w14:textId="441A3BBC"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Feng et al. provided a comprehensive survey of world models for autonomous driving, covering 4D occupancy forecasting, generative simulation, and pl</w:t>
      </w:r>
      <w:r w:rsidR="00CE5A86">
        <w:rPr>
          <w:rFonts w:ascii="Times New Roman" w:eastAsia="Times New Roman" w:hAnsi="Times New Roman" w:cs="Times New Roman"/>
          <w:sz w:val="24"/>
          <w:szCs w:val="24"/>
        </w:rPr>
        <w:t>anning integration, providing a </w:t>
      </w:r>
      <w:r>
        <w:rPr>
          <w:rFonts w:ascii="Times New Roman" w:eastAsia="Times New Roman" w:hAnsi="Times New Roman" w:cs="Times New Roman"/>
          <w:sz w:val="24"/>
          <w:szCs w:val="24"/>
        </w:rPr>
        <w:t>conceptual foundation and taxonomy that can guide S4D-TAM design choices in world model selection, pre-training, and evaluation [9].</w:t>
      </w:r>
    </w:p>
    <w:p w14:paraId="08315697"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2.5. UAV Navigation in GNSS-Denied Environments</w:t>
      </w:r>
    </w:p>
    <w:p w14:paraId="08315698"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Autonomous UAV navigation in GNSS-degraded environments requires multi-sensor fusion, robust SLAM algorithms, and uncertainty-aware planning strategies. Yue et al. proposed an air-ground cooperative UAV autonomous navigation system for GPS-denied environments that combines visual odometry, IMU, and communication with a ground robot for robust localization [19]. Radwan et al. presented UAV-assisted visual SLAM generating reconstructed 3D scene graphs in GPS-denied environments, demonstrating scene graph representations for scene understanding and planning [20].</w:t>
      </w:r>
    </w:p>
    <w:p w14:paraId="08315699"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Nieuwenhuisen et al. developed an autonomous navigation system for micro aerial vehicles in complex GNSS-denied environments, using LiDAR, IMU, and obstacle-aware planning [26], [53]. Yue et al. proposed semantically guided visual autonomous navigation for UAVs that employs semantic segmentation to identify navigable areas and obstacles for improved path planning [54]. Hu et al. provided a review of vision-based UAV localization and optimization-based path planning in GPS-denied environments, synthesizing SLAM, object detection, and trajectory planning methods [57].</w:t>
      </w:r>
    </w:p>
    <w:p w14:paraId="0831569A"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Further relevant works include UAV navigation systems using multi-sensor fusion (IMU, camera, LiDAR, radar) [48], [50], [51], [52], [58], KAZE feature-based SLAM [49], map-aided navigation and dead reckoning [56], and platforms for search-and-rescue missions [55]. Castano presented autonomous UAV navigation in GPS-denied environments using LiDAR point clouds for localization and mapping [59].</w:t>
      </w:r>
    </w:p>
    <w:p w14:paraId="0831569B" w14:textId="77777777" w:rsidR="00C826F4" w:rsidRDefault="00C54218">
      <w:pPr>
        <w:spacing w:before="280" w:after="140" w:line="240" w:lineRule="auto"/>
        <w:rPr>
          <w:rFonts w:ascii="Times New Roman" w:hAnsi="Times New Roman" w:cs="Times New Roman"/>
          <w:b/>
          <w:bCs/>
          <w:sz w:val="28"/>
          <w:szCs w:val="28"/>
        </w:rPr>
      </w:pPr>
      <w:r>
        <w:rPr>
          <w:rFonts w:ascii="Times New Roman" w:eastAsia="Times New Roman" w:hAnsi="Times New Roman" w:cs="Times New Roman"/>
          <w:b/>
          <w:bCs/>
          <w:sz w:val="28"/>
          <w:szCs w:val="28"/>
        </w:rPr>
        <w:t>3. Research Gap and Motivation</w:t>
      </w:r>
    </w:p>
    <w:p w14:paraId="0831569C"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Contemporary solutions perform pose estimation, map construction, semantic segmentation, object recognition, occupancy prediction, trajectory planning, and risk assessment as separate, </w:t>
      </w:r>
      <w:r>
        <w:rPr>
          <w:rFonts w:ascii="Times New Roman" w:eastAsia="Times New Roman" w:hAnsi="Times New Roman" w:cs="Times New Roman"/>
          <w:sz w:val="24"/>
          <w:szCs w:val="24"/>
        </w:rPr>
        <w:lastRenderedPageBreak/>
        <w:t>independent modules [9], [31], [40]. Systems such as LVI-SAM integrate LiDAR, camera, and IMU in a factor graph, while Kimera constructs metric-semantic 3D models. Neither, however, constitutes a complete, learned world model that exploits persistent map tokens for predicting unseen hazards and guiding sensor attention [12].</w:t>
      </w:r>
    </w:p>
    <w:p w14:paraId="0831569D"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OpenScene enables assigning language-image embedding space features to point cloud points. Open3DSG extends such approaches with inter-object relationships, while Octree-Graph combines semantics, occupancy, and graph structure. These solutions, however, primarily address scene understanding rather than closed-loop UAV control operating under limited computational resources and partial observability [6], [7].</w:t>
      </w:r>
    </w:p>
    <w:p w14:paraId="0831569E"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Research on 4D occupancy forecasting has demonstrated that predicting the future state of space can serve as an effective planning foundation [8], [10], [14], [17]. Nevertheless, automotive applications, dense voxel representations, and full sensor sequence processing still dominate. The proposed S4D-TAM system fills the gap between semantic SLAM, 4D world models, and risk-aware planning for UAVs in GNSS-degraded environments.</w:t>
      </w:r>
    </w:p>
    <w:p w14:paraId="0831569F" w14:textId="32673FAA"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key motivation is to transition from a classical geometric map to a predictive spatial memory of the UAV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one that not only records where objects are, but also predicts where they may appear, which areas are unobservable, and what risk they pose to flight safety. This approach can be termed a SLAM-native world model: a world model whose primary representation space is the SLAM map rather than the image stream [1].</w:t>
      </w:r>
    </w:p>
    <w:p w14:paraId="083156A0" w14:textId="77777777" w:rsidR="00C826F4" w:rsidRDefault="00C54218">
      <w:pPr>
        <w:spacing w:before="280" w:after="140" w:line="240" w:lineRule="auto"/>
        <w:rPr>
          <w:rFonts w:ascii="Times New Roman" w:hAnsi="Times New Roman" w:cs="Times New Roman"/>
          <w:b/>
          <w:bCs/>
          <w:sz w:val="28"/>
          <w:szCs w:val="28"/>
        </w:rPr>
      </w:pPr>
      <w:r>
        <w:rPr>
          <w:rFonts w:ascii="Times New Roman" w:eastAsia="Times New Roman" w:hAnsi="Times New Roman" w:cs="Times New Roman"/>
          <w:b/>
          <w:bCs/>
          <w:sz w:val="28"/>
          <w:szCs w:val="28"/>
        </w:rPr>
        <w:t>4. S4D-TAM System Concept</w:t>
      </w:r>
    </w:p>
    <w:p w14:paraId="083156A1"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4.1. Definition of the 4D Token</w:t>
      </w:r>
    </w:p>
    <w:p w14:paraId="083156A2"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A 3D token would represent a spatial fragment or object at a given position:</w:t>
      </w:r>
    </w:p>
    <w:p w14:paraId="083156A3"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tᵢ = [xᵢ, yᵢ, zᵢ]</w:t>
      </w:r>
    </w:p>
    <w:p w14:paraId="083156A4"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It would not, however, capture environmental changes or observation history. In an autonomous system it is essential to distinguish a building, tree, or rock from a person, vehicle, or object that may change its position [1].</w:t>
      </w:r>
    </w:p>
    <w:p w14:paraId="083156A5"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A 4D token should therefore incorporate the time dimension and additional attributes:</w:t>
      </w:r>
    </w:p>
    <w:p w14:paraId="083156A6"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Tᵢ(t) = [pᵢ, Σᵢ, gᵢ, sᵢ, vᵢ, hᵢ, uᵢ, rᵢ]</w:t>
      </w:r>
    </w:p>
    <w:p w14:paraId="083156A7"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the individual elements denote:</w:t>
      </w:r>
    </w:p>
    <w:p w14:paraId="083156A8" w14:textId="72E1C0B0"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1. pᵢ ∈ ℝ³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position in space</w:t>
      </w:r>
    </w:p>
    <w:p w14:paraId="083156A9" w14:textId="6B4CFD1A"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2. Σᵢ ∈ ℝ³ × 3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position covariance matrix (geometric uncertainty)</w:t>
      </w:r>
    </w:p>
    <w:p w14:paraId="083156AA" w14:textId="4B51AA53"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3. gᵢ ∈ ℝdg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geometric descriptor (normals, curvature, local features)</w:t>
      </w:r>
    </w:p>
    <w:p w14:paraId="083156AB" w14:textId="78DE752C"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4. sᵢ ∈ ℝds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semantic embedding (features from a neural network or open-vocabulary model)</w:t>
      </w:r>
    </w:p>
    <w:p w14:paraId="083156AC" w14:textId="49066A03"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5. vᵢ ∈ ℝ³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estimated velocity/motion vector</w:t>
      </w:r>
    </w:p>
    <w:p w14:paraId="083156AD" w14:textId="12335FA4"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6. hᵢ ∈ ℝdh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observation history (observation count, timestamps, sensor sources)</w:t>
      </w:r>
    </w:p>
    <w:p w14:paraId="083156AE" w14:textId="1C37033F"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7. uᵢ ∈ [0,1]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overall token uncertainty (scalar reliability measure)</w:t>
      </w:r>
    </w:p>
    <w:p w14:paraId="083156AF" w14:textId="3FCEAEF6"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8. rᵢ ∈ [0,1]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local risk indicator (hazard probability)</w:t>
      </w:r>
    </w:p>
    <w:p w14:paraId="083156B0"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fourth dimension does not merely add time as an additional coordinate. The token also stores persistence, observation ordering, rate of change, and the predicted future state of the object [1], [17], [22], [23], [25].</w:t>
      </w:r>
    </w:p>
    <w:p w14:paraId="083156B1"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lastRenderedPageBreak/>
        <w:t>4.2. System Architecture</w:t>
      </w:r>
    </w:p>
    <w:p w14:paraId="083156B2"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S4D-TAM system consists of the following layers (Figure 1):</w:t>
      </w:r>
    </w:p>
    <w:p w14:paraId="083156B3" w14:textId="1B63FC02"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Layer 1: Sensor Fusion Integration of data from RGB and thermal cameras, IMU, GNSS, altimeter, optionally LiDAR/radar, and reference ma</w:t>
      </w:r>
      <w:r w:rsidR="00C70220">
        <w:rPr>
          <w:rFonts w:ascii="Times New Roman" w:eastAsia="Times New Roman" w:hAnsi="Times New Roman" w:cs="Times New Roman"/>
          <w:sz w:val="24"/>
          <w:szCs w:val="24"/>
        </w:rPr>
        <w:t>ps. Each measurement receives a </w:t>
      </w:r>
      <w:r>
        <w:rPr>
          <w:rFonts w:ascii="Times New Roman" w:eastAsia="Times New Roman" w:hAnsi="Times New Roman" w:cs="Times New Roman"/>
          <w:sz w:val="24"/>
          <w:szCs w:val="24"/>
        </w:rPr>
        <w:t>timestamp, coordinate frame transformation, and a reliability measure [1].</w:t>
      </w:r>
    </w:p>
    <w:p w14:paraId="083156B4" w14:textId="4A4E2CC1"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Layer 2: SLAM Front-End A lightweight visual front-end for feature tracking, depth estimation, characteristic object detection, and feature vector extractio</w:t>
      </w:r>
      <w:r w:rsidR="0096313D">
        <w:rPr>
          <w:rFonts w:ascii="Times New Roman" w:eastAsia="Times New Roman" w:hAnsi="Times New Roman" w:cs="Times New Roman"/>
          <w:sz w:val="24"/>
          <w:szCs w:val="24"/>
        </w:rPr>
        <w:t>n. The geometric SLAM creates a </w:t>
      </w:r>
      <w:r>
        <w:rPr>
          <w:rFonts w:ascii="Times New Roman" w:eastAsia="Times New Roman" w:hAnsi="Times New Roman" w:cs="Times New Roman"/>
          <w:sz w:val="24"/>
          <w:szCs w:val="24"/>
        </w:rPr>
        <w:t>local point cloud and estimates the UAV trajectory. The factor graph includes visual odometry, inertial, GNSS, altimeter, semantic loop-closure, and reference-map alignment factors [2], [3], [4].</w:t>
      </w:r>
    </w:p>
    <w:p w14:paraId="083156B5"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Layer 3: Tokenization and Hierarchical Representation The full point cloud is divided into superpoints, object segments, adaptive octree cells, local surface patches, and dynamic instances. Each segment is encoded as one or more tokens. The hierarchical representation stores large, regular surfaces at low resolution while edges, obstacles, and dynamic objects are retained at higher resolution [5], [6], [7], [37], [38].</w:t>
      </w:r>
    </w:p>
    <w:p w14:paraId="083156B6"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Layer 4: Spatiotemporal Transformer A hierarchical attention mechanism with local scope (tokens within a given spatial radius, predicted flight corridor, sensor visibility region) and global scope (landmarks, major terrain obstacles, dynamic objects, high-uncertainty areas, elevated-risk locations). The attention weight depends on token features and their mutual positions [8], [12], [14], [16].</w:t>
      </w:r>
    </w:p>
    <w:p w14:paraId="083156B7"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Layer 5: Object Memory and Semantics Upon detecting a characteristic object, the system creates an instance token storing a class probability distribution, observation history, open-vocabulary embedding, and spatial relations with other objects [5], [11], [34].</w:t>
      </w:r>
    </w:p>
    <w:p w14:paraId="083156B8"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Layer 6: Reference Map Alignment The system maintains two representations: the current map Mt built on the fly, and the reference map Mref derived from elevation maps, previous flights, or a simplified terrain point cloud. Alignment uses a three-step procedure: global topological and terrain descriptor matching, landmark token matching, and local geometric optimization [4], [19], [20].</w:t>
      </w:r>
    </w:p>
    <w:p w14:paraId="083156B9"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Layer 7: Occupancy and Risk Forecasting The model predicts future space occupancy and the probability of risk in partially observable areas. The system infers that beyond a building edge lies an unobservable region, a road or terrain trail may lead to an unseen object, a previously detected dynamic object may have moved into a neighboring zone, and terrain topography limits available escape trajectories [8], [10], [14], [17], [21].</w:t>
      </w:r>
    </w:p>
    <w:p w14:paraId="083156BA"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Layer 8: Trajectory Planning The planner minimizes an objective function that accounts for trajectory length, energy cost, collision probability, predicted environmental risk, and the cost arising from map uncertainty. The system selects among: continuing flight, altitude change, heading change, temporary hover in a safe zone, return along the memorized route, limiting non-critical measurements, and increasing observation intensity in high-uncertainty areas [11], [19], [41].</w:t>
      </w:r>
    </w:p>
    <w:p w14:paraId="083156BB"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Layer 9: Active Perception The active perception module selects camera orientation, processing frequency, and sensory modality based on expected uncertainty reduction relative to cost. The IR camera may be activated more frequently in low illumination or in areas where prior data indicates the possible presence of a thermal object. The RGB camera need not be analyzed by the full network at every frame [1], [3], [6].</w:t>
      </w:r>
    </w:p>
    <w:p>
      <w:pPr/>
      <w:r>
        <w:rPr>
          <w:rFonts w:ascii="Times New Roman" w:hAnsi="Times New Roman"/>
          <w:b/>
          <w:sz w:val="24"/>
        </w:rPr>
        <w:t>4.3. Current Reference Implementation and Target Research Modules</w:t>
      </w:r>
    </w:p>
    <w:p>
      <w:pPr/>
      <w:r>
        <w:t>The S4D-TAM concept is accompanied by an executable Python research reference. The implementation is intentionally modular so that individual mechanisms can be tested, replaced, and ablated without changing the evaluator boundary.</w:t>
      </w:r>
    </w:p>
    <w:p>
      <w:pPr/>
      <w:r>
        <w:t>Implemented reference components include persistent token state and lifecycle management (token.py, memory.py), token proposal and data association (proposal.py, association.py), modality-oriented encoder interfaces and masked fusion (encoders/), attention-related processing (attention.py), calibration and uncertainty utilities (calibration.py), reference-map and topological support (reference_map.py, topology.py), causal probabilistic occupancy and motion forecasting (forecasting.py), deterministic risk-, energy-, time-, progress-, and information-aware planning (planner.py), structured event telemetry (telemetry.py), and the integrated S4DTAMReference pipeline (pipeline.py).</w:t>
      </w:r>
    </w:p>
    <w:p>
      <w:pPr/>
      <w:r>
        <w:t>The reference implementation favors causality, deterministic replay, explicit uncertainty, and auditability over maximum throughput. This is advantageous during early numerical validation because an observed difference can be traced to a defined mechanism rather than hidden implementation nondeterminism.</w:t>
      </w:r>
    </w:p>
    <w:p>
      <w:pPr/>
      <w:r>
        <w:t>Several formulations in Sections 5.12-5.15 describe target research extensions rather than already completed backends. These include a learned hierarchical spatiotemporal model, a DBN/particle or equivalent multimodal probabilistic scene-state backend, an MPPI planner backend, adaptive octree/LOD storage, a closed-loop active-perception controller, and a safety-aware real-time scheduler. They are maintained as explicit implementation milestones and must preserve the same causal and evaluator-facing contracts when introduced.</w:t>
      </w:r>
    </w:p>
    <w:p w14:paraId="083156BC" w14:textId="77777777" w:rsidR="00C826F4" w:rsidRDefault="00C54218">
      <w:pPr>
        <w:spacing w:before="280" w:after="140" w:line="240" w:lineRule="auto"/>
        <w:rPr>
          <w:rFonts w:ascii="Times New Roman" w:hAnsi="Times New Roman" w:cs="Times New Roman"/>
          <w:b/>
          <w:bCs/>
          <w:sz w:val="28"/>
          <w:szCs w:val="28"/>
        </w:rPr>
      </w:pPr>
      <w:r>
        <w:rPr>
          <w:rFonts w:ascii="Times New Roman" w:eastAsia="Times New Roman" w:hAnsi="Times New Roman" w:cs="Times New Roman"/>
          <w:b/>
          <w:bCs/>
          <w:sz w:val="28"/>
          <w:szCs w:val="28"/>
        </w:rPr>
        <w:t>5. Mathematical Description</w:t>
      </w:r>
    </w:p>
    <w:p w14:paraId="083156BD"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lastRenderedPageBreak/>
        <w:t>5.1. Sensor Layer and Data Fusion</w:t>
      </w:r>
    </w:p>
    <w:p w14:paraId="083156BE" w14:textId="34B17E26"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system uses a sensor set 𝒮= \s₁, s₂, …, sn\, where each sensor sᵢ provides a measurement zᵢ(t) at time t with uncertainty Σᵢ(t). Data fusion is performed in a factor graph:</w:t>
      </w:r>
    </w:p>
    <w:p w14:paraId="083156BF"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Ftotal = FVO + FIMU + FGNSS + Falt + Fsem + Fref</w:t>
      </w:r>
    </w:p>
    <w:p w14:paraId="083156C0"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w:t>
      </w:r>
    </w:p>
    <w:p w14:paraId="083156C1" w14:textId="5FFF30EE"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FVO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visual odometry factor</w:t>
      </w:r>
    </w:p>
    <w:p w14:paraId="083156C2" w14:textId="4A0DC6BE"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FIMU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inertial factor</w:t>
      </w:r>
    </w:p>
    <w:p w14:paraId="083156C3" w14:textId="23C30253"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FGNSS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GNSS factor (with adaptive weight under degradation)</w:t>
      </w:r>
    </w:p>
    <w:p w14:paraId="083156C4" w14:textId="3A73AB20"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Falt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altimeter factor</w:t>
      </w:r>
    </w:p>
    <w:p w14:paraId="083156C5" w14:textId="6C2D30E3"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Fsem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semantic loop-closure factor</w:t>
      </w:r>
    </w:p>
    <w:p w14:paraId="083156C6" w14:textId="0D6DDE76"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Fref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reference map alignment factor</w:t>
      </w:r>
    </w:p>
    <w:p w14:paraId="083156C7"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Each factor takes the form:</w:t>
      </w:r>
    </w:p>
    <w:p w14:paraId="083156C8"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Fᵢ = ∑ₖ ‖ eᵢk ‖_Σᵢk²</w:t>
      </w:r>
    </w:p>
    <w:p w14:paraId="083156C9"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eᵢk is the residual error and Σᵢk is the covariance matrix [2], [3], [4].</w:t>
      </w:r>
    </w:p>
    <w:p w14:paraId="083156CA"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5.2. SLAM Front-End</w:t>
      </w:r>
    </w:p>
    <w:p w14:paraId="083156CB"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SLAM front-end estimates the UAV trajectory X = \x₁, x₂, …, xT\ and the point map M = \m₁, m₂, …, mN\ by minimizing the cost function:</w:t>
      </w:r>
    </w:p>
    <w:p w14:paraId="083156CC"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X*, M* = arg minX, M ∑ᵢ,j ρ( ‖ zᵢⱼ - h(xᵢ, mⱼ) ‖_Σ_ij² )</w:t>
      </w:r>
    </w:p>
    <w:p w14:paraId="083156CD"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h(xᵢ, mⱼ) is the projection function of point mⱼ onto pose xᵢ, and ρ(·) is a robust function (e.g., Huber) [2], [4].</w:t>
      </w:r>
    </w:p>
    <w:p w14:paraId="083156CE"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reconstruction scale is corrected using:</w:t>
      </w:r>
    </w:p>
    <w:p w14:paraId="083156CF"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s* = arg mins ∑ₖ wₖ ‖ s · dₖVO - dₖref ‖²</w:t>
      </w:r>
    </w:p>
    <w:p w14:paraId="083156D0"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dₖVO is the distance from visual odometry, dₖref is the reference distance (from IMU, altimeter, GNSS, known object sizes, elevation map), and wₖ are reliability weights [1], [4].</w:t>
      </w:r>
    </w:p>
    <w:p w14:paraId="083156D1"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5.3. Point Cloud Tokenization</w:t>
      </w:r>
    </w:p>
    <w:p w14:paraId="083156D2"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point cloud M is divided into K tokens \T₁, T₂, …, TK\ through hierarchical segmentation:</w:t>
      </w:r>
    </w:p>
    <w:p w14:paraId="083156D3"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M = ⋃ᵢ=1K 𝒫ᵢ</w:t>
      </w:r>
    </w:p>
    <w:p w14:paraId="083156D4"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𝒫ᵢ is the set of points assigned to token Tᵢ. Segmentation may use:</w:t>
      </w:r>
    </w:p>
    <w:p w14:paraId="083156D5" w14:textId="41DBC983"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1. Superpoints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grouping of points with similar geometry and semantics [37], [38]</w:t>
      </w:r>
    </w:p>
    <w:p w14:paraId="083156D6" w14:textId="37727586"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2. Object segments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instance detection [5], [34]</w:t>
      </w:r>
    </w:p>
    <w:p w14:paraId="083156D7" w14:textId="2B069162"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3. Adaptive octree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hierarchical space partitioning [6], [7]</w:t>
      </w:r>
    </w:p>
    <w:p w14:paraId="083156D8" w14:textId="563FB18C"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4. Local surface patches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planes, edges, corners [4]</w:t>
      </w:r>
    </w:p>
    <w:p w14:paraId="083156D9" w14:textId="49C6741F"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5. Dynamic instances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moving objects [17], [22]</w:t>
      </w:r>
    </w:p>
    <w:p w14:paraId="083156DA"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For each token Tᵢ the following attributes are computed:</w:t>
      </w:r>
    </w:p>
    <w:p w14:paraId="083156DB"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pᵢ = (1)/(|𝒫ᵢ|) ∑m ∈ 𝒫ᵢ m</w:t>
      </w:r>
    </w:p>
    <w:p w14:paraId="083156DC"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Σᵢ = (1)/(|𝒫ᵢ|) ∑m ∈ 𝒫ᵢ (m - pᵢ)(m - pᵢ)ᵀ</w:t>
      </w:r>
    </w:p>
    <w:p w14:paraId="083156DD"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gᵢ = GeomEncoder(𝒫ᵢ)</w:t>
      </w:r>
    </w:p>
    <w:p w14:paraId="083156DE"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sᵢ = SemEncoder(ℐᵢ, 𝒫ᵢ)</w:t>
      </w:r>
    </w:p>
    <w:p w14:paraId="083156DF"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ℐᵢ is the set of images observing points 𝒫ᵢ [5], [16], [38].</w:t>
      </w:r>
    </w:p>
    <w:p w14:paraId="083156E0"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lastRenderedPageBreak/>
        <w:t>5.4. Spatiotemporal Attention Mechanism</w:t>
      </w:r>
    </w:p>
    <w:p w14:paraId="083156E1"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hierarchical spatiotemporal transformer updates token representations through the attention mechanism:</w:t>
      </w:r>
    </w:p>
    <w:p w14:paraId="083156E2"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Tᵢ' = Tᵢ + Attention(Qᵢ, K, V)</w:t>
      </w:r>
    </w:p>
    <w:p w14:paraId="083156E3"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w:t>
      </w:r>
    </w:p>
    <w:p w14:paraId="083156E4"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Qᵢ = WQ Tᵢ, quad K = WK T, quad V = WV T</w:t>
      </w:r>
    </w:p>
    <w:p w14:paraId="083156E5"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Local attention covers tokens within radius rlocal:</w:t>
      </w:r>
    </w:p>
    <w:p w14:paraId="083156E6"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𝒩ᵢlocal = : ‖pᵢ - pⱼ‖ &lt; rlocal\</w:t>
      </w:r>
    </w:p>
    <w:p w14:paraId="083156E7"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Global attention covers tokens of particular significance:</w:t>
      </w:r>
    </w:p>
    <w:p w14:paraId="083156E8"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𝒩ᵢglobal = : landmark(j) ∨ dynamic(j) ∨ uⱼ &gt; θu ∨ rⱼ &gt; θr\</w:t>
      </w:r>
    </w:p>
    <w:p w14:paraId="083156E9"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attention weight accounts for spatial, temporal, and uncertainty relations:</w:t>
      </w:r>
    </w:p>
    <w:p w14:paraId="083156EA"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αᵢⱼ = (exp( fracQᵢᵀ Kⱼ)/(√dₖ) · φ(pᵢ, pⱼ, tᵢ, tⱼ) · ψ(uᵢ, uⱼ) )∑ₖ ∈ 𝒩ᵢ exp( (Qᵢᵀ Kₖ)/(√dₖ) · φ(pᵢ, pₖ, tᵢ, tₖ) · ψ(uᵢ, uₖ) )</w:t>
      </w:r>
    </w:p>
    <w:p w14:paraId="083156EB"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φ(·) encodes spatial and temporal relations, and ψ(·) limits the influence of uncertain observations [8], [12], [14], [16].</w:t>
      </w:r>
    </w:p>
    <w:p w14:paraId="083156EC"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5.5. Object Memory and Semantics</w:t>
      </w:r>
    </w:p>
    <w:p w14:paraId="083156ED"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Upon detecting a characteristic object, the system creates an instance token:</w:t>
      </w:r>
    </w:p>
    <w:p w14:paraId="083156EE"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Oₖ = [pₖ, Σₖ, bₖ, sₖ, P(cₖ | z₁:t), hₖ]</w:t>
      </w:r>
    </w:p>
    <w:p w14:paraId="083156EF"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bₖ is the bounding box, and P(cₖ | z₁:t) is the probability distribution over the object class cₖ given the observation history z₁:t.</w:t>
      </w:r>
    </w:p>
    <w:p w14:paraId="083156F0"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class distribution is updated via Bayesian filtering:</w:t>
      </w:r>
    </w:p>
    <w:p w14:paraId="083156F1"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P(cₖ | z₁:t) = fracP(zt | cₖ) P(cₖ | z₁:t-1)∑c' P(zt | c') P(c' | z₁:t-1)</w:t>
      </w:r>
    </w:p>
    <w:p w14:paraId="083156F2"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open-vocabulary approach allows searching the map for objects and properties that were not constrained to a closed class set during training [5], [11], [34].</w:t>
      </w:r>
    </w:p>
    <w:p w14:paraId="083156F3"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5.6. Reference Map Alignment</w:t>
      </w:r>
    </w:p>
    <w:p w14:paraId="083156F4"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system maintains two representations: the current map Mt and the reference map Mref. Alignment uses a three-step procedure:</w:t>
      </w:r>
    </w:p>
    <w:p w14:paraId="083156F5"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Step 1: Global Alignment Determining the transformation Tglobal by matching global descriptors:</w:t>
      </w:r>
    </w:p>
    <w:p w14:paraId="083156F6"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Tglobal = arg minT ∑ᵢ ‖ dᵢt - d_σ(i)ref ‖²</w:t>
      </w:r>
    </w:p>
    <w:p w14:paraId="083156F7"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dᵢt and d_σ(i)ref are global descriptors (e.g., topological, terrain-based) [4], [19], [20].</w:t>
      </w:r>
    </w:p>
    <w:p w14:paraId="083156F8"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Step 2: Landmark Matching Refining the transformation by matching landmark tokens:</w:t>
      </w:r>
    </w:p>
    <w:p w14:paraId="083156F9"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Tlandmark = arg minT ∑ⱼ ∈ ℒ ‖ T pⱼt - p_σ(j)ref ‖_Σⱼ²</w:t>
      </w:r>
    </w:p>
    <w:p w14:paraId="083156FA"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ℒ is the landmark set [2], [4].</w:t>
      </w:r>
    </w:p>
    <w:p w14:paraId="083156FB"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Step 3: Local Geometric Optimization Final refinement via ICP or a semantic variant:</w:t>
      </w:r>
    </w:p>
    <w:p w14:paraId="083156FC"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Tfinal = arg minT ∑ᵢ,j wᵢⱼ ‖ T pᵢt - pⱼref ‖²</w:t>
      </w:r>
    </w:p>
    <w:p w14:paraId="083156FD"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wᵢⱼ accounts for semantic consistency [4], [5].</w:t>
      </w:r>
    </w:p>
    <w:p w14:paraId="083156FE"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The difference between the current map and the reference map indicates: a localization error, an environmental change, appearance of a new object, absence of a previously existing object, or unreliability of the current GNSS measurement [1], [19].</w:t>
      </w:r>
    </w:p>
    <w:p w14:paraId="083156FF"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5.7. Occupancy and Risk Forecasting</w:t>
      </w:r>
    </w:p>
    <w:p w14:paraId="08315700"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system predicts future space occupancy and risk probability in partially observable regions:</w:t>
      </w:r>
    </w:p>
    <w:p w14:paraId="08315701"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O(t+Δ t) = fpred(T₁:K(t), a(t))</w:t>
      </w:r>
    </w:p>
    <w:p w14:paraId="08315702"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O(t+Δ t) is the predicted occupancy at time t+Δ t, T₁:K(t) are tokens at time t, a(t) is the planned action (trajectory), and fpred is the predictive model (e.g., temporal transformer, diffusion model) [8], [10], [14], [17].</w:t>
      </w:r>
    </w:p>
    <w:p w14:paraId="08315703"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risk map is determined as:</w:t>
      </w:r>
    </w:p>
    <w:p w14:paraId="08315704"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R(p, t+Δ t) = P(Hp, t+Δ t | M₁:t, Mref, Ct)</w:t>
      </w:r>
    </w:p>
    <w:p w14:paraId="08315705"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Hp, t+Δ t denotes a hazardous event at position p at time t+Δ t, and Ct is the motion and environment context [1], [21].</w:t>
      </w:r>
    </w:p>
    <w:p w14:paraId="08315706"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system infers risk in unobservable areas via:</w:t>
      </w:r>
    </w:p>
    <w:p w14:paraId="08315707"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Roccluded(p) = ∑c ∈ 𝒞 P(c | Tvisible) · P(H | c, geometry(p))</w:t>
      </w:r>
    </w:p>
    <w:p w14:paraId="08315708"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𝒞 is the set of contexts (road, terrain trail, building edge), Tvisible are the visible tokens, and geometry(p) describes the terrain topography at position p [1], [11], [21].</w:t>
      </w:r>
    </w:p>
    <w:p w14:paraId="08315709"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5.8. Trajectory Planning</w:t>
      </w:r>
    </w:p>
    <w:p w14:paraId="0831570A"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planner minimizes the objective function:</w:t>
      </w:r>
    </w:p>
    <w:p w14:paraId="0831570B"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J(ξ) = ∫₀ᵀ [ L(ξ(t)) + E(ξ(t), ξ(t)) + λH PH(ξ(t)) + λR R(ξ(t), t) + λU U(ξ(t)) ] dt</w:t>
      </w:r>
    </w:p>
    <w:p w14:paraId="0831570C"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w:t>
      </w:r>
    </w:p>
    <w:p w14:paraId="0831570D"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ξ(t) is the UAV trajectory</w:t>
      </w:r>
    </w:p>
    <w:p w14:paraId="0831570E"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L(ξ(t)) is the trajectory length</w:t>
      </w:r>
    </w:p>
    <w:p w14:paraId="0831570F"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E(ξ(t), ξ(t)) is the energy cost</w:t>
      </w:r>
    </w:p>
    <w:p w14:paraId="08315710"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PH(ξ(t)) is the collision probability</w:t>
      </w:r>
    </w:p>
    <w:p w14:paraId="08315711"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R(ξ(t), t) is the predicted environmental risk</w:t>
      </w:r>
    </w:p>
    <w:p w14:paraId="08315712"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U(ξ(t)) is the cost arising from map uncertainty</w:t>
      </w:r>
    </w:p>
    <w:p w14:paraId="08315713"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λH, λR, λU are weighting coefficients</w:t>
      </w:r>
    </w:p>
    <w:p w14:paraId="08315714"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Collision probability is determined as:</w:t>
      </w:r>
    </w:p>
    <w:p w14:paraId="08315715"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PH(ξ(t)) = 1 - ∏ᵢ (1 - P(collision | ξ(t), Tᵢ(t)))</w:t>
      </w:r>
    </w:p>
    <w:p w14:paraId="08315716"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uncertainty cost accounts for missing information:</w:t>
      </w:r>
    </w:p>
    <w:p w14:paraId="08315717"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U(ξ(t)) = ∑ᵢ ∈ 𝒩(ξ(t)) uᵢ · exp(-(‖ξ(t) - pᵢ‖²)/(2σ²))</w:t>
      </w:r>
    </w:p>
    <w:p w14:paraId="08315718"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system selects the action:</w:t>
      </w:r>
    </w:p>
    <w:p w14:paraId="08315719"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a* = arg mina ∈ 𝒜 J(ξ(a))</w:t>
      </w:r>
    </w:p>
    <w:p w14:paraId="0831571A" w14:textId="537BB6D6"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𝒜 is the set of possible actions: continuing flight, altitude change, heading change, temporary hover in a safe zone, return along the memorized route, limiting non-critical measurements, and increasing observation intensity in high-unc</w:t>
      </w:r>
      <w:r w:rsidR="00523079">
        <w:rPr>
          <w:rFonts w:ascii="Times New Roman" w:eastAsia="Times New Roman" w:hAnsi="Times New Roman" w:cs="Times New Roman"/>
          <w:sz w:val="24"/>
          <w:szCs w:val="24"/>
        </w:rPr>
        <w:t>ertainty areas [1], [11], [19], </w:t>
      </w:r>
      <w:r>
        <w:rPr>
          <w:rFonts w:ascii="Times New Roman" w:eastAsia="Times New Roman" w:hAnsi="Times New Roman" w:cs="Times New Roman"/>
          <w:sz w:val="24"/>
          <w:szCs w:val="24"/>
        </w:rPr>
        <w:t>[41].</w:t>
      </w:r>
    </w:p>
    <w:p w14:paraId="0831571B"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5.9. Active Perception</w:t>
      </w:r>
    </w:p>
    <w:p w14:paraId="0831571C"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The active perception module selects a sensory action atsense that maximizes expected uncertainty reduction relative to cost:</w:t>
      </w:r>
    </w:p>
    <w:p w14:paraId="0831571D"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atsense = arg maxa ∈ 𝒜_sense (I(T; z | a))/(C(a))</w:t>
      </w:r>
    </w:p>
    <w:p w14:paraId="0831571E"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I(T; z | a) is the mutual information between tokens T and measurement z given action a, and C(a) is the energy and computational cost of the action [1], [3], [6].</w:t>
      </w:r>
    </w:p>
    <w:p w14:paraId="0831571F"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Mutual information is approximated as:</w:t>
      </w:r>
    </w:p>
    <w:p w14:paraId="08315720" w14:textId="77777777" w:rsidR="00C826F4" w:rsidRPr="00EF1A2A" w:rsidRDefault="00C54218">
      <w:pPr>
        <w:spacing w:before="80" w:after="80" w:line="240" w:lineRule="auto"/>
        <w:jc w:val="center"/>
        <w:rPr>
          <w:rFonts w:ascii="Times New Roman" w:hAnsi="Times New Roman" w:cs="Times New Roman"/>
          <w:bCs/>
          <w:i/>
          <w:lang w:val="pl-PL"/>
        </w:rPr>
      </w:pPr>
      <w:r w:rsidRPr="00EF1A2A">
        <w:rPr>
          <w:rFonts w:ascii="Times New Roman" w:eastAsia="Times New Roman" w:hAnsi="Times New Roman" w:cs="Times New Roman"/>
          <w:i/>
          <w:iCs/>
          <w:lang w:val="pl-PL"/>
        </w:rPr>
        <w:t>I(T; z | a) ≈ H(T) - Ez|a[H(T|z)]</w:t>
      </w:r>
    </w:p>
    <w:p w14:paraId="08315721"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H(T) is the token entropy before measurement and H(T|z) is the entropy after measurement.</w:t>
      </w:r>
    </w:p>
    <w:p w14:paraId="08315722"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IR camera may be activated more frequently in low illumination or in regions where prior data indicate the possible presence of a thermal object. The RGB camera need not be processed by the full network at every frame [1].</w:t>
      </w:r>
    </w:p>
    <w:p w14:paraId="08315723"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5.10. Metrological Error Analysis of the S4D-TAM System</w:t>
      </w:r>
    </w:p>
    <w:p w14:paraId="08315724"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Metrological analysis forms the foundation for designing reliable autonomous navigation systems. The objective of this subsection is to formalize the error models of individual S4D-TAM system layers, derive lower bounds on estimation uncertainty, and determine the cumulative positioning error budget of the UAV in a GNSS-degraded environment.</w:t>
      </w:r>
    </w:p>
    <w:p w14:paraId="08315725" w14:textId="77777777" w:rsidR="00C826F4" w:rsidRDefault="00C54218">
      <w:pPr>
        <w:spacing w:before="160" w:after="80" w:line="240" w:lineRule="auto"/>
        <w:rPr>
          <w:rFonts w:ascii="Times New Roman" w:hAnsi="Times New Roman" w:cs="Times New Roman"/>
          <w:b/>
          <w:bCs/>
        </w:rPr>
      </w:pPr>
      <w:r>
        <w:rPr>
          <w:rFonts w:ascii="Times New Roman" w:eastAsia="Times New Roman" w:hAnsi="Times New Roman" w:cs="Times New Roman"/>
          <w:b/>
          <w:bCs/>
        </w:rPr>
        <w:t>5.10.1. Sensor Layer Error Model</w:t>
      </w:r>
    </w:p>
    <w:p w14:paraId="08315726"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Each sensor sᵢ ∈ 𝒮 is characterized by its own error model. Adopting the general measurement form:</w:t>
      </w:r>
    </w:p>
    <w:p w14:paraId="08315727"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zᵢ(t) = hᵢ(x(t)) + nᵢ(t) + bᵢ(t)</w:t>
      </w:r>
    </w:p>
    <w:p w14:paraId="08315728"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hᵢ(·) is the observation function, nᵢ(t) sim 𝒩(0, Rᵢ) is the measurement noise with covariance matrix Rᵢ, and bᵢ(t) is the systematic error (bias).</w:t>
      </w:r>
    </w:p>
    <w:p w14:paraId="08315729"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IMU (gyroscope + accelerometer): The error model of the gyroscope and accelerometer in an IMU extended with bias is described as:</w:t>
      </w:r>
    </w:p>
    <w:p w14:paraId="0831572A"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ω(t) = ω(t) + bg(t) + ng(t), quad ng sim 𝒩(0, σg² I₃)</w:t>
      </w:r>
    </w:p>
    <w:p w14:paraId="0831572B" w14:textId="77777777" w:rsidR="00C826F4" w:rsidRPr="00EF1A2A" w:rsidRDefault="00C54218">
      <w:pPr>
        <w:spacing w:before="80" w:after="80" w:line="240" w:lineRule="auto"/>
        <w:jc w:val="center"/>
        <w:rPr>
          <w:rFonts w:ascii="Times New Roman" w:hAnsi="Times New Roman" w:cs="Times New Roman"/>
          <w:bCs/>
          <w:i/>
          <w:lang w:val="pl-PL"/>
        </w:rPr>
      </w:pPr>
      <w:r w:rsidRPr="00EF1A2A">
        <w:rPr>
          <w:rFonts w:ascii="Times New Roman" w:eastAsia="Times New Roman" w:hAnsi="Times New Roman" w:cs="Times New Roman"/>
          <w:i/>
          <w:iCs/>
          <w:lang w:val="pl-PL"/>
        </w:rPr>
        <w:t xml:space="preserve">a(t) = a(t) + ba(t) + na(t), quad na sim </w:t>
      </w:r>
      <w:r>
        <w:rPr>
          <w:rFonts w:ascii="Times New Roman" w:eastAsia="Times New Roman" w:hAnsi="Times New Roman" w:cs="Times New Roman"/>
          <w:i/>
          <w:iCs/>
        </w:rPr>
        <w:t>𝒩</w:t>
      </w:r>
      <w:r w:rsidRPr="00EF1A2A">
        <w:rPr>
          <w:rFonts w:ascii="Times New Roman" w:eastAsia="Times New Roman" w:hAnsi="Times New Roman" w:cs="Times New Roman"/>
          <w:i/>
          <w:iCs/>
          <w:lang w:val="pl-PL"/>
        </w:rPr>
        <w:t xml:space="preserve">(0, </w:t>
      </w:r>
      <w:r>
        <w:rPr>
          <w:rFonts w:ascii="Times New Roman" w:eastAsia="Times New Roman" w:hAnsi="Times New Roman" w:cs="Times New Roman"/>
          <w:i/>
          <w:iCs/>
        </w:rPr>
        <w:t>σ</w:t>
      </w:r>
      <w:r w:rsidRPr="00EF1A2A">
        <w:rPr>
          <w:rFonts w:ascii="Times New Roman" w:eastAsia="Times New Roman" w:hAnsi="Times New Roman" w:cs="Times New Roman"/>
          <w:i/>
          <w:iCs/>
          <w:lang w:val="pl-PL"/>
        </w:rPr>
        <w:t>a² I₃)</w:t>
      </w:r>
    </w:p>
    <w:p w14:paraId="0831572C"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biases evolve according to a random walk model:</w:t>
      </w:r>
    </w:p>
    <w:p w14:paraId="0831572D"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bg = nbg, quad nbg sim 𝒩(0, σbg² I₃)</w:t>
      </w:r>
    </w:p>
    <w:p w14:paraId="0831572E"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ba = nba, quad nba sim 𝒩(0, σba² I₃)</w:t>
      </w:r>
    </w:p>
    <w:p w14:paraId="0831572F"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position error resulting from double integration of IMU grows over time as:</w:t>
      </w:r>
    </w:p>
    <w:p w14:paraId="08315730"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σIMU(t) = (1)/(2)σa t² + (1)/(6)σba t³</w:t>
      </w:r>
    </w:p>
    <w:p w14:paraId="08315731"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GNSS under degradation conditions: In GNSS-degraded environments we introduce a signal quality indicator qGNSS(t) ∈ [0, 1], where qGNSS = 1 denotes full constellation coverage and qGNSS = 0 denotes complete signal loss. The GNSS measurement covariance scales adaptively:</w:t>
      </w:r>
    </w:p>
    <w:p w14:paraId="08315732"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RGNSS(t) = fracRGNSS^(0)qGNSS(t) + ε</w:t>
      </w:r>
    </w:p>
    <w:p w14:paraId="08315733"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RGNSS^(0) is the baseline covariance at full signal and ε ll 1 is a regularization parameter preventing singularity. As qGNSS to 0, the factor FGNSS is effectively removed from the factor graph through the increase in its variance.</w:t>
      </w:r>
    </w:p>
    <w:p w14:paraId="08315734" w14:textId="040EA164"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Visual odometry (VO)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relative drift: The visual odometry error accumulates quasi-randomly, proportional to the traveled distance d:</w:t>
      </w:r>
    </w:p>
    <w:p w14:paraId="08315735"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lastRenderedPageBreak/>
        <w:t>σVO(d) = αVO d + βVO √(d)</w:t>
      </w:r>
    </w:p>
    <w:p w14:paraId="08315736"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αVO is the linear error coefficient (typically 0.5–2\% per meter traveled), and βVO describes the diffusive component associated with stochastic visual noise.</w:t>
      </w:r>
    </w:p>
    <w:p w14:paraId="08315737"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Barometric altimeter: The altitude measurement error is dominated by slow-varying temperature and ambient pressure drift:</w:t>
      </w:r>
    </w:p>
    <w:p w14:paraId="08315738"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zbaro(t) = ztrue(t) + bbaro + nbaro(t)</w:t>
      </w:r>
    </w:p>
    <w:p w14:paraId="08315739"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bbaro sim 𝒰(-δb, +δb) is the bias with a uniform distribution over range δb ≈ 1–3 m, and nbaro sim 𝒩(0, σbaro²) with σbaro ≈ 0.1–0.5 m.</w:t>
      </w:r>
    </w:p>
    <w:p w14:paraId="0831573A" w14:textId="77777777" w:rsidR="00C826F4" w:rsidRDefault="00C54218">
      <w:pPr>
        <w:spacing w:before="160" w:after="80" w:line="240" w:lineRule="auto"/>
        <w:rPr>
          <w:rFonts w:ascii="Times New Roman" w:hAnsi="Times New Roman" w:cs="Times New Roman"/>
          <w:b/>
          <w:bCs/>
        </w:rPr>
      </w:pPr>
      <w:r>
        <w:rPr>
          <w:rFonts w:ascii="Times New Roman" w:eastAsia="Times New Roman" w:hAnsi="Times New Roman" w:cs="Times New Roman"/>
          <w:b/>
          <w:bCs/>
        </w:rPr>
        <w:t>5.10.2. Error Propagation in the Factor Graph</w:t>
      </w:r>
    </w:p>
    <w:p w14:paraId="0831573B" w14:textId="00554569"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Let ξ = [ptop, vtop, φtop, bgtop, batop]top ∈ ℝ¹⁵ be the navigation state vector (p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position, v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velocity, φ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Euler angles, bg, ba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IMU biases). The lower bound on the variance of an unbiased estimator ξ is given by the Cramér-Rao Lower Bound (CRLB):</w:t>
      </w:r>
    </w:p>
    <w:p w14:paraId="0831573C"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Cov(ξ) ≥ J-¹(ξ)</w:t>
      </w:r>
    </w:p>
    <w:p w14:paraId="0831573D"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J(ξ) is the Fisher Information Matrix (FIM), the sum of contributions from all factor graph factors:</w:t>
      </w:r>
    </w:p>
    <w:p w14:paraId="0831573E"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J(ξ) = ∑ᵢ Hᵢtop Rᵢ-¹ Hᵢ + Jprior</w:t>
      </w:r>
    </w:p>
    <w:p w14:paraId="0831573F"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Hᵢ = (∂ hᵢ)/(∂ ξ) is the Jacobian matrix of the observation function of the i-th factor, and Jprior represents the prior information contribution. The marginal position variance σp² is the diagonal element:</w:t>
      </w:r>
    </w:p>
    <w:p w14:paraId="08315740"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σp² ≥ [J-¹(ξ)]pp</w:t>
      </w:r>
    </w:p>
    <w:p w14:paraId="08315741"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Navigation state covariance propagation follows the Riccati equation:</w:t>
      </w:r>
    </w:p>
    <w:p w14:paraId="08315742"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P(t) = F(t) P(t) + P(t) F(t)top + G(t) Q(t) G(t)top</w:t>
      </w:r>
    </w:p>
    <w:p w14:paraId="08315743"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F(t) is the inertial system state transition matrix, G(t) is the noise input matrix, and Q(t) = diag(σa²I₃, σg²I₃, σba²I₃, σbg²I₃) is the noise spectral density matrix.</w:t>
      </w:r>
    </w:p>
    <w:p w14:paraId="08315744"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When merging measurements from M sensors in the factor graph, the combined FIM grows additively, reducing the estimator covariance:</w:t>
      </w:r>
    </w:p>
    <w:p w14:paraId="08315745"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Jfused = JIMU + JVO + qGNSS JGNSS + Jalt + Jsem + Jref</w:t>
      </w:r>
    </w:p>
    <w:p w14:paraId="08315746"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each term is weighted according to the reliability of the corresponding source.</w:t>
      </w:r>
    </w:p>
    <w:p w14:paraId="08315747" w14:textId="77777777" w:rsidR="00C826F4" w:rsidRDefault="00C54218">
      <w:pPr>
        <w:spacing w:before="160" w:after="80" w:line="240" w:lineRule="auto"/>
        <w:rPr>
          <w:rFonts w:ascii="Times New Roman" w:hAnsi="Times New Roman" w:cs="Times New Roman"/>
          <w:b/>
          <w:bCs/>
        </w:rPr>
      </w:pPr>
      <w:r>
        <w:rPr>
          <w:rFonts w:ascii="Times New Roman" w:eastAsia="Times New Roman" w:hAnsi="Times New Roman" w:cs="Times New Roman"/>
          <w:b/>
          <w:bCs/>
        </w:rPr>
        <w:t>5.10.3. Quantization and Discretization Error of Tokens</w:t>
      </w:r>
    </w:p>
    <w:p w14:paraId="08315748"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3D space is divided into tokens of side length ell meters (§5.3). The quantization operation mapping the coordinates of point p ∈ ℝ³ to the centroid of token cₖ introduces a quantization error:</w:t>
      </w:r>
    </w:p>
    <w:p w14:paraId="08315749"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εq = p - cₖ, quad ‖εq‖ ≤ fracell√(3)2</w:t>
      </w:r>
    </w:p>
    <w:p w14:paraId="0831574A"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For a regular cubic grid of side length ell, the quantization error variance along each axis is:</w:t>
      </w:r>
    </w:p>
    <w:p w14:paraId="0831574B"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σq,1D² = (ell²)/(12)</w:t>
      </w:r>
    </w:p>
    <w:p w14:paraId="0831574C"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and the total 3D variance:</w:t>
      </w:r>
    </w:p>
    <w:p w14:paraId="0831574D"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σq² = (ell²)/(4)</w:t>
      </w:r>
    </w:p>
    <w:p w14:paraId="0831574E" w14:textId="635E4876"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An additional semantic error arises from imperfections of the open-vocabulary classifier. Defining the classifier confusion matrix C ∈ ℝC × C (C classes)</w:t>
      </w:r>
      <w:r w:rsidR="00523079">
        <w:rPr>
          <w:rFonts w:ascii="Times New Roman" w:eastAsia="Times New Roman" w:hAnsi="Times New Roman" w:cs="Times New Roman"/>
          <w:sz w:val="24"/>
          <w:szCs w:val="24"/>
        </w:rPr>
        <w:t>, the semantic error of token k </w:t>
      </w:r>
      <w:r>
        <w:rPr>
          <w:rFonts w:ascii="Times New Roman" w:eastAsia="Times New Roman" w:hAnsi="Times New Roman" w:cs="Times New Roman"/>
          <w:sz w:val="24"/>
          <w:szCs w:val="24"/>
        </w:rPr>
        <w:t>is expressed by the conditional entropy of the class assignment:</w:t>
      </w:r>
    </w:p>
    <w:p w14:paraId="0831574F"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εsem^(k) = -∑c=1C p(c|Tₖ) log p(c|Tₖ) = H(c|Tₖ)</w:t>
      </w:r>
    </w:p>
    <w:p w14:paraId="08315750"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A value of εsem^(k) = 0 indicates certain assignment, while εsem^(k) = log C indicates maximum semantic uncertainty. A token with high εsem^(k) receives increased covariance in the Fsem factor graph factor.</w:t>
      </w:r>
    </w:p>
    <w:p w14:paraId="08315751" w14:textId="77777777" w:rsidR="00C826F4" w:rsidRDefault="00C54218">
      <w:pPr>
        <w:spacing w:before="160" w:after="80" w:line="240" w:lineRule="auto"/>
        <w:rPr>
          <w:rFonts w:ascii="Times New Roman" w:hAnsi="Times New Roman" w:cs="Times New Roman"/>
          <w:b/>
          <w:bCs/>
        </w:rPr>
      </w:pPr>
      <w:r>
        <w:rPr>
          <w:rFonts w:ascii="Times New Roman" w:eastAsia="Times New Roman" w:hAnsi="Times New Roman" w:cs="Times New Roman"/>
          <w:b/>
          <w:bCs/>
        </w:rPr>
        <w:t>5.10.4. Lower Bound on Localization Error</w:t>
      </w:r>
    </w:p>
    <w:p w14:paraId="08315752"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total UAV positioning error is a combination of: visual odometry drift σVO, uncertainty arising from IMU integration σIMU, GNSS error σGNSS, and the contribution from semantic anchoring σsem. Under joint optimization in the factor graph, the CRLB on the position error takes the form:</w:t>
      </w:r>
    </w:p>
    <w:p w14:paraId="08315753"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σp,min²(t) = [Jfused-¹(t)]pp = (1)/(∑ᵢ [Hᵢtop Rᵢ^-1) Hᵢ]pp</w:t>
      </w:r>
    </w:p>
    <w:p w14:paraId="08315754" w14:textId="38646F26"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In the scenario of complete GNSS absence (qGNSS = 0), posi</w:t>
      </w:r>
      <w:r w:rsidR="00EE23EB">
        <w:rPr>
          <w:rFonts w:ascii="Times New Roman" w:eastAsia="Times New Roman" w:hAnsi="Times New Roman" w:cs="Times New Roman"/>
          <w:sz w:val="24"/>
          <w:szCs w:val="24"/>
        </w:rPr>
        <w:t>tion error grows according to a </w:t>
      </w:r>
      <w:r>
        <w:rPr>
          <w:rFonts w:ascii="Times New Roman" w:eastAsia="Times New Roman" w:hAnsi="Times New Roman" w:cs="Times New Roman"/>
          <w:sz w:val="24"/>
          <w:szCs w:val="24"/>
        </w:rPr>
        <w:t>modified drift model:</w:t>
      </w:r>
    </w:p>
    <w:p w14:paraId="08315755"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σp²(t) = σp,0² + αVO² d(t)² + γsem Nloop-¹</w:t>
      </w:r>
    </w:p>
    <w:p w14:paraId="08315756"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σp,0² is the initial variance (determined by GNSS before degradation), d(t) is the total distance traveled, Nloop is the number of successful semantic loop closures, and γsem is the semantic correction coefficient. Each semantic loop closure reduces σp² proportionally to the strength of the semantic evidence, determined by the Fisher information of factor Fsem.</w:t>
      </w:r>
    </w:p>
    <w:p w14:paraId="08315757" w14:textId="77777777" w:rsidR="00C826F4" w:rsidRDefault="00C54218">
      <w:pPr>
        <w:spacing w:before="160" w:after="80" w:line="240" w:lineRule="auto"/>
        <w:rPr>
          <w:rFonts w:ascii="Times New Roman" w:hAnsi="Times New Roman" w:cs="Times New Roman"/>
          <w:b/>
          <w:bCs/>
        </w:rPr>
      </w:pPr>
      <w:r>
        <w:rPr>
          <w:rFonts w:ascii="Times New Roman" w:eastAsia="Times New Roman" w:hAnsi="Times New Roman" w:cs="Times New Roman"/>
          <w:b/>
          <w:bCs/>
        </w:rPr>
        <w:t>5.10.5. Occupancy Forecasting Error</w:t>
      </w:r>
    </w:p>
    <w:p w14:paraId="08315758"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4D occupancy predictor (§5.7) produces a probabilistic map O(x, t+Δ t) based on the token state at time t. Prediction error grows with the temporal horizon Δ t. Modeling the evolution of token Tₖ as a linear-Gaussian stochastic process with transition matrix Φ and noise diffusion Qdyn:</w:t>
      </w:r>
    </w:p>
    <w:p w14:paraId="08315759"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Tₖ(t+Δ t) = Φ(Δ t) Tₖ(t) + ωₖ, quad ωₖ sim 𝒩(0, Qdyn(Δ t))</w:t>
      </w:r>
    </w:p>
    <w:p w14:paraId="0831575A"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prediction error covariance is:</w:t>
      </w:r>
    </w:p>
    <w:p w14:paraId="0831575B"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Σpred(Δ t) = Φ(Δ t) Σₖ(t) Φ(Δ t)top + Qdyn(Δ t)</w:t>
      </w:r>
    </w:p>
    <w:p w14:paraId="0831575C"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For static objects Φ ≈ I and Qdyn ≈ 0, while for dynamic objects Qdyn(Δ t) ∝ Δ t. This results in a linear growth of prediction uncertainty with horizon:</w:t>
      </w:r>
    </w:p>
    <w:p w14:paraId="0831575D"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σpred²(Δ t) = σpred,0² + σdyn² · Δ t</w:t>
      </w:r>
    </w:p>
    <w:p w14:paraId="0831575E"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binary occupancy classification error is defined by the Brier Score:</w:t>
      </w:r>
    </w:p>
    <w:p w14:paraId="0831575F"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BS(Δ t) = (1)/(|𝒱|) ∑x ∈ 𝒱 (O(x, t+Δ t) - Otrue(x, t+Δ t))²</w:t>
      </w:r>
    </w:p>
    <w:p w14:paraId="08315760"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𝒱 is the set of workspace voxels. The expected value of BS(Δ t) is lower bounded by the entropy of the dynamic environment.</w:t>
      </w:r>
    </w:p>
    <w:p w14:paraId="08315761" w14:textId="77777777" w:rsidR="00C826F4" w:rsidRDefault="00C54218">
      <w:pPr>
        <w:spacing w:before="160" w:after="80" w:line="240" w:lineRule="auto"/>
        <w:rPr>
          <w:rFonts w:ascii="Times New Roman" w:hAnsi="Times New Roman" w:cs="Times New Roman"/>
          <w:b/>
          <w:bCs/>
        </w:rPr>
      </w:pPr>
      <w:r>
        <w:rPr>
          <w:rFonts w:ascii="Times New Roman" w:eastAsia="Times New Roman" w:hAnsi="Times New Roman" w:cs="Times New Roman"/>
          <w:b/>
          <w:bCs/>
        </w:rPr>
        <w:t>5.10.6. Cumulative Error Budget</w:t>
      </w:r>
    </w:p>
    <w:p w14:paraId="08315762"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table below summarizes the error sources of the S4D-TAM system with their typical values for the target configuration (lightweight UAV in an urban environment with partial GNSS degradation):</w:t>
      </w:r>
    </w:p>
    <w:tbl>
      <w:tblPr>
        <w:tblW w:w="5000" w:type="pct"/>
        <w:tblLook w:val="04A0" w:firstRow="1" w:lastRow="0" w:firstColumn="1" w:lastColumn="0" w:noHBand="0" w:noVBand="1"/>
      </w:tblPr>
      <w:tblGrid>
        <w:gridCol w:w="2410"/>
        <w:gridCol w:w="2126"/>
        <w:gridCol w:w="1985"/>
        <w:gridCol w:w="2551"/>
      </w:tblGrid>
      <w:tr w:rsidR="00C826F4" w14:paraId="08315767" w14:textId="77777777" w:rsidTr="001D0FE0">
        <w:tc>
          <w:tcPr>
            <w:tcW w:w="1328" w:type="pct"/>
            <w:shd w:val="clear" w:color="2E75B6" w:fill="2E75B6"/>
          </w:tcPr>
          <w:p w14:paraId="08315763" w14:textId="77777777" w:rsidR="00C826F4" w:rsidRDefault="00C54218">
            <w:pPr>
              <w:rPr>
                <w:rFonts w:ascii="Times New Roman" w:hAnsi="Times New Roman" w:cs="Times New Roman"/>
                <w:b/>
                <w:bCs/>
                <w:color w:val="FFFFFF"/>
                <w:sz w:val="20"/>
                <w:szCs w:val="20"/>
              </w:rPr>
            </w:pPr>
            <w:r>
              <w:rPr>
                <w:rFonts w:ascii="Times New Roman" w:eastAsia="Times New Roman" w:hAnsi="Times New Roman" w:cs="Times New Roman"/>
                <w:b/>
                <w:bCs/>
                <w:color w:val="FFFFFF"/>
                <w:sz w:val="20"/>
                <w:szCs w:val="20"/>
              </w:rPr>
              <w:t>Error Source</w:t>
            </w:r>
          </w:p>
        </w:tc>
        <w:tc>
          <w:tcPr>
            <w:tcW w:w="1172" w:type="pct"/>
            <w:shd w:val="clear" w:color="2E75B6" w:fill="2E75B6"/>
          </w:tcPr>
          <w:p w14:paraId="08315764" w14:textId="77777777" w:rsidR="00C826F4" w:rsidRDefault="00C54218">
            <w:pPr>
              <w:rPr>
                <w:rFonts w:ascii="Times New Roman" w:hAnsi="Times New Roman" w:cs="Times New Roman"/>
                <w:b/>
                <w:bCs/>
                <w:color w:val="FFFFFF"/>
                <w:sz w:val="20"/>
                <w:szCs w:val="20"/>
              </w:rPr>
            </w:pPr>
            <w:r>
              <w:rPr>
                <w:rFonts w:ascii="Times New Roman" w:eastAsia="Times New Roman" w:hAnsi="Times New Roman" w:cs="Times New Roman"/>
                <w:b/>
                <w:bCs/>
                <w:color w:val="FFFFFF"/>
                <w:sz w:val="20"/>
                <w:szCs w:val="20"/>
              </w:rPr>
              <w:t>Characteristic</w:t>
            </w:r>
          </w:p>
        </w:tc>
        <w:tc>
          <w:tcPr>
            <w:tcW w:w="1094" w:type="pct"/>
            <w:shd w:val="clear" w:color="2E75B6" w:fill="2E75B6"/>
          </w:tcPr>
          <w:p w14:paraId="08315765" w14:textId="77777777" w:rsidR="00C826F4" w:rsidRDefault="00C54218">
            <w:pPr>
              <w:rPr>
                <w:rFonts w:ascii="Times New Roman" w:hAnsi="Times New Roman" w:cs="Times New Roman"/>
                <w:b/>
                <w:bCs/>
                <w:color w:val="FFFFFF"/>
                <w:sz w:val="20"/>
                <w:szCs w:val="20"/>
              </w:rPr>
            </w:pPr>
            <w:r>
              <w:rPr>
                <w:rFonts w:ascii="Times New Roman" w:eastAsia="Times New Roman" w:hAnsi="Times New Roman" w:cs="Times New Roman"/>
                <w:b/>
                <w:bCs/>
                <w:color w:val="FFFFFF"/>
                <w:sz w:val="20"/>
                <w:szCs w:val="20"/>
              </w:rPr>
              <w:t>Typical Value (1σ)</w:t>
            </w:r>
          </w:p>
        </w:tc>
        <w:tc>
          <w:tcPr>
            <w:tcW w:w="1406" w:type="pct"/>
            <w:shd w:val="clear" w:color="2E75B6" w:fill="2E75B6"/>
          </w:tcPr>
          <w:p w14:paraId="08315766" w14:textId="77777777" w:rsidR="00C826F4" w:rsidRDefault="00C54218">
            <w:pPr>
              <w:rPr>
                <w:rFonts w:ascii="Times New Roman" w:hAnsi="Times New Roman" w:cs="Times New Roman"/>
                <w:b/>
                <w:bCs/>
                <w:color w:val="FFFFFF"/>
                <w:sz w:val="20"/>
                <w:szCs w:val="20"/>
              </w:rPr>
            </w:pPr>
            <w:r>
              <w:rPr>
                <w:rFonts w:ascii="Times New Roman" w:eastAsia="Times New Roman" w:hAnsi="Times New Roman" w:cs="Times New Roman"/>
                <w:b/>
                <w:bCs/>
                <w:color w:val="FFFFFF"/>
                <w:sz w:val="20"/>
                <w:szCs w:val="20"/>
              </w:rPr>
              <w:t>Time/Distance Dependence</w:t>
            </w:r>
          </w:p>
        </w:tc>
      </w:tr>
      <w:tr w:rsidR="00C826F4" w14:paraId="0831576C" w14:textId="77777777" w:rsidTr="001D0FE0">
        <w:trPr>
          <w:trHeight w:val="464"/>
        </w:trPr>
        <w:tc>
          <w:tcPr>
            <w:tcW w:w="1328" w:type="pct"/>
          </w:tcPr>
          <w:p w14:paraId="08315768"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IMU noise (accelerometer)</w:t>
            </w:r>
          </w:p>
        </w:tc>
        <w:tc>
          <w:tcPr>
            <w:tcW w:w="1172" w:type="pct"/>
          </w:tcPr>
          <w:p w14:paraId="08315769"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White noise σa</w:t>
            </w:r>
          </w:p>
        </w:tc>
        <w:tc>
          <w:tcPr>
            <w:tcW w:w="1094" w:type="pct"/>
          </w:tcPr>
          <w:p w14:paraId="0831576A"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0.05 m/s²</w:t>
            </w:r>
          </w:p>
        </w:tc>
        <w:tc>
          <w:tcPr>
            <w:tcW w:w="1406" w:type="pct"/>
          </w:tcPr>
          <w:p w14:paraId="0831576B"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σ ∝ t² (integration)</w:t>
            </w:r>
          </w:p>
        </w:tc>
      </w:tr>
      <w:tr w:rsidR="00C826F4" w14:paraId="08315771" w14:textId="77777777" w:rsidTr="001D0FE0">
        <w:trPr>
          <w:trHeight w:val="464"/>
        </w:trPr>
        <w:tc>
          <w:tcPr>
            <w:tcW w:w="1328" w:type="pct"/>
          </w:tcPr>
          <w:p w14:paraId="0831576D"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IMU bias drift</w:t>
            </w:r>
          </w:p>
        </w:tc>
        <w:tc>
          <w:tcPr>
            <w:tcW w:w="1172" w:type="pct"/>
          </w:tcPr>
          <w:p w14:paraId="0831576E"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Random walk σba</w:t>
            </w:r>
          </w:p>
        </w:tc>
        <w:tc>
          <w:tcPr>
            <w:tcW w:w="1094" w:type="pct"/>
          </w:tcPr>
          <w:p w14:paraId="0831576F"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0.002 m/s²/√s</w:t>
            </w:r>
          </w:p>
        </w:tc>
        <w:tc>
          <w:tcPr>
            <w:tcW w:w="1406" w:type="pct"/>
          </w:tcPr>
          <w:p w14:paraId="08315770"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σ ∝ t³/2</w:t>
            </w:r>
          </w:p>
        </w:tc>
      </w:tr>
      <w:tr w:rsidR="00C826F4" w14:paraId="08315776" w14:textId="77777777" w:rsidTr="001D0FE0">
        <w:trPr>
          <w:trHeight w:val="464"/>
        </w:trPr>
        <w:tc>
          <w:tcPr>
            <w:tcW w:w="1328" w:type="pct"/>
          </w:tcPr>
          <w:p w14:paraId="08315772"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Visual odometry</w:t>
            </w:r>
          </w:p>
        </w:tc>
        <w:tc>
          <w:tcPr>
            <w:tcW w:w="1172" w:type="pct"/>
          </w:tcPr>
          <w:p w14:paraId="08315773"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Proportional drift αVO</w:t>
            </w:r>
          </w:p>
        </w:tc>
        <w:tc>
          <w:tcPr>
            <w:tcW w:w="1094" w:type="pct"/>
          </w:tcPr>
          <w:p w14:paraId="08315774"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1\% per meter</w:t>
            </w:r>
          </w:p>
        </w:tc>
        <w:tc>
          <w:tcPr>
            <w:tcW w:w="1406" w:type="pct"/>
          </w:tcPr>
          <w:p w14:paraId="08315775"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σ ∝ d</w:t>
            </w:r>
          </w:p>
        </w:tc>
      </w:tr>
      <w:tr w:rsidR="00C826F4" w14:paraId="0831577B" w14:textId="77777777" w:rsidTr="001D0FE0">
        <w:trPr>
          <w:trHeight w:val="464"/>
        </w:trPr>
        <w:tc>
          <w:tcPr>
            <w:tcW w:w="1328" w:type="pct"/>
          </w:tcPr>
          <w:p w14:paraId="08315777"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GNSS (full signal)</w:t>
            </w:r>
          </w:p>
        </w:tc>
        <w:tc>
          <w:tcPr>
            <w:tcW w:w="1172" w:type="pct"/>
          </w:tcPr>
          <w:p w14:paraId="08315778"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σGNSS^(0)</w:t>
            </w:r>
          </w:p>
        </w:tc>
        <w:tc>
          <w:tcPr>
            <w:tcW w:w="1094" w:type="pct"/>
          </w:tcPr>
          <w:p w14:paraId="08315779"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1.5 m (horizontal)</w:t>
            </w:r>
          </w:p>
        </w:tc>
        <w:tc>
          <w:tcPr>
            <w:tcW w:w="1406" w:type="pct"/>
          </w:tcPr>
          <w:p w14:paraId="0831577A"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Constant</w:t>
            </w:r>
          </w:p>
        </w:tc>
      </w:tr>
      <w:tr w:rsidR="00C826F4" w14:paraId="08315780" w14:textId="77777777" w:rsidTr="001D0FE0">
        <w:trPr>
          <w:trHeight w:val="464"/>
        </w:trPr>
        <w:tc>
          <w:tcPr>
            <w:tcW w:w="1328" w:type="pct"/>
          </w:tcPr>
          <w:p w14:paraId="0831577C"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lastRenderedPageBreak/>
              <w:t>GNSS (degraded)</w:t>
            </w:r>
          </w:p>
        </w:tc>
        <w:tc>
          <w:tcPr>
            <w:tcW w:w="1172" w:type="pct"/>
          </w:tcPr>
          <w:p w14:paraId="0831577D"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σGNSS(q)</w:t>
            </w:r>
          </w:p>
        </w:tc>
        <w:tc>
          <w:tcPr>
            <w:tcW w:w="1094" w:type="pct"/>
          </w:tcPr>
          <w:p w14:paraId="0831577E"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5–50 m</w:t>
            </w:r>
          </w:p>
        </w:tc>
        <w:tc>
          <w:tcPr>
            <w:tcW w:w="1406" w:type="pct"/>
          </w:tcPr>
          <w:p w14:paraId="0831577F"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 1/qGNSS</w:t>
            </w:r>
          </w:p>
        </w:tc>
      </w:tr>
      <w:tr w:rsidR="00C826F4" w14:paraId="08315785" w14:textId="77777777" w:rsidTr="001D0FE0">
        <w:trPr>
          <w:trHeight w:val="464"/>
        </w:trPr>
        <w:tc>
          <w:tcPr>
            <w:tcW w:w="1328" w:type="pct"/>
          </w:tcPr>
          <w:p w14:paraId="08315781"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Barometric altimeter</w:t>
            </w:r>
          </w:p>
        </w:tc>
        <w:tc>
          <w:tcPr>
            <w:tcW w:w="1172" w:type="pct"/>
          </w:tcPr>
          <w:p w14:paraId="08315782"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σbaro + bias</w:t>
            </w:r>
          </w:p>
        </w:tc>
        <w:tc>
          <w:tcPr>
            <w:tcW w:w="1094" w:type="pct"/>
          </w:tcPr>
          <w:p w14:paraId="08315783"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0.3 m + 2 m</w:t>
            </w:r>
          </w:p>
        </w:tc>
        <w:tc>
          <w:tcPr>
            <w:tcW w:w="1406" w:type="pct"/>
          </w:tcPr>
          <w:p w14:paraId="08315784"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Thermal drift</w:t>
            </w:r>
          </w:p>
        </w:tc>
      </w:tr>
      <w:tr w:rsidR="00C826F4" w14:paraId="0831578A" w14:textId="77777777" w:rsidTr="001D0FE0">
        <w:trPr>
          <w:trHeight w:val="464"/>
        </w:trPr>
        <w:tc>
          <w:tcPr>
            <w:tcW w:w="1328" w:type="pct"/>
          </w:tcPr>
          <w:p w14:paraId="08315786"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Token quantization</w:t>
            </w:r>
          </w:p>
        </w:tc>
        <w:tc>
          <w:tcPr>
            <w:tcW w:w="1172" w:type="pct"/>
          </w:tcPr>
          <w:p w14:paraId="08315787"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σq</w:t>
            </w:r>
          </w:p>
        </w:tc>
        <w:tc>
          <w:tcPr>
            <w:tcW w:w="1094" w:type="pct"/>
          </w:tcPr>
          <w:p w14:paraId="08315788"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ell/2 (e.g., 0.5 m for ell = 1 m)</w:t>
            </w:r>
          </w:p>
        </w:tc>
        <w:tc>
          <w:tcPr>
            <w:tcW w:w="1406" w:type="pct"/>
          </w:tcPr>
          <w:p w14:paraId="08315789"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Constant (depends on ell)</w:t>
            </w:r>
          </w:p>
        </w:tc>
      </w:tr>
      <w:tr w:rsidR="00C826F4" w14:paraId="0831578F" w14:textId="77777777" w:rsidTr="001D0FE0">
        <w:trPr>
          <w:trHeight w:val="464"/>
        </w:trPr>
        <w:tc>
          <w:tcPr>
            <w:tcW w:w="1328" w:type="pct"/>
          </w:tcPr>
          <w:p w14:paraId="0831578B"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Semantic error</w:t>
            </w:r>
          </w:p>
        </w:tc>
        <w:tc>
          <w:tcPr>
            <w:tcW w:w="1172" w:type="pct"/>
          </w:tcPr>
          <w:p w14:paraId="0831578C"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Classifier entropy $H(c</w:t>
            </w:r>
          </w:p>
        </w:tc>
        <w:tc>
          <w:tcPr>
            <w:tcW w:w="1094" w:type="pct"/>
          </w:tcPr>
          <w:p w14:paraId="0831578D"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\mathbf{T})$</w:t>
            </w:r>
          </w:p>
        </w:tc>
        <w:tc>
          <w:tcPr>
            <w:tcW w:w="1406" w:type="pct"/>
          </w:tcPr>
          <w:p w14:paraId="0831578E"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0.1–0.8 bit</w:t>
            </w:r>
          </w:p>
        </w:tc>
      </w:tr>
      <w:tr w:rsidR="00C826F4" w14:paraId="08315794" w14:textId="77777777" w:rsidTr="001D0FE0">
        <w:trPr>
          <w:trHeight w:val="464"/>
        </w:trPr>
        <w:tc>
          <w:tcPr>
            <w:tcW w:w="1328" w:type="pct"/>
          </w:tcPr>
          <w:p w14:paraId="08315790"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Occupancy prediction (Δ t = 1 s)</w:t>
            </w:r>
          </w:p>
        </w:tc>
        <w:tc>
          <w:tcPr>
            <w:tcW w:w="1172" w:type="pct"/>
          </w:tcPr>
          <w:p w14:paraId="08315791"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BS(Δ t)</w:t>
            </w:r>
          </w:p>
        </w:tc>
        <w:tc>
          <w:tcPr>
            <w:tcW w:w="1094" w:type="pct"/>
          </w:tcPr>
          <w:p w14:paraId="08315792"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0.05–0.15</w:t>
            </w:r>
          </w:p>
        </w:tc>
        <w:tc>
          <w:tcPr>
            <w:tcW w:w="1406" w:type="pct"/>
          </w:tcPr>
          <w:p w14:paraId="08315793"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 Δ t</w:t>
            </w:r>
          </w:p>
        </w:tc>
      </w:tr>
      <w:tr w:rsidR="00C826F4" w14:paraId="08315799" w14:textId="77777777" w:rsidTr="001D0FE0">
        <w:trPr>
          <w:trHeight w:val="464"/>
        </w:trPr>
        <w:tc>
          <w:tcPr>
            <w:tcW w:w="1328" w:type="pct"/>
          </w:tcPr>
          <w:p w14:paraId="08315795"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Total position error (IMU+VO only, d = 100 m)</w:t>
            </w:r>
          </w:p>
        </w:tc>
        <w:tc>
          <w:tcPr>
            <w:tcW w:w="1172" w:type="pct"/>
          </w:tcPr>
          <w:p w14:paraId="08315796"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CRLB σp</w:t>
            </w:r>
          </w:p>
        </w:tc>
        <w:tc>
          <w:tcPr>
            <w:tcW w:w="1094" w:type="pct"/>
          </w:tcPr>
          <w:p w14:paraId="08315797"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 2–5 m</w:t>
            </w:r>
          </w:p>
        </w:tc>
        <w:tc>
          <w:tcPr>
            <w:tcW w:w="1406" w:type="pct"/>
          </w:tcPr>
          <w:p w14:paraId="08315798"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 d</w:t>
            </w:r>
          </w:p>
        </w:tc>
      </w:tr>
      <w:tr w:rsidR="00C826F4" w14:paraId="0831579E" w14:textId="77777777" w:rsidTr="001D0FE0">
        <w:trPr>
          <w:trHeight w:val="464"/>
        </w:trPr>
        <w:tc>
          <w:tcPr>
            <w:tcW w:w="1328" w:type="pct"/>
          </w:tcPr>
          <w:p w14:paraId="0831579A"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Total position error (IMU+VO+sem, Nloop = 5)</w:t>
            </w:r>
          </w:p>
        </w:tc>
        <w:tc>
          <w:tcPr>
            <w:tcW w:w="1172" w:type="pct"/>
          </w:tcPr>
          <w:p w14:paraId="0831579B"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CRLB σp</w:t>
            </w:r>
          </w:p>
        </w:tc>
        <w:tc>
          <w:tcPr>
            <w:tcW w:w="1094" w:type="pct"/>
          </w:tcPr>
          <w:p w14:paraId="0831579C"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 0.5–1.5 m</w:t>
            </w:r>
          </w:p>
        </w:tc>
        <w:tc>
          <w:tcPr>
            <w:tcW w:w="1406" w:type="pct"/>
          </w:tcPr>
          <w:p w14:paraId="0831579D" w14:textId="77777777" w:rsidR="00C826F4" w:rsidRDefault="00C54218">
            <w:pPr>
              <w:rPr>
                <w:rFonts w:ascii="Times New Roman" w:hAnsi="Times New Roman" w:cs="Times New Roman"/>
                <w:sz w:val="20"/>
                <w:szCs w:val="20"/>
              </w:rPr>
            </w:pPr>
            <w:r>
              <w:rPr>
                <w:rFonts w:ascii="Times New Roman" w:eastAsia="Times New Roman" w:hAnsi="Times New Roman" w:cs="Times New Roman"/>
                <w:sz w:val="20"/>
                <w:szCs w:val="20"/>
              </w:rPr>
              <w:t>Bounded by loop closures</w:t>
            </w:r>
          </w:p>
        </w:tc>
      </w:tr>
    </w:tbl>
    <w:p w14:paraId="0831579F" w14:textId="77777777" w:rsidR="00C826F4" w:rsidRDefault="00C826F4"/>
    <w:p w14:paraId="083157A0"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error budget indicates that the key mechanism for limiting position drift under GNSS-degraded conditions is the effectiveness of semantic loop closures. Each loop closure with high semantic confidence (low εsem^(k)) reduces position variance proportionally to the Fisher information of factor Fsem, enabling maintenance of the error below the operational threshold σp &lt; 2 m even when flying through zones of complete GNSS loss extending to several kilometers.</w:t>
      </w:r>
    </w:p>
    <w:p w14:paraId="083157A1"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5.11. Extended Semantic Token Model</w:t>
      </w:r>
    </w:p>
    <w:p w14:paraId="083157A2"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basic geometric token introduced in §5.3 is replaced by an extended semantic-temporal token 𝒯ₖ, constituting a complete profile of an object recognized in the UAV's environment. Each token stores not only the object's position, but a complete record of the multidimensional observation history:</w:t>
      </w:r>
    </w:p>
    <w:p w14:paraId="083157A3"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𝒯ₖ = ⟨ μₖ, Σₖ, pc^(k), 𝒪ₖ, δₖ, vₖ, ℛₖ, Ωₖ, ρₖ ⟩</w:t>
      </w:r>
    </w:p>
    <w:p w14:paraId="083157A4"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the individual components have the following meaning:</w:t>
      </w:r>
    </w:p>
    <w:p w14:paraId="083157A5" w14:textId="5DEB700A"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μₖ ∈ ℝ³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estimated position (centroid) in the global frame</w:t>
      </w:r>
    </w:p>
    <w:p w14:paraId="083157A6" w14:textId="31132D40"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Σₖ ∈ ℝ³ × 3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position covariance matrix (localization uncertainty)</w:t>
      </w:r>
    </w:p>
    <w:p w14:paraId="083157A7" w14:textId="079884D0"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pc^(k) = (cⱼ | 𝒯ₖ)\ⱼ=1C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semantic class probability distribution</w:t>
      </w:r>
    </w:p>
    <w:p w14:paraId="083157A8" w14:textId="06BC95CB"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𝒪ₖ = \(tᵢ, sᵢ, wᵢ, zᵢ)\ᵢ=1nₖ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observation history: time, sensor ID, reliability weight, measurement</w:t>
      </w:r>
    </w:p>
    <w:p w14:paraId="083157A9" w14:textId="122EC812"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δₖ ∈ , dynamic, periodic\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motion state classification</w:t>
      </w:r>
    </w:p>
    <w:p w14:paraId="083157AA" w14:textId="40DA94D0"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vₖ ∈ ℝ³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estimated velocity vector (for δₖ ≠ static)</w:t>
      </w:r>
    </w:p>
    <w:p w14:paraId="083157AB" w14:textId="3723B3F0"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ℛₖ = \rₖl\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set of spatial-semantic relations to neighboring tokens</w:t>
      </w:r>
    </w:p>
    <w:p w14:paraId="083157AC" w14:textId="6D12A0D1"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Ωₖ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occlusion region (areas hidden by object k)</w:t>
      </w:r>
    </w:p>
    <w:p w14:paraId="083157AD" w14:textId="50EC3B2F"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ρₖ ∈ [0,1]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significance coefficient for flight safety and planning</w:t>
      </w:r>
    </w:p>
    <w:p w14:paraId="083157AE"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Weighted multi-sensor fusion:</w:t>
      </w:r>
    </w:p>
    <w:p w14:paraId="083157AF"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Each observation in the history 𝒪ₖ carries a reliability weight depending on the sensor source, detection confidence, and time elapsed since the last observation:</w:t>
      </w:r>
    </w:p>
    <w:p w14:paraId="083157B0"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lastRenderedPageBreak/>
        <w:t>wᵢ = wbase(sᵢ)· confᵢ · fdecay(t - tᵢ)</w:t>
      </w:r>
    </w:p>
    <w:p w14:paraId="083157B1"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wbase(sᵢ) is the baseline reliability of sensor sᵢ (calibrated a priori), confᵢ ∈ [0,1] is the detection confidence, and fdecay is the temporal decay function:</w:t>
      </w:r>
    </w:p>
    <w:p w14:paraId="083157B2"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fdecay(Δ t) = exp(-λs · Δ t)</w:t>
      </w:r>
    </w:p>
    <w:p w14:paraId="083157B3"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constant λs is a sensor-specific parameter: RGB cameras decay faster (λRGB &gt; λLiDAR) due to sensitivity to illumination changes. The position estimate and its covariance are determined by weighted information fusion:</w:t>
      </w:r>
    </w:p>
    <w:p w14:paraId="083157B4"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Σₖ-¹ = ∑ᵢ=1nₖ wᵢ · Σᵢ-¹, qquad μₖ = Σₖ ∑ᵢ=1nₖ wᵢ · Σᵢ-¹ zᵢ^(k)</w:t>
      </w:r>
    </w:p>
    <w:p w14:paraId="083157B5"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Bayesian update of the semantic class:</w:t>
      </w:r>
    </w:p>
    <w:p w14:paraId="083157B6"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At each new observation znew, the token class is updated according to Bayes' rule:</w:t>
      </w:r>
    </w:p>
    <w:p w14:paraId="083157B7"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p(cⱼ | 𝒯ₖ, znew) ∝ p(znew | cⱼ) · p(cⱼ | 𝒯ₖ)</w:t>
      </w:r>
    </w:p>
    <w:p w14:paraId="083157B8"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prior p(cⱼ | 𝒯ₖ) comes from the previous iteration, and the likelihood p(znew | cⱼ) is the output of the open-vocabulary classifier. The accumulation of observations causes semantic certainty to increase monotonically with nₖ.</w:t>
      </w:r>
    </w:p>
    <w:p w14:paraId="083157B9"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Motion state classification:</w:t>
      </w:r>
    </w:p>
    <w:p w14:paraId="083157BA"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Based on the observation history 𝒪ₖ, the system classifies the token into one of three dynamic classes. Define the sequence of estimated displacements:</w:t>
      </w:r>
    </w:p>
    <w:p w14:paraId="083157BB"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Δ μₖ^(i) = μₖ^(tᵢ) - μₖ^(tᵢ₋₁)</w:t>
      </w:r>
    </w:p>
    <w:p w14:paraId="083157BC"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classification criterion is based on a statistical test:</w:t>
      </w:r>
    </w:p>
    <w:p w14:paraId="083157BD"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δₖ = begincases static &amp; if ‖Δ μₖ‖̄ &lt; εs and σ_Δ &lt; ε_σ \\ periodic &amp; if FFT\‖Δ μₖ^(i)‖\ contains a dominant frequency f* \\ dynamic &amp; otherwise endcases</w:t>
      </w:r>
    </w:p>
    <w:p w14:paraId="083157BE"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εs and ε_σ are experimentally calibrated thresholds.</w:t>
      </w:r>
    </w:p>
    <w:p w14:paraId="083157BF"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Spatial relations between tokens:</w:t>
      </w:r>
    </w:p>
    <w:p w14:paraId="083157C0"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A pair of tokens (𝒯ₖ, 𝒯l) is connected by a relation rₖl describing their mutual geometric and semantic conditioning:</w:t>
      </w:r>
    </w:p>
    <w:p w14:paraId="083157C1"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rₖl = ⟨ dₖl, eₖl, ψₖl, αₖl ⟩</w:t>
      </w:r>
    </w:p>
    <w:p w14:paraId="083157C2"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dₖl = ‖μₖ - μl‖ is the distance, eₖl is the unit direction vector, ψₖl is the ontological relation (e.g., above, adjacent, blocks), and αₖl is the position uncertainty correlation coefficient. These relations form a scene graph 𝒢 = (𝒱, ℰ), in which vertices are tokens and edges carry relations rₖl.</w:t>
      </w:r>
    </w:p>
    <w:p w14:paraId="083157C3"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Modeling of occluded areas:</w:t>
      </w:r>
    </w:p>
    <w:p w14:paraId="083157C4"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For each token 𝒯ₖ and the current UAV position xUAV, the system determines the occlusion cone Ωₖ(xUAV) as the set of points geometrically hidden by the object:</w:t>
      </w:r>
    </w:p>
    <w:p w14:paraId="083157C5"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Ωₖ(xUAV) = x ∈ ℝ³ : ∃ λ &gt; 1, x = xUAV + λ (μₖ - xUAV), ‖x - axisₖ‖ &lt; rₖ</w:t>
      </w:r>
    </w:p>
    <w:p w14:paraId="083157C6"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rₖ is the estimated object radius. These regions enrich the uncertainty map with knowledge about the unknown surroundings.</w:t>
      </w:r>
    </w:p>
    <w:p w14:paraId="083157C7"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Flight safety significance coefficient:</w:t>
      </w:r>
    </w:p>
    <w:p w14:paraId="083157C8"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Token significance ρₖ is a function of the semantic class, observation history, and operational context:</w:t>
      </w:r>
    </w:p>
    <w:p w14:paraId="083157C9"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ρₖ = ρclass(cₖ*) · (1 - exp(-β_ρ · nₖ)) · fcontext(𝒯ₖ, xUAV)</w:t>
      </w:r>
    </w:p>
    <w:p w14:paraId="083157CA"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where ρclass(cₖ*) is the baseline class significance (e.g., ρwire = 0.95, ρtree = 0.6, ρbuilding = 0.8), the factor (1 - exp(-β_ρ nₖ)) reflects growing confidence with the number of observations, and fcontext accounts for distance and current flight conditions.</w:t>
      </w:r>
    </w:p>
    <w:p w14:paraId="083157CB"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5.12. Bayesian Inference about Future Scene States</w:t>
      </w:r>
    </w:p>
    <w:p>
      <w:r>
        <w:t>Implementation status. The current executable reference uses a strictly causal probabilistic occupancy and motion forecaster driven only by observations available up to the prediction time. It produces Bernoulli occupancy probabilities, flow means, uncertainty estimates, observability masks, and physically timed forecast horizons, including irregular or dropped samples. This deterministic causal baseline is preferred for initial validation because future-frame leakage is structurally impossible. The DBN and particle approximation below define the target probabilistic extension for multimodal future-state uncertainty and are not claimed as the current default backend.</w:t>
      </w:r>
    </w:p>
    <w:p w14:paraId="083157CC"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Predicting future scene states is a key element of proactive UAV navigation. The system models the scene as a Dynamic Bayesian Network (DBN), in which the global scene state at time t is defined as:</w:t>
      </w:r>
    </w:p>
    <w:p w14:paraId="083157CD"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St = 𝒯ₖ(t)ₖ=1K</w:t>
      </w:r>
    </w:p>
    <w:p w14:paraId="083157CE"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Scene state transition model:</w:t>
      </w:r>
    </w:p>
    <w:p w14:paraId="083157CF"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Assuming conditional independence of tokens with respect to the common environmental background, the transition model factorizes as:</w:t>
      </w:r>
    </w:p>
    <w:p w14:paraId="083157D0"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p(St+Δ t | St) = ∏ₖ=1K p(𝒯ₖ(t+Δ t) | 𝒯ₖ(t), δₖ, 𝒢t)</w:t>
      </w:r>
    </w:p>
    <w:p w14:paraId="083157D1"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Separate transition models are applied for static, dynamic, and periodic tokens:</w:t>
      </w:r>
    </w:p>
    <w:p w14:paraId="083157D2"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p(μₖ(t+Δ t) | μₖ(t), δₖ) = begincases 𝒩(μₖ, Σₖ + Qs Δ t) &amp; δₖ = static \4pt] 𝒩(μₖ + vₖ Δ t, Σₖ + Qd Δ t) &amp; δₖ = dynamic \4pt] ∑ⱼ αⱼ 𝒩(μₖ^(j), Σₖ^(j)) &amp; δₖ = periodic endcases</w:t>
      </w:r>
    </w:p>
    <w:p w14:paraId="083157D3"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Qs and Qd are process noise matrices for static and dynamic objects, and the periodic model is a Gaussian mixture with components μₖ^(j) corresponding to typical positions within the cycle.</w:t>
      </w:r>
    </w:p>
    <w:p w14:paraId="083157D4"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Particle approximation of the scene state distribution:</w:t>
      </w:r>
    </w:p>
    <w:p w14:paraId="083157D5"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Due to the nonlinearity of models and multimodality of distributions, the posterior probability of the scene state is approximated by a set of Np particles \(st^(i), wt^(i))\ᵢ=1Np:</w:t>
      </w:r>
    </w:p>
    <w:p w14:paraId="083157D6"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p(St | z₁:t) ≈ ∑ᵢ=1Np wt^(i) δ(St - st^(i))</w:t>
      </w:r>
    </w:p>
    <w:p w14:paraId="083157D7"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particle filter recursion proceeds in three steps:</w:t>
      </w:r>
    </w:p>
    <w:p w14:paraId="083157D8"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Prediction:</w:t>
      </w:r>
    </w:p>
    <w:p w14:paraId="083157D9"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st₊₁^(i) sim p(St₊₁ | st^(i))</w:t>
      </w:r>
    </w:p>
    <w:p w14:paraId="083157DA"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Weight update:</w:t>
      </w:r>
    </w:p>
    <w:p w14:paraId="083157DB"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wt₊₁^(i) ∝ wt^(i) · p(zt₊₁ | st₊₁^(i))</w:t>
      </w:r>
    </w:p>
    <w:p w14:paraId="083157DC"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Normalization and resampling:</w:t>
      </w:r>
    </w:p>
    <w:p w14:paraId="083157DD"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wt₊₁^(i) ← fracwt₊₁^(i)∑ⱼ wt₊₁^(j), qquad resample when Neff = (1)/(∑ᵢ (wt^(i)))² &lt; Np / 2</w:t>
      </w:r>
    </w:p>
    <w:p w14:paraId="083157DE"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predictive occupancy map at horizon Δ t is the particle-weighted average:</w:t>
      </w:r>
    </w:p>
    <w:p w14:paraId="083157DF" w14:textId="77777777" w:rsidR="00C826F4" w:rsidRPr="00EF1A2A" w:rsidRDefault="00C54218">
      <w:pPr>
        <w:spacing w:before="80" w:after="80" w:line="240" w:lineRule="auto"/>
        <w:jc w:val="center"/>
        <w:rPr>
          <w:rFonts w:ascii="Times New Roman" w:hAnsi="Times New Roman" w:cs="Times New Roman"/>
          <w:bCs/>
          <w:i/>
          <w:lang w:val="pl-PL"/>
        </w:rPr>
      </w:pPr>
      <w:r w:rsidRPr="00EF1A2A">
        <w:rPr>
          <w:rFonts w:ascii="Times New Roman" w:eastAsia="Times New Roman" w:hAnsi="Times New Roman" w:cs="Times New Roman"/>
          <w:i/>
          <w:iCs/>
          <w:lang w:val="pl-PL"/>
        </w:rPr>
        <w:t>O(x, t+</w:t>
      </w:r>
      <w:r>
        <w:rPr>
          <w:rFonts w:ascii="Times New Roman" w:eastAsia="Times New Roman" w:hAnsi="Times New Roman" w:cs="Times New Roman"/>
          <w:i/>
          <w:iCs/>
        </w:rPr>
        <w:t>Δ</w:t>
      </w:r>
      <w:r w:rsidRPr="00EF1A2A">
        <w:rPr>
          <w:rFonts w:ascii="Times New Roman" w:eastAsia="Times New Roman" w:hAnsi="Times New Roman" w:cs="Times New Roman"/>
          <w:i/>
          <w:iCs/>
          <w:lang w:val="pl-PL"/>
        </w:rPr>
        <w:t xml:space="preserve"> t) = ∑</w:t>
      </w:r>
      <w:r>
        <w:rPr>
          <w:rFonts w:ascii="Times New Roman" w:eastAsia="Times New Roman" w:hAnsi="Times New Roman" w:cs="Times New Roman"/>
          <w:i/>
          <w:iCs/>
        </w:rPr>
        <w:t>ᵢ</w:t>
      </w:r>
      <w:r w:rsidRPr="00EF1A2A">
        <w:rPr>
          <w:rFonts w:ascii="Times New Roman" w:eastAsia="Times New Roman" w:hAnsi="Times New Roman" w:cs="Times New Roman"/>
          <w:i/>
          <w:iCs/>
          <w:lang w:val="pl-PL"/>
        </w:rPr>
        <w:t>=1Np wt^(i) O(x | st+</w:t>
      </w:r>
      <w:r>
        <w:rPr>
          <w:rFonts w:ascii="Times New Roman" w:eastAsia="Times New Roman" w:hAnsi="Times New Roman" w:cs="Times New Roman"/>
          <w:i/>
          <w:iCs/>
        </w:rPr>
        <w:t>Δ</w:t>
      </w:r>
      <w:r w:rsidRPr="00EF1A2A">
        <w:rPr>
          <w:rFonts w:ascii="Times New Roman" w:eastAsia="Times New Roman" w:hAnsi="Times New Roman" w:cs="Times New Roman"/>
          <w:i/>
          <w:iCs/>
          <w:lang w:val="pl-PL"/>
        </w:rPr>
        <w:t xml:space="preserve"> t^(i))</w:t>
      </w:r>
    </w:p>
    <w:p w14:paraId="083157E0"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Inference about occluded areas:</w:t>
      </w:r>
    </w:p>
    <w:p w14:paraId="083157E1"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For the occlusion region Ωₖ determined in §5.11, the occupancy probability is inferred from the semantic context of the occluding token and spatial environment structure statistics:</w:t>
      </w:r>
    </w:p>
    <w:p w14:paraId="083157E2"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p(occupied(x) | 𝒯ₖ) = p₀(cₖ*) + (1 - p₀(cₖ*)) exp(-(d(x, ∂Ωₖ)²)/(2σ_Ω²)), quad x ∈ Ωₖ</w:t>
      </w:r>
    </w:p>
    <w:p w14:paraId="083157E3"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p₀(cₖ) is the baseline probability of an obstacle existing behind an object of class cₖ (e.g., p₀(building) = 0.8, p₀(tree) = 0.3), and σ_Ω controls the uncertainty range. This inference allows the planner to account for hazards invisible to sensors.</w:t>
      </w:r>
    </w:p>
    <w:p w14:paraId="083157E4"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Anomaly and event detection:</w:t>
      </w:r>
    </w:p>
    <w:p w14:paraId="083157E5"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The deviation of the observed state Stobs from the predicted state St is measured by the Mahalanobis distance:</w:t>
      </w:r>
    </w:p>
    <w:p w14:paraId="083157E6"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DM(t) = √((Stobs) - St)top ΣS^-1 (Stobs - St)</w:t>
      </w:r>
    </w:p>
    <w:p w14:paraId="083157E7"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Exceeding the threshold DM(t) &gt; Dalarm triggers heightened attention mode, in which the system increases processing frequency and directs sensors toward the anomaly area.</w:t>
      </w:r>
    </w:p>
    <w:p w14:paraId="083157E8"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5.13. Bayesian Risk Estimation and Trajectory Planning</w:t>
      </w:r>
    </w:p>
    <w:p>
      <w:r>
        <w:t>Implementation status. The executable reference planner currently uses deterministic finite-horizon beam search over admissible acceleration controls with explicit kinematic limits and decomposed collision-risk, energy, time, goal-progress, and information-value terms. This approach is more auditable than stochastic sampling for early confirmatory experiments because identical inputs generate the same candidate evaluation and decision trace. MPPI remains a planned backend for richer dynamics and will be introduced behind the same planner contract only after direct comparison with the deterministic reference.</w:t>
      </w:r>
    </w:p>
    <w:p w14:paraId="083157E9"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S4D-TAM system integrates the risk map directly into the trajectory planning process, treating collision risk as a probabilistic field determined in real time from the current Bayesian state.</w:t>
      </w:r>
    </w:p>
    <w:p w14:paraId="083157EA"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Risk field definition:</w:t>
      </w:r>
    </w:p>
    <w:p w14:paraId="083157EB"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risk field ℛ(x, t) at spatial point x at time t is the sum of weighted contributions from all tokens, including occluded areas:</w:t>
      </w:r>
    </w:p>
    <w:p w14:paraId="083157EC"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ℛ(x, t) = ∑ₖ=1K ρₖ · pocc(x, 𝒯ₖ, t) · pcoll(x, 𝒯ₖ)</w:t>
      </w:r>
    </w:p>
    <w:p w14:paraId="083157ED"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the occupancy probability pocc comes from the Bayesian prediction (§5.12), and the geometric collision probability is modeled as the complementary CDF of the safety distance:</w:t>
      </w:r>
    </w:p>
    <w:p w14:paraId="083157EE"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pcoll(x, 𝒯ₖ) = 1 - Φ(fracd(x, μₖ) - rsafe√(σₖ,r)² + σ_UAV²)</w:t>
      </w:r>
    </w:p>
    <w:p w14:paraId="083157EF"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rsafe is the minimum safety radius, σₖ,r is the object size uncertainty, and σUAV accounts for UAV position uncertainty.</w:t>
      </w:r>
    </w:p>
    <w:p w14:paraId="083157F0"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Risk in occluded areas is elevated proportionally to the uncertainty of the occluded region:</w:t>
      </w:r>
    </w:p>
    <w:p w14:paraId="083157F1"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ℛ(x, t) ← ℛ(x, t) + κ_Ω · 1x ∈ ⋃ₖ Ωₖ · maxₖ p₀(cₖ*)</w:t>
      </w:r>
    </w:p>
    <w:p w14:paraId="083157F2"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Trajectory cost function:</w:t>
      </w:r>
    </w:p>
    <w:p w14:paraId="083157F3"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optimal trajectory τ* minimizes a multi-component cost function:</w:t>
      </w:r>
    </w:p>
    <w:p w14:paraId="083157F4"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J(τ) = wL L(τ) + wE E(τ) + wR ∫_τ ℛ(x(t), t) dt + wU ∫_τ 𝒰(x(t), t) dt - wI ℐ(τ)</w:t>
      </w:r>
    </w:p>
    <w:p w14:paraId="083157F5"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w:t>
      </w:r>
    </w:p>
    <w:p w14:paraId="083157F6" w14:textId="5D44F2EB"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L(τ)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trajectory length</w:t>
      </w:r>
    </w:p>
    <w:p w14:paraId="083157F7" w14:textId="4E55D2DB"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E(τ)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energy cost (dependent on UAV dynamics)</w:t>
      </w:r>
    </w:p>
    <w:p w14:paraId="083157F8" w14:textId="503E7C2C"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ℛ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integrated collision risk along the route</w:t>
      </w:r>
    </w:p>
    <w:p w14:paraId="083157F9" w14:textId="79562810"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𝒰(x,t) = σp²(x,t) + κ_Ω · 1x ∈ Ω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world model uncertainty</w:t>
      </w:r>
    </w:p>
    <w:p w14:paraId="083157FA" w14:textId="724FD1AE"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ℐ(τ)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information gain (rewarding active exploration of high-uncertainty zones)</w:t>
      </w:r>
    </w:p>
    <w:p w14:paraId="083157FB"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Information gain is expressed through the expected scene entropy reduction:</w:t>
      </w:r>
    </w:p>
    <w:p w14:paraId="083157FC"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ℐ(τ) = H(St) - E_τ[H(St | z₁:τ)]</w:t>
      </w:r>
    </w:p>
    <w:p w14:paraId="083157FD"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Bayesian trajectory optimization (BTO):</w:t>
      </w:r>
    </w:p>
    <w:p w14:paraId="083157FE"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τ* = arg min_τ ∈ ℱ ES[J(τ | S)]</w:t>
      </w:r>
    </w:p>
    <w:p w14:paraId="083157FF" w14:textId="77777777" w:rsidR="00C826F4" w:rsidRDefault="00C54218">
      <w:pPr>
        <w:spacing w:after="120" w:line="240" w:lineRule="auto"/>
        <w:jc w:val="both"/>
        <w:rPr>
          <w:rFonts w:ascii="Times New Roman" w:hAnsi="Times New Roman" w:cs="Times New Roman"/>
          <w:sz w:val="24"/>
          <w:szCs w:val="24"/>
        </w:rPr>
      </w:pPr>
      <w:r>
        <w:t>For a future high-dimensional stochastic planning backend, direct minimization of the expected value may be approximated by particle trajectory sampling via MPPI (Model Predictive Path Integral). The following formulation defines that target extension; it is not required by the current deterministic reference planner:</w:t>
      </w:r>
    </w:p>
    <w:p w14:paraId="08315800"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τ* ≈ frac∑m=1M exp(-(1)/(λMPPI) J(τm)) τm∑m=1M exp(-(1)/(λMPPI) J(τm))</w:t>
      </w:r>
    </w:p>
    <w:p w14:paraId="08315801"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M sampled trajectories \τm\ are generated randomly from a normal distribution around the nominal trajectory, and λMPPI is a temperature parameter controlling the exploration-exploitation tradeoff.</w:t>
      </w:r>
    </w:p>
    <w:p w14:paraId="08315802"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Multi-level decision system:</w:t>
      </w:r>
    </w:p>
    <w:p w14:paraId="08315803"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risk field ℛ(x, t) defines four decision levels:</w:t>
      </w:r>
    </w:p>
    <w:p w14:paraId="08315804"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UAV Mode = begincases nominal &amp; ℛ(xUAV, t) &lt; ℛsafe \\ alert &amp; ℛsafe ≤ ℛ &lt; ℛalert \\ avoidance &amp; ℛalert ≤ ℛ &lt; ℛavoid \\ emergency &amp; ℛ ≥ ℛavoid endcases</w:t>
      </w:r>
    </w:p>
    <w:p w14:paraId="08315805"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In alert mode, the planner selects avoidance trajectories with wider margins; in avoidance mode, an immediate maneuver is required; in emergency mode, the UAV initiates a safe landing or return procedure.</w:t>
      </w:r>
    </w:p>
    <w:p w14:paraId="08315806"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5.14. Adaptive World Model with Hierarchical Resolution</w:t>
      </w:r>
    </w:p>
    <w:p>
      <w:r>
        <w:t>Implementation status. The current token memory already enforces bounded history and configurable limits on token count, map memory, and update time, together with lifecycle activation, sleeping, reactivation, merging, and removal rules. These mechanisms implement the resource-bounded principle of this section. The full adaptive octree and Level-of-Detail storage policy described below remains a planned world-model backend and will be validated separately before becoming the default representation.</w:t>
      </w:r>
    </w:p>
    <w:p w14:paraId="08315807"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Uniform tokenization resolution is a fundamental bottleneck in systems operating under limited computational resources. The S4D-TAM system introduces an Adaptive World Occupancy Model (AWOM) based on a hierarchical octree structure.</w:t>
      </w:r>
    </w:p>
    <w:p w14:paraId="08315808"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Hierarchical octree structure:</w:t>
      </w:r>
    </w:p>
    <w:p w14:paraId="08315809"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UAV's operational space is represented by an adaptive octree 𝒪 with node resolutions ell ∈ \ell₁, ell₂, …, ellL\, where ell₁ &lt; ell₂ &lt; ⋯ &lt; ellL:</w:t>
      </w:r>
    </w:p>
    <w:p w14:paraId="0831580A"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ell₁ = 0.1 m,quad ell₂ = 0.5 m,quad ell₃ = 2 m,quad ell₄ = 10 m</w:t>
      </w:r>
    </w:p>
    <w:p w14:paraId="0831580B"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Each octree node at level ellⱼ is compressed into a Level of Detail (LOD) token representation at level j:</w:t>
      </w:r>
    </w:p>
    <w:p w14:paraId="0831580C"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LODₖ ∈ \0, 1, 2, 3\</w:t>
      </w:r>
    </w:p>
    <w:p w14:paraId="0831580D" w14:textId="5DF6E3D8"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LOD 0: token stores only (μₖ, ρₖ, cₖ*)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centroid, significance, and dominant class</w:t>
      </w:r>
    </w:p>
    <w:p w14:paraId="0831580E"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LOD 1: LOD 0 + approximate point cloud (up to 64 pts) + pc^(k)</w:t>
      </w:r>
    </w:p>
    <w:p w14:paraId="0831580F"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LOD 2: LOD 1 + full attention embedding + observation history 𝒪ₖ</w:t>
      </w:r>
    </w:p>
    <w:p w14:paraId="08315810"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LOD 3: LOD 2 + motion prediction model + spatial relations ℛₖ + region Ωₖ</w:t>
      </w:r>
    </w:p>
    <w:p w14:paraId="08315811"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Resolution adaptation criterion:</w:t>
      </w:r>
    </w:p>
    <w:p w14:paraId="08315812"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optimal token resolution ellₖ is determined as a trade-off between perception quality, computational resources, and location significance:</w:t>
      </w:r>
    </w:p>
    <w:p w14:paraId="08315813"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ellₖ = ell₁ · 2^ Lₖ, qquad Lₖ = leftlfloor Lmax · fdist(dₖ) · frisk(ρₖ)-¹ · fcomp(Cavail)-¹ rightrfloor</w:t>
      </w:r>
    </w:p>
    <w:p w14:paraId="08315814"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w:t>
      </w:r>
    </w:p>
    <w:p w14:paraId="08315815"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fdist(dₖ) = min(1, fracd(μₖ, xUAV)dmax), quad frisk(ρₖ) = ρₖ + ε_ρ, quad fcomp(Cavail) = fracCavailCnominal</w:t>
      </w:r>
    </w:p>
    <w:p w14:paraId="08315816"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Interpretation: tokens close to the UAV, with high safety significance, and under conditions of good resource availability receive higher resolution; distant, low-significance tokens, or those during CPU overload, receive lower resolution.</w:t>
      </w:r>
    </w:p>
    <w:p w14:paraId="08315817"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Dynamic processing priorities:</w:t>
      </w:r>
    </w:p>
    <w:p w14:paraId="08315818"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Each token 𝒯ₖ has a priority scalar πₖ computed at each planning cycle:</w:t>
      </w:r>
    </w:p>
    <w:p w14:paraId="08315819"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πₖ = α_π · ρₖ + β_π · (1)/(λmin)(Σₖ) + ε + γ_π · fage(t - tlast,k) + δ_π · 1_δₖ ≠ static</w:t>
      </w:r>
    </w:p>
    <w:p w14:paraId="0831581A"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w:t>
      </w:r>
    </w:p>
    <w:p w14:paraId="0831581B" w14:textId="1E500CD1"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ρₖ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safety significance (§5.11)</w:t>
      </w:r>
    </w:p>
    <w:p w14:paraId="0831581C" w14:textId="5E5F2923"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λmin(Σₖ)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smallest eigenvalue of the covariance matrix (lower value = high confidence, lower update priority)</w:t>
      </w:r>
    </w:p>
    <w:p w14:paraId="0831581D" w14:textId="149F691A"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 fage(t - tlast,k) = 1 - exp(-ν · (t - tlast,k))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aging factor encouraging refresh of stale tokens</w:t>
      </w:r>
    </w:p>
    <w:p w14:paraId="0831581E" w14:textId="1E6D644E"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 xml:space="preserve">• 1_δₖ ≠ static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priority bonus for dynamic and periodic tokens</w:t>
      </w:r>
    </w:p>
    <w:p w14:paraId="0831581F"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Computational budget allocation across layers:</w:t>
      </w:r>
    </w:p>
    <w:p w14:paraId="08315820"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total computational budget Ctotal is distributed among the processing pipeline layers:</w:t>
      </w:r>
    </w:p>
    <w:p w14:paraId="08315821"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Ctotal = Csensor + CSLAM + Ctoken + Cattn + Cpred + Cplan</w:t>
      </w:r>
    </w:p>
    <w:p w14:paraId="08315822"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Constraints: ∑ᵢ Cᵢ ≤ Ctotal and Csensor ≥ Csensormin (minimum resources for perception safety). When Cavail &lt; Cnominal, reduction occurs in cascade from the layer with the lowest safety priority:</w:t>
      </w:r>
    </w:p>
    <w:p w14:paraId="08315823"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Cᵢ ← max(Cᵢmin, Cᵢ · fracCavailCnominal), qquad i ∈ , pred, plan, token, SLAM, sensor\</w:t>
      </w:r>
    </w:p>
    <w:p w14:paraId="08315824"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5.15. Computational Resource Management and Bottleneck Elimination</w:t>
      </w:r>
    </w:p>
    <w:p>
      <w:r>
        <w:t>Implementation status. Structured telemetry and resource budgets already expose update-time, token-count, memory, lifecycle, and decision events needed for profiling and replay. Predictive queue-overflow control, EDF-RT scheduling, guaranteed safety-critical CPU reservations, and the full survival-mode controller described below remain planned real-time systems extensions rather than features of the current Python reference.</w:t>
      </w:r>
    </w:p>
    <w:p w14:paraId="08315825"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Intelligent resource management is a necessary condition for realizing all described S4D-TAM layers on embedded-class UAV hardware. This section formalizes the data flow model, bottleneck identification, and elimination mechanisms.</w:t>
      </w:r>
    </w:p>
    <w:p w14:paraId="08315826"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Processing pipeline throughput analysis:</w:t>
      </w:r>
    </w:p>
    <w:p w14:paraId="08315827"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S4D-TAM pipeline consists of N sequential stages with processing times Tᵢ and queue sizes qᵢ(t). System throughput is limited by the bottleneck stage:</w:t>
      </w:r>
    </w:p>
    <w:p w14:paraId="08315828"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Θsys = (1)/(maxᵢ) Tᵢ, qquad i* = arg maxᵢ Tᵢ</w:t>
      </w:r>
    </w:p>
    <w:p w14:paraId="08315829"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For the S4D-TAM pipeline with stages: {acquisition, SLAM front-end, tokenization, attention, Bayesian prediction, planner}, the nominal cycle time is:</w:t>
      </w:r>
    </w:p>
    <w:p w14:paraId="0831582A"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Tcycle = ∑ᵢ=1⁶ Tᵢ + Tcomm</w:t>
      </w:r>
    </w:p>
    <w:p w14:paraId="0831582B"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Tcomm accounts for data bus latencies between modules.</w:t>
      </w:r>
    </w:p>
    <w:p w14:paraId="0831582C"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Bottleneck prediction:</w:t>
      </w:r>
    </w:p>
    <w:p w14:paraId="0831582D"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system monitors queue lengths qᵢ(t) and predicts overload via Bayesian methods. Modeling task arrival as a Poisson process with intensity λᵢ(t), the probability of queue overflow within horizon Δ t is:</w:t>
      </w:r>
    </w:p>
    <w:p w14:paraId="0831582E"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P(qᵢ(t+Δ t) &gt; qmax) = 1 - ∑n=0qmax-qᵢ(t) ((λᵢ · Δ t)n)/(n!) e^-λᵢ Δ t</w:t>
      </w:r>
    </w:p>
    <w:p w14:paraId="0831582F"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When P &gt; Palarm, the system proactively reduces the load of stage i by:</w:t>
      </w:r>
    </w:p>
    <w:p w14:paraId="08315830"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Reducing tokenization resolution (tokenization stage)</w:t>
      </w:r>
    </w:p>
    <w:p w14:paraId="08315831"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Skipping updates of low-priority tokens πₖ (attention stage)</w:t>
      </w:r>
    </w:p>
    <w:p w14:paraId="08315832"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Shortening the prediction horizon Δ tpred (prediction stage)</w:t>
      </w:r>
    </w:p>
    <w:p w14:paraId="08315833"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Simplifying the trajectory sampler (reducing M in MPPI, planner stage)</w:t>
      </w:r>
    </w:p>
    <w:p w14:paraId="08315834"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Adaptive processing frequency:</w:t>
      </w:r>
    </w:p>
    <w:p w14:paraId="08315835"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effective processing frequency is dynamically scaled to available resources:</w:t>
      </w:r>
    </w:p>
    <w:p w14:paraId="08315836"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fproc(t) = min(fnom, fracCavail(t)Cper)</w:t>
      </w:r>
    </w:p>
    <w:p w14:paraId="08315837"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When fproc &lt; fmin, the system automatically simplifies the world model: it switches to survival mode with only a local attention map within radius rsurvival and a reactive planner based on VFH+ (Vector Field Histogram+).</w:t>
      </w:r>
    </w:p>
    <w:p w14:paraId="08315838" w14:textId="59737E8E"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Token memory management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TTL and LOD-compression policy:</w:t>
      </w:r>
    </w:p>
    <w:p w14:paraId="08315839"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Total token memory is bounded by the budget:</w:t>
      </w:r>
    </w:p>
    <w:p w14:paraId="0831583A"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Mtokens = ∑ₖ=1K m(LODₖ) ≤ Mbudget</w:t>
      </w:r>
    </w:p>
    <w:p w14:paraId="0831583B"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where m(LODⱼ) is the token size at level j (e.g., m(0) = 64 B, m(1) = 512 B, m(2) = 4 KB, m(3) = 32 KB). The memory management policy combines three mechanisms:</w:t>
      </w:r>
    </w:p>
    <w:p w14:paraId="0831583C"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TTL (Time-To-Live): a token is deactivated if t - tlast,k &gt; TTTL and ρₖ &lt; ρprune.</w:t>
      </w:r>
    </w:p>
    <w:p w14:paraId="0831583D"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Merging: static tokens at distance dₖl &lt; ellₖ with KL-divergence DKL(pc^(k) ‖ pc^(l)) &lt; εKL are merged into a common token:</w:t>
      </w:r>
    </w:p>
    <w:p w14:paraId="0831583E"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μₖl = (nₖ μₖ + nl μl)/(nₖ + nl), qquad Σₖl-¹ = Σₖ-¹ + Σl-¹</w:t>
      </w:r>
    </w:p>
    <w:p w14:paraId="0831583F"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LOD-compression: tokens beyond the active processing range are degraded to a lower LOD, freeing operational memory.</w:t>
      </w:r>
    </w:p>
    <w:p w14:paraId="08315840"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Task scheduling with safety guarantee:</w:t>
      </w:r>
    </w:p>
    <w:p w14:paraId="08315841" w14:textId="09900D1A"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task scheduler allocates CPU time to S4D-TAM system modules according to an EDF-RT (Earliest Deadline First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Real-Time) policy extended with a safety coefficient:</w:t>
      </w:r>
    </w:p>
    <w:p w14:paraId="08315842" w14:textId="77777777" w:rsidR="00C826F4" w:rsidRDefault="00C54218">
      <w:pPr>
        <w:spacing w:before="80" w:after="80" w:line="240" w:lineRule="auto"/>
        <w:jc w:val="center"/>
        <w:rPr>
          <w:rFonts w:ascii="Times New Roman" w:hAnsi="Times New Roman" w:cs="Times New Roman"/>
          <w:bCs/>
          <w:i/>
        </w:rPr>
      </w:pPr>
      <w:r>
        <w:rPr>
          <w:rFonts w:ascii="Times New Roman" w:eastAsia="Times New Roman" w:hAnsi="Times New Roman" w:cs="Times New Roman"/>
          <w:i/>
          <w:iCs/>
        </w:rPr>
        <w:t>Priorityᵢ(t) = fracρᵢmaxTdeadline,i(t) - t + κsafety · 1ᵢ ∈ 𝒞_safety</w:t>
      </w:r>
    </w:p>
    <w:p w14:paraId="08315843"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where ρᵢmax = maxₖ ρₖ in the task queue of stage i, Tdeadline,i(t) is the absolute completion deadline, and 𝒞safety is the set of safety-critical stages (sensor acquisition, SLAM front-end, collision detection). Safety-critical tasks 𝒞safety have a guaranteed minimum CPU time regardless of system load, ensuring minimally safe operation even under full resource saturation.</w:t>
      </w:r>
    </w:p>
    <w:p w14:paraId="08315844" w14:textId="77777777" w:rsidR="00C826F4" w:rsidRDefault="00C54218">
      <w:pPr>
        <w:spacing w:before="280" w:after="140" w:line="240" w:lineRule="auto"/>
        <w:rPr>
          <w:rFonts w:ascii="Times New Roman" w:hAnsi="Times New Roman" w:cs="Times New Roman"/>
          <w:b/>
          <w:bCs/>
          <w:sz w:val="28"/>
          <w:szCs w:val="28"/>
        </w:rPr>
      </w:pPr>
      <w:r>
        <w:rPr>
          <w:rFonts w:ascii="Times New Roman" w:eastAsia="Times New Roman" w:hAnsi="Times New Roman" w:cs="Times New Roman"/>
          <w:b/>
          <w:bCs/>
          <w:sz w:val="28"/>
          <w:szCs w:val="28"/>
        </w:rPr>
        <w:t>6. Research Hypotheses</w:t>
      </w:r>
    </w:p>
    <w:p>
      <w:pPr/>
      <w:r>
        <w:t>The confirmatory mechanism study uses seven preregistered hypotheses. Each hypothesis compares the full S4D-TAM model with a variant that disables exactly one mechanism while data, seeds, preprocessing, optimization budget, and all other settings remain fixed. External systems are deliberately excluded from this causal ablation family.</w:t>
      </w:r>
    </w:p>
    <w:p>
      <w:pPr/>
      <w:r>
        <w:t>H1: Semantics improve navigation in scenarios containing dynamic objects. The primary endpoint is mission success; collisions per kilometer and semantic mIoU are secondary outcomes.</w:t>
      </w:r>
    </w:p>
    <w:p>
      <w:pPr/>
      <w:r>
        <w:t>H2: Temporal state improves 1 s future-state prediction. The primary endpoint is forecast occupancy IoU at 1 s; flow EPE and temporal flip rate are secondary outcomes.</w:t>
      </w:r>
    </w:p>
    <w:p>
      <w:pPr/>
      <w:r>
        <w:t>H3: Calibrated uncertainty reduces navigation risk. The primary endpoint is collisions per kilometer; ECE, NLL, and near misses are secondary outcomes.</w:t>
      </w:r>
    </w:p>
    <w:p>
      <w:pPr/>
      <w:r>
        <w:t>H4: Topological support increases mission success. Path efficiency and ATE RMSE are secondary outcomes.</w:t>
      </w:r>
    </w:p>
    <w:p>
      <w:pPr/>
      <w:r>
        <w:t>H5: Reference-map support reduces localization error. The primary endpoint is ATE RMSE; RPE and final drift percentage are secondary outcomes.</w:t>
      </w:r>
    </w:p>
    <w:p>
      <w:pPr/>
      <w:r>
        <w:t>H6: Predictive risk modeling reduces collisions. The primary endpoint is collisions per kilometer; near misses and minimum clearance are secondary outcomes.</w:t>
      </w:r>
    </w:p>
    <w:p>
      <w:pPr/>
      <w:r>
        <w:t>H7: Token lifecycle management reduces computational cost without materially degrading navigation quality. Confirmation requires both lower p95 latency and non-inferior mission success with a preregistered margin of 2 percentage points; map bytes and peak RSS are secondary outcomes.</w:t>
      </w:r>
    </w:p>
    <w:p>
      <w:pPr/>
      <w:r>
        <w:t>H1-H6 are superiority hypotheses in the preregistered direction. H7 combines efficiency superiority with mission-success non-inferiority. The seven confirmatory decisions form one family and use the Holm procedure defined in Section 7.4.</w:t>
      </w:r>
    </w:p>
    <w:p w14:paraId="0831584D" w14:textId="77777777" w:rsidR="00C826F4" w:rsidRDefault="00C54218">
      <w:pPr>
        <w:spacing w:before="280" w:after="140" w:line="240" w:lineRule="auto"/>
        <w:rPr>
          <w:rFonts w:ascii="Times New Roman" w:hAnsi="Times New Roman" w:cs="Times New Roman"/>
          <w:b/>
          <w:bCs/>
          <w:sz w:val="28"/>
          <w:szCs w:val="28"/>
        </w:rPr>
      </w:pPr>
      <w:r>
        <w:rPr>
          <w:rFonts w:ascii="Times New Roman" w:eastAsia="Times New Roman" w:hAnsi="Times New Roman" w:cs="Times New Roman"/>
          <w:b/>
          <w:bCs/>
          <w:sz w:val="28"/>
          <w:szCs w:val="28"/>
        </w:rPr>
        <w:t>7. Proposed Experimental Validation</w:t>
      </w:r>
    </w:p>
    <w:p w14:paraId="0831584E"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7.1. Datasets</w:t>
      </w:r>
    </w:p>
    <w:p>
      <w:pPr/>
      <w:r>
        <w:t>The validation framework targets TartanAir, Blackbird, MARSIM, and AeroVerse, each converted to the common SequenceData contract with immutable source version, license record, coordinate convention, calibration metadata, and SHA-256 manifest. The cohort identifier frozen-2026-01 denotes the study cohort rather than a vendor release and must resolve to exact source versions and file hashes.</w:t>
      </w:r>
    </w:p>
    <w:p>
      <w:pPr/>
      <w:r>
        <w:t>Data are split at the environment or flight level, never by adjacent frames. The train split is the only source of learned weight updates; calibration is reserved for thresholds, normalization, early stopping, and uncertainty calibration; test remains inaccessible until code, artifacts, and analysis are frozen.</w:t>
      </w:r>
    </w:p>
    <w:p>
      <w:pPr/>
      <w:r>
        <w:t>The preregistered offline mechanism study uses 20 preselected test sequences per dataset, yielding 80 paired sequence-level units. Systems validation additionally defines 30 paired SIL scenarios with five seeds, 20 HIL scenarios with five seeds, and 20 paired controlled real-flight missions per variant when the safety gate remains open.</w:t>
      </w:r>
    </w:p>
    <w:p>
      <w:pPr/>
      <w:r>
        <w:t>A dedicated UAV dataset remains desirable for synchronized RGB, thermal, IMU, GNSS, point cloud, elevation/reference map, static and dynamic labels, visibility or observability masks, and controlled sensor-degradation scenarios. Metrics that require unavailable ground truth are reported as unavailable rather than silently omitted or imputed.</w:t>
      </w:r>
    </w:p>
    <w:p w14:paraId="0831585D" w14:textId="77777777" w:rsidR="00C826F4" w:rsidRDefault="00C54218">
      <w:pPr>
        <w:spacing w:before="220" w:after="100" w:line="240" w:lineRule="auto"/>
        <w:rPr>
          <w:rFonts w:ascii="Times New Roman" w:hAnsi="Times New Roman" w:cs="Times New Roman"/>
          <w:b/>
          <w:bCs/>
          <w:sz w:val="24"/>
          <w:szCs w:val="24"/>
        </w:rPr>
      </w:pPr>
      <w:r>
        <w:t>7.2. Two-Level Comparison Design</w:t>
      </w:r>
    </w:p>
    <w:p>
      <w:pPr/>
      <w:r>
        <w:t>The evaluation is split into two non-interchangeable levels. Both levels use common dataset and metric contracts where applicable, but they answer different scientific questions and produce separate statistical reports.</w:t>
      </w:r>
    </w:p>
    <w:p>
      <w:pPr/>
      <w:r>
        <w:rPr>
          <w:rFonts w:ascii="Times New Roman" w:hAnsi="Times New Roman"/>
          <w:b/>
        </w:rPr>
        <w:t>7.2.1. External System Comparison</w:t>
      </w:r>
    </w:p>
    <w:p>
      <w:pPr/>
      <w:r>
        <w:t>The external comparison asks whether the complete S4D-TAM system is competitive with independently implemented navigation and SLAM systems under the same data, hardware policy, sensor availability, and evaluator definitions.</w:t>
      </w:r>
    </w:p>
    <w:p>
      <w:pPr/>
      <w:r>
        <w:t>The mandatory primary baseline set comprises ORB-SLAM3, VINS-Mono, FAST-LIO2, and LIO-SAM. Each baseline is pinned to an upstream revision and fixed environment or container, calibration, sensor-topic mapping, loop-closure policy, warm-up policy, and hardware configuration. Results enter the benchmark only through the common AlgorithmResult artifact schema.</w:t>
      </w:r>
    </w:p>
    <w:p>
      <w:pPr/>
      <w:r>
        <w:t>Additional external systems may be included only when their sensing assumptions are compatible, their exact implementation can be reproduced, and their output can be normalized without method-specific post-processing. Such additions must be frozen before the external study is executed.</w:t>
      </w:r>
    </w:p>
    <w:p>
      <w:pPr/>
      <w:r>
        <w:t>This level measures complete-system competitiveness. A difference relative to an external baseline cannot be interpreted as the causal effect of an individual S4D-TAM component.</w:t>
      </w:r>
    </w:p>
    <w:p>
      <w:pPr/>
      <w:r>
        <w:rPr>
          <w:rFonts w:ascii="Times New Roman" w:hAnsi="Times New Roman"/>
          <w:b/>
        </w:rPr>
        <w:t>7.2.2. Internal Mechanism Study</w:t>
      </w:r>
    </w:p>
    <w:p>
      <w:pPr/>
      <w:r>
        <w:t>The internal comparison tests mechanism contribution using the full system and seven single-component ablations: H1_no_semantics, H2_no_temporal_state, H3_no_calibrated_uncertainty, H4_no_topology, H5_no_reference_map, H6_no_risk_prediction, and H7_no_token_lifecycle.</w:t>
      </w:r>
    </w:p>
    <w:p>
      <w:pPr/>
      <w:r>
        <w:t>Each variant differs from full by exactly one switch and uses its own frozen trained artifact. External systems never appear in this matrix. This separation prevents confounding complete-system identity with the causal effect of removing one S4D-TAM mechanism.</w:t>
      </w:r>
    </w:p>
    <w:p w14:paraId="08315867" w14:textId="77777777" w:rsidR="00C826F4" w:rsidRDefault="00C54218">
      <w:pPr>
        <w:spacing w:before="220" w:after="10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7.3. Metrics</w:t>
      </w:r>
    </w:p>
    <w:p>
      <w:pPr/>
      <w:r>
        <w:t>Primary endpoints are deliberately compact and preregistered: localization uses ATE RMSE after SE(3) alignment without scale; forecasting uses occupancy IoU at 1 s and, for broader characterization, 3 s; safety uses mission success and collisions per kilometer; efficiency uses p95 latency and persistent map-memory footprint.</w:t>
      </w:r>
    </w:p>
    <w:p>
      <w:pPr/>
      <w:r>
        <w:t>Localization and SLAM secondary metrics include RPE translation RMSE, final drift in meters and percentage of reference path length, and rotation RPE when orientation ground truth is available. Relocalization success rate, time to relocalize, and post-relocalization pose error are reported when the dataset supports those events.</w:t>
      </w:r>
    </w:p>
    <w:p>
      <w:pPr/>
      <w:r>
        <w:t>Semantic metrics include mIoU and macro F1. Forecasting metrics include per-horizon occupancy IoU/F1, flow EPE, Brier score, NLL, and ECE. Pose uncertainty is evaluated by NEES, 95% coverage, and NLL where covariance output is available. Risk prediction may additionally report AUROC, false-alarm rate, and miss rate.</w:t>
      </w:r>
    </w:p>
    <w:p>
      <w:pPr/>
      <w:r>
        <w:t>Navigation metrics include mission success, collisions per kilometer, near misses, minimum clearance, and path efficiency. Efficiency metrics include latency p95, map bytes, peak RSS, CPU time, and implementation-specific telemetry such as processed-token counts when consistently available.</w:t>
      </w:r>
    </w:p>
    <w:p>
      <w:pPr/>
      <w:r>
        <w:t>Scale error, embedding quality, spatial-relation accuracy, emergency replanning counts, FPS, and energy consumption may be reported as secondary or exploratory metrics when their ground truth and measurement procedure are explicitly defined. They do not become confirmatory endpoints merely because an implementation emits them.</w:t>
      </w:r>
    </w:p>
    <w:p>
      <w:pPr/>
      <w:r>
        <w:t>A missing metric caused by absent ground truth or absent algorithm output is recorded as unavailable. Algorithm failure, timeout, abort, or collision is not treated as a missing observation and remains visible in the safety analysis.</w:t>
      </w:r>
    </w:p>
    <w:p>
      <w:pPr/>
      <w:r>
        <w:rPr>
          <w:rFonts w:ascii="Times New Roman" w:hAnsi="Times New Roman"/>
          <w:b/>
          <w:sz w:val="24"/>
        </w:rPr>
        <w:t>7.4. Confirmatory Protocol and Statistical Analysis</w:t>
      </w:r>
    </w:p>
    <w:p>
      <w:pPr/>
      <w:r>
        <w:t>The preregistered H1-H7 study uses sequence or mission level inference rather than treating individual frames as independent samples. Continuous outcomes are summarized with paired mean differences and 95% BCa bootstrap confidence intervals using 10,000 resamples. Mission success is modeled as a paired scenario-level probability outcome, while distance-normalized event counts use Poisson or negative-binomial modeling with log distance as an offset according to the preregistered overdispersion rule.</w:t>
      </w:r>
    </w:p>
    <w:p>
      <w:pPr/>
      <w:r>
        <w:t>The seven H1-H7 confirmatory decisions form one family and are corrected with the sequential Holm procedure at family-wise alpha = 0.05. H1-H6 require the corrected result and confidence interval to support the predicted superiority direction. H7 additionally requires mission-success non-inferiority within 2 percentage points while improving p95 latency.</w:t>
      </w:r>
    </w:p>
    <w:p>
      <w:pPr/>
      <w:r>
        <w:t>No missing technical result is imputed. Aborts and algorithm failures remain in the denominator for safety outcomes; complete-case reporting is accompanied by the preregistered worst-case sensitivity analysis. Exclusions are limited to integrity failures, excessive missing timestamps, independently confirmed sensor faults, or operational constraints defined before result inspection.</w:t>
      </w:r>
    </w:p>
    <w:p>
      <w:pPr/>
      <w:r>
        <w:t>The external system comparison is reported separately from this H1-H7 inferential family. It uses the same frozen datasets and common evaluators, but its effect estimates describe differences between complete systems rather than component-level causal effects.</w:t>
      </w:r>
    </w:p>
    <w:p w14:paraId="08315888" w14:textId="77777777" w:rsidR="00C826F4" w:rsidRDefault="00C54218">
      <w:pPr>
        <w:spacing w:before="280" w:after="140" w:line="240" w:lineRule="auto"/>
        <w:rPr>
          <w:rFonts w:ascii="Times New Roman" w:hAnsi="Times New Roman" w:cs="Times New Roman"/>
          <w:b/>
          <w:bCs/>
          <w:sz w:val="28"/>
          <w:szCs w:val="28"/>
        </w:rPr>
      </w:pPr>
      <w:r>
        <w:rPr>
          <w:rFonts w:ascii="Times New Roman" w:eastAsia="Times New Roman" w:hAnsi="Times New Roman" w:cs="Times New Roman"/>
          <w:b/>
          <w:bCs/>
          <w:sz w:val="28"/>
          <w:szCs w:val="28"/>
        </w:rPr>
        <w:t>8. Discussion</w:t>
      </w:r>
    </w:p>
    <w:p w14:paraId="08315889" w14:textId="4F472DA2"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proposed S4D-TAM system represents an attempt to transition from a classical geometric map to a predictive spatial memory of the UAV. The key advantage is amortized perception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cost of image analysis is incurred once, while the result remains available in spatial memory across many subsequent planning cycles [1]. This approach may substantially reduce computational redundancy in systems where the same images are repeatedly analyzed by different modules [12], [40].</w:t>
      </w:r>
    </w:p>
    <w:p w14:paraId="0831588A"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hierarchical token representation allows storing large, regular surfaces at low resolution, while edges, obstacles, and dynamic objects are retained at higher resolution [5], [6], [7], [37], [38]. This is consistent with the direction set by Superpoint Transformer, Octree-Graph, and other architectures demonstrating that aggregating points into higher-level structures can substantially reduce representation complexity.</w:t>
      </w:r>
    </w:p>
    <w:p w14:paraId="0831588B"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spatiotemporal attention mechanism enables modeling of long-range relations between tokens while maintaining computational efficiency by restricting attention to local neighborhoods and global landmarks [8], [12], [14], [16]. Token-uncertainty-weighted attention limits the influence of uncertain observations on world model updates, which may improve system stability under conditions of partial observability [1], [11].</w:t>
      </w:r>
    </w:p>
    <w:p w14:paraId="0831588C" w14:textId="5A6AD6DB"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Occupancy and risk forecasting in partially observable areas constitutes the most interesting element of the system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transition from detection to prediction [1], [8], [10], [14], [17], [21]. The system does not claim to have recognized an object it has not seen, but determines the probability of risk existing in partially observable space based on geometric context, semantics, and observation history. This approach may enable planning that is more defensive and risk-aware than classical methods based solely on the current sensor field of view.</w:t>
      </w:r>
    </w:p>
    <w:p w14:paraId="0831588D" w14:textId="063F6CF8"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Reference map alignment increases localization robu</w:t>
      </w:r>
      <w:r w:rsidR="003E046A">
        <w:rPr>
          <w:rFonts w:ascii="Times New Roman" w:eastAsia="Times New Roman" w:hAnsi="Times New Roman" w:cs="Times New Roman"/>
          <w:sz w:val="24"/>
          <w:szCs w:val="24"/>
        </w:rPr>
        <w:t>stness to periodic GNSS loss or </w:t>
      </w:r>
      <w:r>
        <w:rPr>
          <w:rFonts w:ascii="Times New Roman" w:eastAsia="Times New Roman" w:hAnsi="Times New Roman" w:cs="Times New Roman"/>
          <w:sz w:val="24"/>
          <w:szCs w:val="24"/>
        </w:rPr>
        <w:t xml:space="preserve">inconsistency [4], [19], [20]. The difference between the current map and the reference map </w:t>
      </w:r>
      <w:r>
        <w:rPr>
          <w:rFonts w:ascii="Times New Roman" w:eastAsia="Times New Roman" w:hAnsi="Times New Roman" w:cs="Times New Roman"/>
          <w:sz w:val="24"/>
          <w:szCs w:val="24"/>
        </w:rPr>
        <w:lastRenderedPageBreak/>
        <w:t>can indicate not only a localization error, but also an environmental change, the appearance of a new object, or the unreliability of the current GNSS measurement [1]. The three-step alignment procedure (global descriptors, landmarks, local geometric optimization) enables efficient map alignment at varying density and resolution.</w:t>
      </w:r>
    </w:p>
    <w:p w14:paraId="0831588E"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Active perception maximizing expected uncertainty reduction relative to energy and computational cost may substantially improve system efficiency under resource constraints [1], [3], [6]. The IR camera may be activated more frequently in low illumination or in regions where prior data indicate the possible presence of a thermal object, while the RGB camera need not be processed by the full network at every frame.</w:t>
      </w:r>
    </w:p>
    <w:p w14:paraId="0831588F"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limitations of the proposed approach include:</w:t>
      </w:r>
    </w:p>
    <w:p w14:paraId="08315890" w14:textId="4D87569A"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1. Implementation complexity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system requires integration of multiple components (SLAM, segmentation, transformer, prediction, planning) and their efficient synchronization.</w:t>
      </w:r>
    </w:p>
    <w:p w14:paraId="08315891" w14:textId="3F299B13"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2. Computational requirements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despite amortized perception, the spatiotemporal transformer and 4D occupancy forecasting may require significant computational resources.</w:t>
      </w:r>
    </w:p>
    <w:p w14:paraId="08315892" w14:textId="352C8CAF"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3. Reference map quality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effectiveness of reference map alignment depends on the availability and currency of elevation maps or previous flights.</w:t>
      </w:r>
    </w:p>
    <w:p w14:paraId="08315893" w14:textId="5ACD1A52"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4. Uncertainty calibration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determining calibrated token uncertainty and risk probability requires careful training and validation.</w:t>
      </w:r>
    </w:p>
    <w:p w14:paraId="08315894" w14:textId="4B0D5AA9"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 xml:space="preserve">5. Generalization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model may require fine-tuning for new environments and operational conditions.</w:t>
      </w:r>
    </w:p>
    <w:p w14:paraId="08315895" w14:textId="77777777" w:rsidR="00C826F4" w:rsidRDefault="00C54218">
      <w:pPr>
        <w:spacing w:after="120" w:line="240" w:lineRule="auto"/>
        <w:jc w:val="both"/>
        <w:rPr>
          <w:rFonts w:ascii="Times New Roman" w:hAnsi="Times New Roman" w:cs="Times New Roman"/>
          <w:sz w:val="24"/>
          <w:szCs w:val="24"/>
        </w:rPr>
      </w:pPr>
      <w:r>
        <w:t>Future work should focus on completing and training the learned S4D-TAM model, validating public-dataset converters and pinned external baselines, executing the preregistered H1-H7 mechanism study, and progressing from offline evaluation through SIL, HIL, and controlled real-flight validation. Additional engineering work includes the probabilistic DBN/particle backend, MPPI planning, adaptive octree/LOD storage, active perception, and safety-aware real-time scheduling.</w:t>
      </w:r>
    </w:p>
    <w:p w14:paraId="08315896" w14:textId="77777777" w:rsidR="00C826F4" w:rsidRDefault="00C54218">
      <w:pPr>
        <w:spacing w:before="280" w:after="140" w:line="240" w:lineRule="auto"/>
        <w:rPr>
          <w:rFonts w:ascii="Times New Roman" w:hAnsi="Times New Roman" w:cs="Times New Roman"/>
          <w:b/>
          <w:bCs/>
          <w:sz w:val="28"/>
          <w:szCs w:val="28"/>
        </w:rPr>
      </w:pPr>
      <w:r>
        <w:rPr>
          <w:rFonts w:ascii="Times New Roman" w:eastAsia="Times New Roman" w:hAnsi="Times New Roman" w:cs="Times New Roman"/>
          <w:b/>
          <w:bCs/>
          <w:sz w:val="28"/>
          <w:szCs w:val="28"/>
        </w:rPr>
        <w:t>9. Conclusions and Future Research Directions</w:t>
      </w:r>
    </w:p>
    <w:p w14:paraId="08315897" w14:textId="12D1C3FD"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This paper has proposed S4D-TAM (Semantic 4D Token Attention Map) </w:t>
      </w:r>
      <w:r w:rsidR="00101F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novel navigation system architecture for unmanned aerial vehicles operating in GNSS-degraded environments. The key novelty is the introduction of a persistent memory map composed of semantic 4D tokens, which serves as a unified representation for localization, environment understanding, future scene state prediction, risk estimation, and UAV trajectory planning.</w:t>
      </w:r>
    </w:p>
    <w:p w14:paraId="08315898"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main conceptual contributions include:</w:t>
      </w:r>
    </w:p>
    <w:p w14:paraId="08315899"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1. Definition of the 4D token combining geometry, semantics, time, uncertainty, and observation history in a single compact representation.</w:t>
      </w:r>
    </w:p>
    <w:p w14:paraId="0831589A"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2. Hierarchical system architecture integrating sensor fusion, SLAM, tokenization, spatiotemporal transformer, object memory, reference map alignment, occupancy and risk forecasting, trajectory planning, and active perception.</w:t>
      </w:r>
    </w:p>
    <w:p w14:paraId="0831589B"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3. Spatiotemporal attention mechanism accounting for spatial, temporal, and token uncertainty relations.</w:t>
      </w:r>
    </w:p>
    <w:p w14:paraId="0831589C"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4. Risk forecasting in partially observable areas based on geometric context, semantics, and observation history.</w:t>
      </w:r>
    </w:p>
    <w:p w14:paraId="0831589D"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5. Trajectory planning minimizing length, energy cost, collision probability, predicted environmental risk, and the cost arising from map uncertainty.</w:t>
      </w:r>
    </w:p>
    <w:p w14:paraId="0831589E"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6. Active perception maximizing expected uncertainty reduction relative to energy and computational cost.</w:t>
      </w:r>
    </w:p>
    <w:p w14:paraId="0831589F" w14:textId="77777777" w:rsidR="00C826F4" w:rsidRDefault="00C54218">
      <w:pPr>
        <w:spacing w:after="120" w:line="240" w:lineRule="auto"/>
        <w:jc w:val="both"/>
        <w:rPr>
          <w:rFonts w:ascii="Times New Roman" w:hAnsi="Times New Roman" w:cs="Times New Roman"/>
          <w:sz w:val="24"/>
          <w:szCs w:val="24"/>
        </w:rPr>
      </w:pPr>
      <w:r>
        <w:t>Seven preregistered mechanism hypotheses have been formulated for semantics, temporal state, calibrated uncertainty, topology, reference-map support, predictive risk, and token lifecycle. Their causal full-vs-H1-H7 study is explicitly separated from the external system comparison against ORB-SLAM3, VINS-Mono, FAST-LIO2, and LIO-SAM.</w:t>
      </w:r>
    </w:p>
    <w:p w14:paraId="083158A0"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Future research directions include:</w:t>
      </w:r>
    </w:p>
    <w:p w14:paraId="083158A1" w14:textId="77777777" w:rsidR="00C826F4" w:rsidRDefault="00C54218">
      <w:pPr>
        <w:spacing w:after="80" w:line="240" w:lineRule="auto"/>
        <w:ind w:left="360"/>
        <w:jc w:val="both"/>
        <w:rPr>
          <w:rFonts w:ascii="Times New Roman" w:hAnsi="Times New Roman" w:cs="Times New Roman"/>
          <w:sz w:val="24"/>
          <w:szCs w:val="24"/>
        </w:rPr>
      </w:pPr>
      <w:r>
        <w:t>1. Completion and training of the learned S4D-TAM model followed by two-level validation: external system comparison on TartanAir, Blackbird, MARSIM, and AeroVerse, and the preregistered internal full-vs-H1-H7 mechanism study.</w:t>
      </w:r>
    </w:p>
    <w:p w14:paraId="083158A2"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2. Computational efficiency optimization through quantization, pruning, knowledge distillation, and dedicated hardware accelerators.</w:t>
      </w:r>
    </w:p>
    <w:p w14:paraId="083158A3"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3. Extension with additional sensor modalities (radar, ultrasound, magnetometers) and operational scenarios (multi-robot coordination, long-term missions, dynamic environments).</w:t>
      </w:r>
    </w:p>
    <w:p w14:paraId="083158A4"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4. Integration with language models for natural-language-guided navigation and high-level task understanding.</w:t>
      </w:r>
    </w:p>
    <w:p w14:paraId="083158A5"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5. Ablation studies of individual system components to identify key factors influencing performance.</w:t>
      </w:r>
    </w:p>
    <w:p w14:paraId="083158A6" w14:textId="77777777" w:rsidR="00C826F4" w:rsidRDefault="00C54218">
      <w:pPr>
        <w:spacing w:after="80" w:line="240" w:lineRule="auto"/>
        <w:ind w:left="360"/>
        <w:jc w:val="both"/>
        <w:rPr>
          <w:rFonts w:ascii="Times New Roman" w:hAnsi="Times New Roman" w:cs="Times New Roman"/>
          <w:sz w:val="24"/>
          <w:szCs w:val="24"/>
        </w:rPr>
      </w:pPr>
      <w:r>
        <w:rPr>
          <w:rFonts w:ascii="Times New Roman" w:eastAsia="Times New Roman" w:hAnsi="Times New Roman" w:cs="Times New Roman"/>
          <w:sz w:val="24"/>
          <w:szCs w:val="24"/>
        </w:rPr>
        <w:t>6. Validation under real operational conditions on UAV platforms in GNSS-degraded environments.</w:t>
      </w:r>
    </w:p>
    <w:p w14:paraId="083158A7"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proposed S4D-TAM system represents a step toward autonomous UAVs capable of navigating in complex, partially observable environments with limited GNSS signal availability, by exploiting persistent predictive spatial memory in place of repeated analysis of raw sensor streams.</w:t>
      </w:r>
    </w:p>
    <w:p w14:paraId="083158A8" w14:textId="77777777" w:rsidR="00C826F4" w:rsidRDefault="00C54218">
      <w:pPr>
        <w:spacing w:before="280" w:after="140" w:line="240" w:lineRule="auto"/>
        <w:rPr>
          <w:rFonts w:ascii="Times New Roman" w:hAnsi="Times New Roman" w:cs="Times New Roman"/>
          <w:b/>
          <w:bCs/>
          <w:sz w:val="28"/>
          <w:szCs w:val="28"/>
        </w:rPr>
      </w:pPr>
      <w:r>
        <w:rPr>
          <w:rFonts w:ascii="Times New Roman" w:eastAsia="Times New Roman" w:hAnsi="Times New Roman" w:cs="Times New Roman"/>
          <w:b/>
          <w:bCs/>
          <w:sz w:val="28"/>
          <w:szCs w:val="28"/>
        </w:rPr>
        <w:t>Acknowledgements</w:t>
      </w:r>
    </w:p>
    <w:p w14:paraId="083158A9" w14:textId="77777777" w:rsidR="00C826F4" w:rsidRDefault="00C54218">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The author thanks the reviewers for their valuable comments and the Department of Computer Science and Automation of Rzeszów University of Technology for research support.</w:t>
      </w:r>
    </w:p>
    <w:p w14:paraId="083158AA" w14:textId="77777777" w:rsidR="00C826F4" w:rsidRDefault="00C54218">
      <w:pPr>
        <w:spacing w:before="280" w:after="140" w:line="240" w:lineRule="auto"/>
        <w:rPr>
          <w:rFonts w:ascii="Times New Roman" w:hAnsi="Times New Roman" w:cs="Times New Roman"/>
          <w:b/>
          <w:bCs/>
          <w:sz w:val="28"/>
          <w:szCs w:val="28"/>
        </w:rPr>
      </w:pPr>
      <w:r>
        <w:rPr>
          <w:rFonts w:ascii="Times New Roman" w:eastAsia="Times New Roman" w:hAnsi="Times New Roman" w:cs="Times New Roman"/>
          <w:b/>
          <w:bCs/>
          <w:sz w:val="28"/>
          <w:szCs w:val="28"/>
        </w:rPr>
        <w:t>References</w:t>
      </w:r>
    </w:p>
    <w:p w14:paraId="083158AB" w14:textId="1B93F01C" w:rsidR="00C826F4" w:rsidRDefault="00C54218">
      <w:pPr>
        <w:spacing w:before="80" w:after="80" w:line="240" w:lineRule="auto"/>
        <w:ind w:left="360" w:right="360"/>
        <w:jc w:val="both"/>
        <w:rPr>
          <w:rFonts w:ascii="Times New Roman" w:eastAsia="Times New Roman" w:hAnsi="Times New Roman" w:cs="Times New Roman"/>
          <w:i/>
          <w:iCs/>
        </w:rPr>
      </w:pPr>
      <w:r>
        <w:rPr>
          <w:rFonts w:ascii="Times New Roman" w:eastAsia="Times New Roman" w:hAnsi="Times New Roman" w:cs="Times New Roman"/>
          <w:i/>
          <w:iCs/>
        </w:rPr>
        <w:t>Editorial note:</w:t>
      </w:r>
      <w:r w:rsidR="009C7D30">
        <w:rPr>
          <w:rFonts w:ascii="Times New Roman" w:eastAsia="Times New Roman" w:hAnsi="Times New Roman" w:cs="Times New Roman"/>
          <w:i/>
          <w:iCs/>
        </w:rPr>
        <w:t xml:space="preserve"> </w:t>
      </w:r>
      <w:r>
        <w:rPr>
          <w:rFonts w:ascii="Times New Roman" w:eastAsia="Times New Roman" w:hAnsi="Times New Roman" w:cs="Times New Roman"/>
          <w:i/>
          <w:iCs/>
        </w:rPr>
        <w:t xml:space="preserve">Numbers [12], [14], [16], [18] contain numbering conflicts (the same number used for two different works in different article sections) </w:t>
      </w:r>
      <w:r w:rsidR="00101FD4">
        <w:rPr>
          <w:rFonts w:ascii="Times New Roman" w:eastAsia="Times New Roman" w:hAnsi="Times New Roman" w:cs="Times New Roman"/>
          <w:i/>
          <w:iCs/>
        </w:rPr>
        <w:t>-</w:t>
      </w:r>
      <w:r>
        <w:rPr>
          <w:rFonts w:ascii="Times New Roman" w:eastAsia="Times New Roman" w:hAnsi="Times New Roman" w:cs="Times New Roman"/>
          <w:i/>
          <w:iCs/>
        </w:rPr>
        <w:t xml:space="preserve"> these require </w:t>
      </w:r>
      <w:r w:rsidR="009C7D30">
        <w:rPr>
          <w:rFonts w:ascii="Times New Roman" w:eastAsia="Times New Roman" w:hAnsi="Times New Roman" w:cs="Times New Roman"/>
          <w:i/>
          <w:iCs/>
        </w:rPr>
        <w:t xml:space="preserve">manual confirmation of full bibliographic data </w:t>
      </w:r>
      <w:r>
        <w:rPr>
          <w:rFonts w:ascii="Times New Roman" w:eastAsia="Times New Roman" w:hAnsi="Times New Roman" w:cs="Times New Roman"/>
          <w:i/>
          <w:iCs/>
        </w:rPr>
        <w:t>in the final version.</w:t>
      </w:r>
    </w:p>
    <w:p w14:paraId="156F1D4B" w14:textId="77777777" w:rsidR="003D4412" w:rsidRDefault="003D4412" w:rsidP="003D4412">
      <w:pPr>
        <w:spacing w:after="0" w:line="240" w:lineRule="auto"/>
        <w:ind w:right="360"/>
        <w:jc w:val="both"/>
        <w:rPr>
          <w:rFonts w:ascii="Times New Roman" w:hAnsi="Times New Roman" w:cs="Times New Roman"/>
          <w:bCs/>
          <w:i/>
        </w:rPr>
      </w:pPr>
    </w:p>
    <w:p w14:paraId="083158AD" w14:textId="09CFD366"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[2] Liu X., van der Lei J., Prabhu A., Tao Y., Spasojević I., "SlideSLAM: Sparse, Lightweight, Decentralized Metric-Semantic SLAM for Multi-Robot Navigation," arXiv:2406.17249, 2024.</w:t>
      </w:r>
    </w:p>
    <w:p w14:paraId="083158AE"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[3] Tao Y., Liu X., Spasojević I., Agarwal S., Kumar V., "3D Active Metric-Semantic SLAM," IEEE Robot. Autom. Lett., vol. 9, 2024. DOI: 10.1109/lra.2024.3363542.</w:t>
      </w:r>
    </w:p>
    <w:p w14:paraId="083158AF"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[4] Liu X., Nardari G.V., Ojeda F.C., Tao Y., Zhou A., Donnelly T., Qu C., Chen S.W., Taylor C.J., Kumar V., "Large-Scale Autonomous Flight With Real-Time Semantic SLAM Under Dense Forest Canopy," IEEE Robot. Autom. Lett., vol. 7, no. 2, 2022. DOI: 10.1109/lra.2022.3154047.</w:t>
      </w:r>
    </w:p>
    <w:p w14:paraId="083158B0"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[5] Li B., Cai Z., Wu C., Lin P., Zhang Y., Rezatofighi H., "Hi-SLAM: Scaling-up Semantics in SLAM with a Hierarchically Categorical Gaussian Splatting," arXiv:2409.12518, 2024.</w:t>
      </w:r>
    </w:p>
    <w:p w14:paraId="083158B1"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[6] Tian X., Deng Y., Tang Y., Wang J., Dang R., "SAME: Ground-Air Collaborative Semantic Active Mapping and Exploration," Proc. 2024 IEEE Int. Conf. Unmanned Systems (ICUS), 2024. DOI: 10.1109/icus61736.2024.10839908.</w:t>
      </w:r>
    </w:p>
    <w:p w14:paraId="083158B2"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lastRenderedPageBreak/>
        <w:t>[7] Xiang Z., Su J., "Towards Customizable Robotic Disinfection with Structure-Aware Semantic Mapping," IEEE Access, vol. 9, 2021. DOI: 10.1109/ACCESS.2021.3062043.</w:t>
      </w:r>
    </w:p>
    <w:p w14:paraId="083158B3"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[8] Yu Y., Mei J., Jiang X., Yang H., Xu Z., Luo Y., Wang Y., Yang Z., Li Z., "Drive-OccWorld: Vision-Centric 4D Occupancy Forecasting and Planning via World Models," Proc. AAAI Conf. Artificial Intelligence, vol. 39, no. 9, 2025. DOI: 10.1609/aaai.v39i9.33010.</w:t>
      </w:r>
    </w:p>
    <w:p w14:paraId="083158B4"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[9] Feng T., Wang W., Yang Y., "A Survey of World Models for Autonomous Driving," arXiv:2501.11260, 2025.</w:t>
      </w:r>
    </w:p>
    <w:p w14:paraId="083158B5"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[10] Mei J., Yu Y., Jiang X., Wang S., Li Z., "IR-WM: Vision-Centric 4D Occupancy Forecasting and Planning via Implicit Residual World Models," arXiv:2510.16729, 2025.</w:t>
      </w:r>
    </w:p>
    <w:p w14:paraId="083158B6"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[11] Cai Z., Rezatofighi H., Haffari G., Baktashmotlagh M., "NEUSIS: A Compositional Neuro-Symbolic Framework for Autonomous Perception, Reasoning, and Planning in Complex UAV Search Missions," arXiv:2409.10196, 2024.</w:t>
      </w:r>
    </w:p>
    <w:p w14:paraId="083158B7" w14:textId="1FDEF513"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 xml:space="preserve">[12] Rosen D.M., Carlone L., "Scene Representations for Robotic Spatial Perception," Annual Review of Control, Robotics, and Autonomous Systems, 2024. DOI: 10.1146/annurev-control-040423-030709. [Conflict: same number used for S2TPVFormer (Silva et al.) in §2.2 </w:t>
      </w:r>
      <w:r w:rsidR="00101FD4">
        <w:rPr>
          <w:rFonts w:ascii="Times New Roman" w:eastAsia="Times New Roman" w:hAnsi="Times New Roman" w:cs="Times New Roman"/>
        </w:rPr>
        <w:t>-</w:t>
      </w:r>
      <w:r w:rsidRPr="009C7D30">
        <w:rPr>
          <w:rFonts w:ascii="Times New Roman" w:eastAsia="Times New Roman" w:hAnsi="Times New Roman" w:cs="Times New Roman"/>
        </w:rPr>
        <w:t xml:space="preserve"> to be verified.]</w:t>
      </w:r>
    </w:p>
    <w:p w14:paraId="083158B8"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[13] Zhao J., Li C., Guo W., Zhao J., "Learning Visual Representation for Autonomous Drone Navigation via a Contrastive World Model," IEEE Trans. Artificial Intelligence, vol. 4, no. 6, 2023. DOI: 10.1109/tai.2023.3283488.</w:t>
      </w:r>
    </w:p>
    <w:p w14:paraId="083158B9" w14:textId="2E38A8B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 xml:space="preserve">[14] Chen M., Zhao D., Xu S., Chen Y., Xu C., Liu J., "DriveWorld: 4D Pre-Trained Scene Understanding via World Models for Autonomous Driving," arXiv:2405.04390, 2024. [Conflict: same number used for I2-World in §2.3 </w:t>
      </w:r>
      <w:r w:rsidR="00101FD4">
        <w:rPr>
          <w:rFonts w:ascii="Times New Roman" w:eastAsia="Times New Roman" w:hAnsi="Times New Roman" w:cs="Times New Roman"/>
        </w:rPr>
        <w:t>-</w:t>
      </w:r>
      <w:r w:rsidRPr="009C7D30">
        <w:rPr>
          <w:rFonts w:ascii="Times New Roman" w:eastAsia="Times New Roman" w:hAnsi="Times New Roman" w:cs="Times New Roman"/>
        </w:rPr>
        <w:t xml:space="preserve"> to be verified.]</w:t>
      </w:r>
    </w:p>
    <w:p w14:paraId="083158BA"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[15] Chen D., Han W., Fang J., Shen J., "AdaOcc: Adaptive Forward View Transformation and Flow Modeling for 3D Occupancy and Flow Prediction," arXiv preprint, 2024.</w:t>
      </w:r>
    </w:p>
    <w:p w14:paraId="083158BB" w14:textId="6A436A3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 xml:space="preserve">[16] Liao Z., Zhong F., Zhang Z., Fu Y., Sun J., Li X., Cheng X., "I2-World: Intra-Inter Tokenization for Efficient Dynamic 4D Scene Forecasting," arXiv:2507.09144, 2025. [Conflict: same number used for PCPNet in §2.2 </w:t>
      </w:r>
      <w:r w:rsidR="00101FD4">
        <w:rPr>
          <w:rFonts w:ascii="Times New Roman" w:eastAsia="Times New Roman" w:hAnsi="Times New Roman" w:cs="Times New Roman"/>
        </w:rPr>
        <w:t>-</w:t>
      </w:r>
      <w:r w:rsidRPr="009C7D30">
        <w:rPr>
          <w:rFonts w:ascii="Times New Roman" w:eastAsia="Times New Roman" w:hAnsi="Times New Roman" w:cs="Times New Roman"/>
        </w:rPr>
        <w:t xml:space="preserve"> to be verified.]</w:t>
      </w:r>
    </w:p>
    <w:p w14:paraId="083158BC"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[17] Zheng W., Zhou B., Liu Y., Wang J., "GaussianAD: Gaussian-Centric End-to-End Autonomous Driving," arXiv:2412.10371, 2024.</w:t>
      </w:r>
    </w:p>
    <w:p w14:paraId="083158BD" w14:textId="63075E8E"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 xml:space="preserve">[18] Zheng W., Chen Y., Huang Z., Zhong Y., Lei W., Sun Z., Zhan J., Liu Y., "OccWorld: Learning a 3D Occupancy World Model for Autonomous Driving," Proc. ECCV, Springer LNCS, 2024. [Conflict: same number used for DriveWorld in §2.4 </w:t>
      </w:r>
      <w:r w:rsidR="00101FD4">
        <w:rPr>
          <w:rFonts w:ascii="Times New Roman" w:eastAsia="Times New Roman" w:hAnsi="Times New Roman" w:cs="Times New Roman"/>
        </w:rPr>
        <w:t>-</w:t>
      </w:r>
      <w:r w:rsidRPr="009C7D30">
        <w:rPr>
          <w:rFonts w:ascii="Times New Roman" w:eastAsia="Times New Roman" w:hAnsi="Times New Roman" w:cs="Times New Roman"/>
        </w:rPr>
        <w:t xml:space="preserve"> to be verified.]</w:t>
      </w:r>
    </w:p>
    <w:p w14:paraId="083158BE"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[19] Yue W., Nie Y., Song X., Zhao Z., Wang J., Shang Z., "Air-Ground Collaborative Navigation for UAVs in Complex Urban Environments," Drones, vol. 9, no. 6, 2025. DOI: 10.3390/drones9060442.</w:t>
      </w:r>
    </w:p>
    <w:p w14:paraId="083158BF"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[20] Radwan N., Olivares-Mendez M.A., Voos H., Burgard W., "UAV-Assisted Visual SLAM with Scene Graphs for Outdoor Navigation," Proc. 2024 Int. Conf. Unmanned Aircraft Systems (ICUAS), 2024. DOI: 10.1109/icuas60882.2024.10556948.</w:t>
      </w:r>
    </w:p>
    <w:p w14:paraId="083158C0"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[21] Liu H., Zhao R., Ma Y., Liu X., Fu T., Zhao Z., Wang S., Chen S., Ye M., Chen X., "Hybrid-Prediction Integrated Planning for Autonomous Driving," IEEE Trans. Pattern Anal. Mach. Intell., 2025. DOI: 10.1109/tpami.2025.3526936.</w:t>
      </w:r>
    </w:p>
    <w:p w14:paraId="083158C1"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[22] Wang L., Zheng W., Huang Z., Chen Y., Chen B., Li H., "OccSora: 4D Occupancy Generation Models as World Simulators for Autonomous Driving," arXiv preprint, 2024.</w:t>
      </w:r>
    </w:p>
    <w:p w14:paraId="083158C2"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[23] Ma J., Chen X., Deschaud J.E., Marcotegui B., Goulette F., Hu X., "Cam4DOcc: Benchmark for Camera-Only 4D Occupancy Forecasting in Autonomous Driving Scenes," arXiv preprint, 2023.</w:t>
      </w:r>
    </w:p>
    <w:p w14:paraId="083158C3"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[24] Wang J., Gao P., Zhou X., Guo Z., "TartanAir: A Dataset to Push the Limits of Visual SLAM," Proc. IEEE/RSJ Int. Conf. Intelligent Robots and Systems (IROS), 2020.</w:t>
      </w:r>
    </w:p>
    <w:p w14:paraId="083158C4"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[25] Chen J., Wei Z., Ruan K., Yang J., Zhang C., "Risk Occupancy: A New and Efficient Paradigm through Vehicle-Road-Cloud Collaboration," arXiv:2408.07367, 2024.</w:t>
      </w:r>
    </w:p>
    <w:p w14:paraId="083158C5"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lastRenderedPageBreak/>
        <w:t>[26] Nieuwenhuisen M., Droeschel D., Stückler J., Behnke S., "Autonomous Navigation for Micro Aerial Vehicles in Complex GNSS-Denied Environments," Proc. IEEE Int. Symp. Safety, Security, and Rescue Robotics (SSRR), 2015. DOI: 10.1109/SSRR.2015.7443012.</w:t>
      </w:r>
    </w:p>
    <w:p w14:paraId="083158C6"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[27] Hu C., Liu N., Chen X., Lyu C., "SGS-SLAM: Semantic Gaussian Splatting for Neural Dense SLAM," arXiv:2402.03246, 2024.</w:t>
      </w:r>
    </w:p>
    <w:p w14:paraId="083158C7" w14:textId="5D6C51AE"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 xml:space="preserve">[28] Yugay V., Wang Y., Pollefeys M., Rezatofighi H., "GaussianSLAM: Photo-realistic Dense SLAM with Gaussian Splatting," arXiv:2312.10070, 2023. [to be verified </w:t>
      </w:r>
      <w:r w:rsidR="00101FD4">
        <w:rPr>
          <w:rFonts w:ascii="Times New Roman" w:eastAsia="Times New Roman" w:hAnsi="Times New Roman" w:cs="Times New Roman"/>
        </w:rPr>
        <w:t>-</w:t>
      </w:r>
      <w:r w:rsidRPr="009C7D30">
        <w:rPr>
          <w:rFonts w:ascii="Times New Roman" w:eastAsia="Times New Roman" w:hAnsi="Times New Roman" w:cs="Times New Roman"/>
        </w:rPr>
        <w:t xml:space="preserve"> cited in text as GS4; check association with this work.]</w:t>
      </w:r>
    </w:p>
    <w:p w14:paraId="083158C8"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[29] Zou Y., He Z., Xu B., Cheng H., "SemGauss-SLAM: Dense Semantic Gaussian Splatting SLAM," arXiv:2403.07494, 2024.</w:t>
      </w:r>
    </w:p>
    <w:p w14:paraId="083158C9" w14:textId="7FC0BBD3"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 xml:space="preserve">[30] Huang H., Li L., Cheng H., Yeung S.K., "Photo-SLAM: Real-time Simultaneous Localization And Photorealistic Mapping for Monocular, Stereo, and RGB-D Cameras," Proc. IEEE/CVF CVPR, 2024. [to be verified </w:t>
      </w:r>
      <w:r w:rsidR="00101FD4">
        <w:rPr>
          <w:rFonts w:ascii="Times New Roman" w:eastAsia="Times New Roman" w:hAnsi="Times New Roman" w:cs="Times New Roman"/>
        </w:rPr>
        <w:t>-</w:t>
      </w:r>
      <w:r w:rsidRPr="009C7D30">
        <w:rPr>
          <w:rFonts w:ascii="Times New Roman" w:eastAsia="Times New Roman" w:hAnsi="Times New Roman" w:cs="Times New Roman"/>
        </w:rPr>
        <w:t xml:space="preserve"> cited in text as SAP-SLAM; check association.]</w:t>
      </w:r>
    </w:p>
    <w:p w14:paraId="083158CA"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[31] Placed J.A., Strader J., Carrillo H., Atanasov N., Indelman V., Carlone L., Castellanos J.A., "A Survey on Active Simultaneous Localization and Mapping: State of the Art and New Frontiers," arXiv:2209.06428, 2022.</w:t>
      </w:r>
    </w:p>
    <w:p w14:paraId="083158CB" w14:textId="3458FD6A"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 xml:space="preserve">[32] Wu G., Yi T., Fang J., Xie L., Zhang C., Wei W., Liu W., Tian Q., "4D Gaussian Splatting for Real-Time Dynamic Scene Rendering," Proc. IEEE/CVF CVPR, 2024. [to be verified </w:t>
      </w:r>
      <w:r w:rsidR="00101FD4">
        <w:rPr>
          <w:rFonts w:ascii="Times New Roman" w:eastAsia="Times New Roman" w:hAnsi="Times New Roman" w:cs="Times New Roman"/>
        </w:rPr>
        <w:t>-</w:t>
      </w:r>
      <w:r w:rsidRPr="009C7D30">
        <w:rPr>
          <w:rFonts w:ascii="Times New Roman" w:eastAsia="Times New Roman" w:hAnsi="Times New Roman" w:cs="Times New Roman"/>
        </w:rPr>
        <w:t xml:space="preserve"> cited in text as DynaGS-SLAM; check association.]</w:t>
      </w:r>
    </w:p>
    <w:p w14:paraId="083158CC"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[33] Pan X., Shao W., Zhu Z., Wang Q., Wang T., "GSFF-SLAM: 3D Semantic Gaussian Splatting for Feature-Field SLAM," arXiv preprint, 2024. [to be verified]</w:t>
      </w:r>
    </w:p>
    <w:p w14:paraId="083158CD"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[34] Haghighi S., Huang J., Kim B., "OVO-SLAM: Open Vocabulary Online Simultaneous Localization and Mapping," arXiv preprint, 2024. [to be verified]</w:t>
      </w:r>
    </w:p>
    <w:p w14:paraId="083158CE"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[35] Li S., Xue T., Li J., He B., Wu H., "MSGS-SLAM: Multi-Session Gaussian Splatting SLAM," arXiv preprint, 2024. [to be verified]</w:t>
      </w:r>
    </w:p>
    <w:p w14:paraId="083158CF"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[36] Li X., Yuan C., Zheng L., Xie J., Zhang J., "NIS-SLAM: Neural Implicit Semantic RGB-D SLAM for 3D Consistent Scene Understanding," arXiv preprint, 2024. [to be verified]</w:t>
      </w:r>
    </w:p>
    <w:p w14:paraId="083158D0"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[37] Zhang C., Chen Y., Jian M., Hu G., "You Only Group Once: Efficient Point-Cloud Processing with Token Representation and Relation Inference Module," Proc. IEEE/RSJ Int. Conf. Intelligent Robots and Systems (IROS), 2021.</w:t>
      </w:r>
    </w:p>
    <w:p w14:paraId="083158D1"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[38] He M., Guo Y., Ma L., Chen L., Jiang S., "Efficient Point Transformer for Large-Scale 3D Scene Understanding," arXiv:2405.15827, 2024.</w:t>
      </w:r>
    </w:p>
    <w:p w14:paraId="083158D2"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[39] Guo M.H., Cai J.X., Liu Z.N., Mu T.J., Martin R.R., Hu S.M., "PCT: Point Cloud Transformer," Comput. Visual Media, vol. 7, no. 2, pp. 187–199, 2021. DOI: 10.1007/s41095-021-0229-5.</w:t>
      </w:r>
    </w:p>
    <w:p w14:paraId="083158D3"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[40] Ding Z., Yang B., Fan X., Zhou Z., Fan Z., Zhou B., "A Survey of World Models for Embodied Agents," arXiv:2510.16732, 2025.</w:t>
      </w:r>
    </w:p>
    <w:p w14:paraId="083158D4" w14:textId="46344EDC"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 xml:space="preserve">[41] Tordesillas J., Lopez B.T., How J.P., "FASTER: Fast and Safe Trajectory Planner for Navigation in Unknown Environments," IEEE Trans. Robot., vol. 38, no. 2, pp. 922–938, 2022. DOI: 10.1109/TRO.2021.3080623. [to be verified </w:t>
      </w:r>
      <w:r w:rsidR="00101FD4">
        <w:rPr>
          <w:rFonts w:ascii="Times New Roman" w:eastAsia="Times New Roman" w:hAnsi="Times New Roman" w:cs="Times New Roman"/>
        </w:rPr>
        <w:t>-</w:t>
      </w:r>
      <w:r w:rsidRPr="009C7D30">
        <w:rPr>
          <w:rFonts w:ascii="Times New Roman" w:eastAsia="Times New Roman" w:hAnsi="Times New Roman" w:cs="Times New Roman"/>
        </w:rPr>
        <w:t xml:space="preserve"> cited in context of risk-aware trajectory planning.]</w:t>
      </w:r>
    </w:p>
    <w:p w14:paraId="083158D5" w14:textId="374E0C12"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 xml:space="preserve">[42] Ji W., Li J., Bi Q., Liu W., Cheng L., "Point Attention Network for Semantic Segmentation of 3D Point Clouds," Pattern Recognition, vol. 107, 2020. [to be verified </w:t>
      </w:r>
      <w:r w:rsidR="00101FD4">
        <w:rPr>
          <w:rFonts w:ascii="Times New Roman" w:eastAsia="Times New Roman" w:hAnsi="Times New Roman" w:cs="Times New Roman"/>
        </w:rPr>
        <w:t>-</w:t>
      </w:r>
      <w:r w:rsidRPr="009C7D30">
        <w:rPr>
          <w:rFonts w:ascii="Times New Roman" w:eastAsia="Times New Roman" w:hAnsi="Times New Roman" w:cs="Times New Roman"/>
        </w:rPr>
        <w:t xml:space="preserve"> cited in text as SAT3D; check association.]</w:t>
      </w:r>
    </w:p>
    <w:p w14:paraId="083158D6"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[43] Yu X., Tang L., Rao Y., Huang T., Zhou J., Lu J., "Point-BERT: Pre-Training 3D Point Cloud Transformers with Masked Point Modeling," Proc. IEEE/CVF CVPR, 2022. DOI: 10.1109/CVPR52688.2022.01111.</w:t>
      </w:r>
    </w:p>
    <w:p w14:paraId="083158D7"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[44] Kong F., Liu Z., Zhang F., "MARSIM: A Light-weight Point-realistic Simulator for LiDAR-based UAVs," IEEE Robot. Autom. Lett., vol. 8, no. 5, 2023. DOI: 10.1109/LRA.2023.3264163.</w:t>
      </w:r>
    </w:p>
    <w:p w14:paraId="083158D8"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[45] Dai Y., Xu H., Ni S., Yin X., Chen B., "NEDS-SLAM: A Novel Neural Explicit Dense Semantic SLAM Framework Using 3D Gaussian Splatting," IEEE Robot. Autom. Lett., 2024. [to be verified]</w:t>
      </w:r>
    </w:p>
    <w:p w14:paraId="083158D9" w14:textId="3E843936"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lastRenderedPageBreak/>
        <w:t xml:space="preserve">[46] Keetha N., Karhade J., Jatavallabhula K.M., Yang G., Scherer S., Ramanan D., Marques J., "SplaTAM: Splat, Track &amp; Map 3D Gaussians for Dense RGB-D SLAM," Proc. IEEE/CVF CVPR, 2024. [to be verified </w:t>
      </w:r>
      <w:r w:rsidR="00101FD4">
        <w:rPr>
          <w:rFonts w:ascii="Times New Roman" w:eastAsia="Times New Roman" w:hAnsi="Times New Roman" w:cs="Times New Roman"/>
        </w:rPr>
        <w:t>-</w:t>
      </w:r>
      <w:r w:rsidRPr="009C7D30">
        <w:rPr>
          <w:rFonts w:ascii="Times New Roman" w:eastAsia="Times New Roman" w:hAnsi="Times New Roman" w:cs="Times New Roman"/>
        </w:rPr>
        <w:t xml:space="preserve"> cited in context of Hi-SLAM [5]; check association.]</w:t>
      </w:r>
    </w:p>
    <w:p w14:paraId="083158DA"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[47] Delmerico J., Scaramuzza D., "A Benchmark Comparison of Monocular Visual-Inertial Odometry Algorithms for Flying Robots," Proc. IEEE Int. Conf. Robotics and Automation (ICRA), 2018. DOI: 10.1109/ICRA.2018.8460664. [to be verified]</w:t>
      </w:r>
    </w:p>
    <w:p w14:paraId="083158DB"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[48] Qin T., Li P., Shen S., "VINS-Mono: A Robust and Versatile Monocular Visual-Inertial State Estimator," IEEE Trans. Robot., vol. 34, no. 4, pp. 1004–1020, 2018. DOI: 10.1109/TRO.2018.2853729.</w:t>
      </w:r>
    </w:p>
    <w:p w14:paraId="083158DC" w14:textId="48010CB4"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 xml:space="preserve">[49] Alcantarilla P.F., Nuevo J., Bartoli A., "Fast Explicit Diffusion for Accelerated Features in Nonlinear Scale Spaces," Proc. British Machine Vision Conference (BMVC), 2013. [to be verified </w:t>
      </w:r>
      <w:r w:rsidR="00101FD4">
        <w:rPr>
          <w:rFonts w:ascii="Times New Roman" w:eastAsia="Times New Roman" w:hAnsi="Times New Roman" w:cs="Times New Roman"/>
        </w:rPr>
        <w:t>-</w:t>
      </w:r>
      <w:r w:rsidRPr="009C7D30">
        <w:rPr>
          <w:rFonts w:ascii="Times New Roman" w:eastAsia="Times New Roman" w:hAnsi="Times New Roman" w:cs="Times New Roman"/>
        </w:rPr>
        <w:t xml:space="preserve"> cited in context of KAZE feature-based SLAM.]</w:t>
      </w:r>
    </w:p>
    <w:p w14:paraId="083158DD"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[50] Shan T., Englot B., Meyers D., Wang W., Ratti C., Rus D., "LIO-SAM: Tightly-Coupled Lidar Inertial Odometry via Smoothing and Mapping," Proc. IEEE/RSJ IROS, 2020. DOI: 10.1109/IROS45743.2020.9341176. [to be verified]</w:t>
      </w:r>
    </w:p>
    <w:p w14:paraId="083158DE"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[51] Zhang J., Singh S., "LOAM: Lidar Odometry and Mapping in Real-time," Proc. Robotics: Science and Systems (RSS), 2014. [to be verified]</w:t>
      </w:r>
    </w:p>
    <w:p w14:paraId="083158DF"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[52] Xu W., Cai Y., He D., Lin J., Zhang F., "Fast-LIO2: Fast Direct LiDAR-Inertial Odometry," IEEE Trans. Robot., vol. 38, no. 4, pp. 2053–2073, 2022. DOI: 10.1109/TRO.2022.3141876. [to be verified]</w:t>
      </w:r>
    </w:p>
    <w:p w14:paraId="083158E0"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[53] Nieuwenhuisen M., Droeschel D., Holz D., Behnke S., "Autonomous Navigation for Micro Aerial Vehicles in Complex GNSS-Denied Environments," J. Intell. Robot. Syst., vol. 84, no. 1–4, pp. 199–216, 2016. DOI: 10.1007/s10846-015-0274-3.</w:t>
      </w:r>
    </w:p>
    <w:p w14:paraId="083158E1"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[54] Yue W., Nie Y., Song X., Liu G., Wang J., "Semantic-Driven Visual Navigation for Unmanned Aerial Vehicles in Unknown Environments," IEEE Trans. Ind. Electron., vol. 71, no. 11, pp. 13780–13790, 2024. DOI: 10.1109/tie.2024.3363761.</w:t>
      </w:r>
    </w:p>
    <w:p w14:paraId="083158E2" w14:textId="231DCCA9"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 xml:space="preserve">[55] Delmerico J., Cieslewski T., Rebecq H., Faessler M., Scaramuzza D., "Are We Ready for Autonomous Drone Racing? The UZH-FPV Drone Racing Dataset," Proc. IEEE ICRA, 2019. [to be verified </w:t>
      </w:r>
      <w:r w:rsidR="00101FD4">
        <w:rPr>
          <w:rFonts w:ascii="Times New Roman" w:eastAsia="Times New Roman" w:hAnsi="Times New Roman" w:cs="Times New Roman"/>
        </w:rPr>
        <w:t>-</w:t>
      </w:r>
      <w:r w:rsidRPr="009C7D30">
        <w:rPr>
          <w:rFonts w:ascii="Times New Roman" w:eastAsia="Times New Roman" w:hAnsi="Times New Roman" w:cs="Times New Roman"/>
        </w:rPr>
        <w:t xml:space="preserve"> cited in context of UAV platforms for search-and-rescue missions; check association.]</w:t>
      </w:r>
    </w:p>
    <w:p w14:paraId="083158E3" w14:textId="6727E58A"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 xml:space="preserve">[56] Brossard M., Barrau A., Bonnabel S., "AI-IMU Dead-Reckoning," IEEE Trans. Intell. Veh., vol. 5, no. 4, pp. 585–595, 2020. DOI: 10.1109/TIV.2020.2980758. [to be verified </w:t>
      </w:r>
      <w:r w:rsidR="00101FD4">
        <w:rPr>
          <w:rFonts w:ascii="Times New Roman" w:eastAsia="Times New Roman" w:hAnsi="Times New Roman" w:cs="Times New Roman"/>
        </w:rPr>
        <w:t>-</w:t>
      </w:r>
      <w:r w:rsidRPr="009C7D30">
        <w:rPr>
          <w:rFonts w:ascii="Times New Roman" w:eastAsia="Times New Roman" w:hAnsi="Times New Roman" w:cs="Times New Roman"/>
        </w:rPr>
        <w:t xml:space="preserve"> cited in context of map-aided navigation and dead reckoning.]</w:t>
      </w:r>
    </w:p>
    <w:p w14:paraId="083158E4"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[57] Hu J., Ou J., Liu X., Xue B., "A Review of Vision-Based UAV Localization and Path Planning Based on Optimization for GPS-Denied Environments," Engineering Research Express, 2025. DOI: 10.1088/2631-8695/ae305b.</w:t>
      </w:r>
    </w:p>
    <w:p w14:paraId="083158E5" w14:textId="3EC52F02"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 xml:space="preserve">[58] Faessler M., Fontana F., Forster C., Scaramuzza D., "Automatic Re-Initialization and Failure Recovery for Aggressive Flight with a Monocular Vision-Based Quadrotor," Proc. IEEE ICRA, 2015. [to be verified </w:t>
      </w:r>
      <w:r w:rsidR="00101FD4">
        <w:rPr>
          <w:rFonts w:ascii="Times New Roman" w:eastAsia="Times New Roman" w:hAnsi="Times New Roman" w:cs="Times New Roman"/>
        </w:rPr>
        <w:t>-</w:t>
      </w:r>
      <w:r w:rsidRPr="009C7D30">
        <w:rPr>
          <w:rFonts w:ascii="Times New Roman" w:eastAsia="Times New Roman" w:hAnsi="Times New Roman" w:cs="Times New Roman"/>
        </w:rPr>
        <w:t xml:space="preserve"> cited in context of UAV GNSS-denied; check association.]</w:t>
      </w:r>
    </w:p>
    <w:p w14:paraId="083158E6" w14:textId="77777777" w:rsidR="00C826F4" w:rsidRPr="009C7D30" w:rsidRDefault="00C54218" w:rsidP="00ED2E40">
      <w:pPr>
        <w:spacing w:after="80" w:line="240" w:lineRule="auto"/>
        <w:rPr>
          <w:rFonts w:ascii="Times New Roman" w:hAnsi="Times New Roman" w:cs="Times New Roman"/>
        </w:rPr>
      </w:pPr>
      <w:r w:rsidRPr="009C7D30">
        <w:rPr>
          <w:rFonts w:ascii="Times New Roman" w:eastAsia="Times New Roman" w:hAnsi="Times New Roman" w:cs="Times New Roman"/>
        </w:rPr>
        <w:t>[59] Castano A., "Autonomous UAV Navigation in GPS-Denied Environments Using LiDAR Point Clouds for Localization and Mapping," Proc. AIAA AVIATION Forum, 2023. DOI: 10.2514/6.2023-3626.</w:t>
      </w:r>
    </w:p>
    <w:sectPr w:rsidR="00C826F4" w:rsidRPr="009C7D30">
      <w:footerReference w:type="default" r:id="rId7"/>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3158E9" w14:textId="77777777" w:rsidR="00376743" w:rsidRDefault="00376743">
      <w:pPr>
        <w:spacing w:after="0" w:line="240" w:lineRule="auto"/>
      </w:pPr>
      <w:r>
        <w:separator/>
      </w:r>
    </w:p>
  </w:endnote>
  <w:endnote w:type="continuationSeparator" w:id="0">
    <w:p w14:paraId="083158EA" w14:textId="77777777" w:rsidR="00376743" w:rsidRDefault="00376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3158EB" w14:textId="2F4C0D48" w:rsidR="00376743" w:rsidRDefault="00376743">
    <w:pPr>
      <w:pStyle w:val="Stopka"/>
      <w:jc w:val="center"/>
      <w:rPr>
        <w:rFonts w:ascii="Times New Roman" w:hAnsi="Times New Roman" w:cs="Times New Roman"/>
        <w:sz w:val="20"/>
        <w:szCs w:val="20"/>
      </w:rPr>
    </w:pPr>
    <w:r>
      <w:fldChar w:fldCharType="begin"/>
    </w:r>
    <w:r>
      <w:instrText>PAGE \* MERGEFORMAT</w:instrText>
    </w:r>
    <w:r>
      <w:fldChar w:fldCharType="separate"/>
    </w:r>
    <w:r w:rsidR="00572775" w:rsidRPr="00572775">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3158E7" w14:textId="77777777" w:rsidR="00376743" w:rsidRDefault="00376743">
      <w:pPr>
        <w:spacing w:after="0" w:line="240" w:lineRule="auto"/>
      </w:pPr>
      <w:r>
        <w:separator/>
      </w:r>
    </w:p>
  </w:footnote>
  <w:footnote w:type="continuationSeparator" w:id="0">
    <w:p w14:paraId="083158E8" w14:textId="77777777" w:rsidR="00376743" w:rsidRDefault="003767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4048BE"/>
    <w:multiLevelType w:val="hybridMultilevel"/>
    <w:tmpl w:val="E202E4B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6F4"/>
    <w:rsid w:val="00101FD4"/>
    <w:rsid w:val="00180CB0"/>
    <w:rsid w:val="001D0FE0"/>
    <w:rsid w:val="00376743"/>
    <w:rsid w:val="003D4412"/>
    <w:rsid w:val="003E046A"/>
    <w:rsid w:val="004C1B78"/>
    <w:rsid w:val="00523079"/>
    <w:rsid w:val="00572775"/>
    <w:rsid w:val="00573571"/>
    <w:rsid w:val="0087329F"/>
    <w:rsid w:val="00887F0C"/>
    <w:rsid w:val="0094178B"/>
    <w:rsid w:val="0096313D"/>
    <w:rsid w:val="00964CEB"/>
    <w:rsid w:val="009C7D30"/>
    <w:rsid w:val="00AC4F44"/>
    <w:rsid w:val="00AE3E8F"/>
    <w:rsid w:val="00B6622D"/>
    <w:rsid w:val="00BF24D0"/>
    <w:rsid w:val="00C54218"/>
    <w:rsid w:val="00C70220"/>
    <w:rsid w:val="00C826F4"/>
    <w:rsid w:val="00CD6871"/>
    <w:rsid w:val="00CE5A86"/>
    <w:rsid w:val="00E02DAA"/>
    <w:rsid w:val="00E2060E"/>
    <w:rsid w:val="00E32465"/>
    <w:rsid w:val="00E66128"/>
    <w:rsid w:val="00ED2E40"/>
    <w:rsid w:val="00EE23EB"/>
    <w:rsid w:val="00EF1A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15651"/>
  <w15:docId w15:val="{8C70B31C-A101-42E0-A0E3-782157D6B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1">
    <w:name w:val="heading 1"/>
    <w:basedOn w:val="Normalny"/>
    <w:next w:val="Normalny"/>
    <w:link w:val="Nagwek1Znak"/>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Nagwek2">
    <w:name w:val="heading 2"/>
    <w:basedOn w:val="Normalny"/>
    <w:next w:val="Normalny"/>
    <w:link w:val="Nagwek2Znak"/>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Nagwek3">
    <w:name w:val="heading 3"/>
    <w:basedOn w:val="Normalny"/>
    <w:next w:val="Normalny"/>
    <w:link w:val="Nagwek3Znak"/>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Nagwek4">
    <w:name w:val="heading 4"/>
    <w:basedOn w:val="Normalny"/>
    <w:next w:val="Normalny"/>
    <w:link w:val="Nagwek4Znak"/>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Nagwek5">
    <w:name w:val="heading 5"/>
    <w:basedOn w:val="Normalny"/>
    <w:next w:val="Normalny"/>
    <w:link w:val="Nagwek5Znak"/>
    <w:uiPriority w:val="9"/>
    <w:unhideWhenUsed/>
    <w:qFormat/>
    <w:pPr>
      <w:keepNext/>
      <w:keepLines/>
      <w:spacing w:before="80" w:after="40"/>
      <w:outlineLvl w:val="4"/>
    </w:pPr>
    <w:rPr>
      <w:rFonts w:ascii="Arial" w:eastAsia="Arial" w:hAnsi="Arial" w:cs="Arial"/>
      <w:color w:val="2E74B5" w:themeColor="accent1" w:themeShade="BF"/>
    </w:rPr>
  </w:style>
  <w:style w:type="paragraph" w:styleId="Nagwek6">
    <w:name w:val="heading 6"/>
    <w:basedOn w:val="Normalny"/>
    <w:next w:val="Normalny"/>
    <w:link w:val="Nagwek6Znak"/>
    <w:uiPriority w:val="9"/>
    <w:unhideWhenUsed/>
    <w:qFormat/>
    <w:pPr>
      <w:keepNext/>
      <w:keepLines/>
      <w:spacing w:before="40" w:after="0"/>
      <w:outlineLvl w:val="5"/>
    </w:pPr>
    <w:rPr>
      <w:rFonts w:ascii="Arial" w:eastAsia="Arial" w:hAnsi="Arial" w:cs="Arial"/>
      <w:i/>
      <w:iCs/>
      <w:color w:val="595959" w:themeColor="text1" w:themeTint="A6"/>
    </w:rPr>
  </w:style>
  <w:style w:type="paragraph" w:styleId="Nagwek7">
    <w:name w:val="heading 7"/>
    <w:basedOn w:val="Normalny"/>
    <w:next w:val="Normalny"/>
    <w:link w:val="Nagwek7Znak"/>
    <w:uiPriority w:val="9"/>
    <w:unhideWhenUsed/>
    <w:qFormat/>
    <w:pPr>
      <w:keepNext/>
      <w:keepLines/>
      <w:spacing w:before="40" w:after="0"/>
      <w:outlineLvl w:val="6"/>
    </w:pPr>
    <w:rPr>
      <w:rFonts w:ascii="Arial" w:eastAsia="Arial" w:hAnsi="Arial" w:cs="Arial"/>
      <w:color w:val="595959" w:themeColor="text1" w:themeTint="A6"/>
    </w:rPr>
  </w:style>
  <w:style w:type="paragraph" w:styleId="Nagwek8">
    <w:name w:val="heading 8"/>
    <w:basedOn w:val="Normalny"/>
    <w:next w:val="Normalny"/>
    <w:link w:val="Nagwek8Znak"/>
    <w:uiPriority w:val="9"/>
    <w:unhideWhenUsed/>
    <w:qFormat/>
    <w:pPr>
      <w:keepNext/>
      <w:keepLines/>
      <w:spacing w:after="0"/>
      <w:outlineLvl w:val="7"/>
    </w:pPr>
    <w:rPr>
      <w:rFonts w:ascii="Arial" w:eastAsia="Arial" w:hAnsi="Arial" w:cs="Arial"/>
      <w:i/>
      <w:iCs/>
      <w:color w:val="272727" w:themeColor="text1" w:themeTint="D8"/>
    </w:rPr>
  </w:style>
  <w:style w:type="paragraph" w:styleId="Nagwek9">
    <w:name w:val="heading 9"/>
    <w:basedOn w:val="Normalny"/>
    <w:next w:val="Normalny"/>
    <w:link w:val="Nagwek9Znak"/>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Standardowy"/>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Zwykatabela1">
    <w:name w:val="Plain Table 1"/>
    <w:basedOn w:val="Standardowy"/>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Zwykatabela2">
    <w:name w:val="Plain Table 2"/>
    <w:basedOn w:val="Standardowy"/>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Zwykatabela3">
    <w:name w:val="Plain Table 3"/>
    <w:basedOn w:val="Standardowy"/>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Zwykatabela4">
    <w:name w:val="Plain Table 4"/>
    <w:basedOn w:val="Standardowy"/>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Zwykatabela5">
    <w:name w:val="Plain Table 5"/>
    <w:basedOn w:val="Standardowy"/>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atki1jasna">
    <w:name w:val="Grid Table 1 Light"/>
    <w:basedOn w:val="Standardowy"/>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Standardowy"/>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Standardowy"/>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Standardowy"/>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Standardowy"/>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Standardowy"/>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Standardowy"/>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siatki2">
    <w:name w:val="Grid Table 2"/>
    <w:basedOn w:val="Standardowy"/>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Standardowy"/>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Standardowy"/>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Standardowy"/>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Standardowy"/>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Standardowy"/>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Standardowy"/>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siatki3">
    <w:name w:val="Grid Table 3"/>
    <w:basedOn w:val="Standardowy"/>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Standardowy"/>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Standardowy"/>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Standardowy"/>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Standardowy"/>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Standardowy"/>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Standardowy"/>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siatki4">
    <w:name w:val="Grid Table 4"/>
    <w:basedOn w:val="Standardowy"/>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Standardowy"/>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Standardowy"/>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Standardowy"/>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Standardowy"/>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Standardowy"/>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Standardowy"/>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siatki5ciemna">
    <w:name w:val="Grid Table 5 Dark"/>
    <w:basedOn w:val="Standardowy"/>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Standardowy"/>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Standardowy"/>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Standardowy"/>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Standardowy"/>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Standardowy"/>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Standardowy"/>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siatki6kolorowa">
    <w:name w:val="Grid Table 6 Colorful"/>
    <w:basedOn w:val="Standardowy"/>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Standardowy"/>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Standardowy"/>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Standardowy"/>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Standardowy"/>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Standardowy"/>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Standardowy"/>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elasiatki7kolorowa">
    <w:name w:val="Grid Table 7 Colorful"/>
    <w:basedOn w:val="Standardowy"/>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Standardowy"/>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Standardowy"/>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Standardowy"/>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Standardowy"/>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Standardowy"/>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Standardowy"/>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listy1jasna">
    <w:name w:val="List Table 1 Light"/>
    <w:basedOn w:val="Standardowy"/>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Standardowy"/>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Standardowy"/>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Standardowy"/>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Standardowy"/>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Standardowy"/>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Standardowy"/>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listy2">
    <w:name w:val="List Table 2"/>
    <w:basedOn w:val="Standardowy"/>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Standardowy"/>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Standardowy"/>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Standardowy"/>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Standardowy"/>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Standardowy"/>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Standardowy"/>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listy3">
    <w:name w:val="List Table 3"/>
    <w:basedOn w:val="Standardowy"/>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Standardowy"/>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Standardowy"/>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Standardowy"/>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Standardowy"/>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Standardowy"/>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Standardowy"/>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listy4">
    <w:name w:val="List Table 4"/>
    <w:basedOn w:val="Standardowy"/>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Standardowy"/>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Standardowy"/>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Standardowy"/>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Standardowy"/>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Standardowy"/>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Standardowy"/>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listy5ciemna">
    <w:name w:val="List Table 5 Dark"/>
    <w:basedOn w:val="Standardowy"/>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Standardowy"/>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Standardowy"/>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Standardowy"/>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Standardowy"/>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Standardowy"/>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Standardowy"/>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alisty6kolorowa">
    <w:name w:val="List Table 6 Colorful"/>
    <w:basedOn w:val="Standardowy"/>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Standardowy"/>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Standardowy"/>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Standardowy"/>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Standardowy"/>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Standardowy"/>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Standardowy"/>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listy7kolorowa">
    <w:name w:val="List Table 7 Colorful"/>
    <w:basedOn w:val="Standardowy"/>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Standardowy"/>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Standardowy"/>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Standardowy"/>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Standardowy"/>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Standardowy"/>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Standardowy"/>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Standardowy"/>
    <w:uiPriority w:val="99"/>
    <w:pPr>
      <w:spacing w:after="0" w:line="240" w:lineRule="auto"/>
    </w:pPr>
    <w:rPr>
      <w:color w:val="404040"/>
      <w:sz w:val="20"/>
      <w:szCs w:val="20"/>
      <w:lang w:val="pl-PL" w:eastAsia="pl-PL"/>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Standardowy"/>
    <w:uiPriority w:val="99"/>
    <w:pPr>
      <w:spacing w:after="0" w:line="240" w:lineRule="auto"/>
    </w:pPr>
    <w:rPr>
      <w:color w:val="404040"/>
      <w:sz w:val="20"/>
      <w:szCs w:val="20"/>
      <w:lang w:val="pl-PL" w:eastAsia="pl-PL"/>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Standardowy"/>
    <w:uiPriority w:val="99"/>
    <w:pPr>
      <w:spacing w:after="0" w:line="240" w:lineRule="auto"/>
    </w:pPr>
    <w:rPr>
      <w:color w:val="404040"/>
      <w:sz w:val="20"/>
      <w:szCs w:val="20"/>
      <w:lang w:val="pl-PL" w:eastAsia="pl-PL"/>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Standardowy"/>
    <w:uiPriority w:val="99"/>
    <w:pPr>
      <w:spacing w:after="0" w:line="240" w:lineRule="auto"/>
    </w:pPr>
    <w:rPr>
      <w:color w:val="404040"/>
      <w:sz w:val="20"/>
      <w:szCs w:val="20"/>
      <w:lang w:val="pl-PL" w:eastAsia="pl-PL"/>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Standardowy"/>
    <w:uiPriority w:val="99"/>
    <w:pPr>
      <w:spacing w:after="0" w:line="240" w:lineRule="auto"/>
    </w:pPr>
    <w:rPr>
      <w:color w:val="404040"/>
      <w:sz w:val="20"/>
      <w:szCs w:val="20"/>
      <w:lang w:val="pl-PL" w:eastAsia="pl-PL"/>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Standardowy"/>
    <w:uiPriority w:val="99"/>
    <w:pPr>
      <w:spacing w:after="0" w:line="240" w:lineRule="auto"/>
    </w:pPr>
    <w:rPr>
      <w:color w:val="404040"/>
      <w:sz w:val="20"/>
      <w:szCs w:val="20"/>
      <w:lang w:val="pl-PL" w:eastAsia="pl-PL"/>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Standardowy"/>
    <w:uiPriority w:val="99"/>
    <w:pPr>
      <w:spacing w:after="0" w:line="240" w:lineRule="auto"/>
    </w:pPr>
    <w:rPr>
      <w:color w:val="404040"/>
      <w:sz w:val="20"/>
      <w:szCs w:val="20"/>
      <w:lang w:val="pl-PL" w:eastAsia="pl-PL"/>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Standardowy"/>
    <w:uiPriority w:val="99"/>
    <w:pPr>
      <w:spacing w:after="0" w:line="240" w:lineRule="auto"/>
    </w:pPr>
    <w:rPr>
      <w:color w:val="404040"/>
      <w:sz w:val="20"/>
      <w:szCs w:val="20"/>
      <w:lang w:val="pl-PL" w:eastAsia="pl-PL"/>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Standardowy"/>
    <w:uiPriority w:val="99"/>
    <w:pPr>
      <w:spacing w:after="0" w:line="240" w:lineRule="auto"/>
    </w:pPr>
    <w:rPr>
      <w:color w:val="404040"/>
      <w:sz w:val="20"/>
      <w:szCs w:val="20"/>
      <w:lang w:val="pl-PL" w:eastAsia="pl-PL"/>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Standardowy"/>
    <w:uiPriority w:val="99"/>
    <w:pPr>
      <w:spacing w:after="0" w:line="240" w:lineRule="auto"/>
    </w:pPr>
    <w:rPr>
      <w:color w:val="404040"/>
      <w:sz w:val="20"/>
      <w:szCs w:val="20"/>
      <w:lang w:val="pl-PL" w:eastAsia="pl-PL"/>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Standardowy"/>
    <w:uiPriority w:val="99"/>
    <w:pPr>
      <w:spacing w:after="0" w:line="240" w:lineRule="auto"/>
    </w:pPr>
    <w:rPr>
      <w:color w:val="404040"/>
      <w:sz w:val="20"/>
      <w:szCs w:val="20"/>
      <w:lang w:val="pl-PL" w:eastAsia="pl-PL"/>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Standardowy"/>
    <w:uiPriority w:val="99"/>
    <w:pPr>
      <w:spacing w:after="0" w:line="240" w:lineRule="auto"/>
    </w:pPr>
    <w:rPr>
      <w:color w:val="404040"/>
      <w:sz w:val="20"/>
      <w:szCs w:val="20"/>
      <w:lang w:val="pl-PL" w:eastAsia="pl-PL"/>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Standardowy"/>
    <w:uiPriority w:val="99"/>
    <w:pPr>
      <w:spacing w:after="0" w:line="240" w:lineRule="auto"/>
    </w:pPr>
    <w:rPr>
      <w:color w:val="404040"/>
      <w:sz w:val="20"/>
      <w:szCs w:val="20"/>
      <w:lang w:val="pl-PL" w:eastAsia="pl-PL"/>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Standardowy"/>
    <w:uiPriority w:val="99"/>
    <w:pPr>
      <w:spacing w:after="0" w:line="240" w:lineRule="auto"/>
    </w:pPr>
    <w:rPr>
      <w:color w:val="404040"/>
      <w:sz w:val="20"/>
      <w:szCs w:val="20"/>
      <w:lang w:val="pl-PL" w:eastAsia="pl-PL"/>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Standardowy"/>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Standardowy"/>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Standardowy"/>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Standardowy"/>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Standardowy"/>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Standardowy"/>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Standardowy"/>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Nagwek1Znak">
    <w:name w:val="Nagłówek 1 Znak"/>
    <w:basedOn w:val="Domylnaczcionkaakapitu"/>
    <w:link w:val="Nagwek1"/>
    <w:uiPriority w:val="9"/>
    <w:rPr>
      <w:rFonts w:ascii="Arial" w:eastAsia="Arial" w:hAnsi="Arial" w:cs="Arial"/>
      <w:color w:val="2E74B5" w:themeColor="accent1" w:themeShade="BF"/>
      <w:sz w:val="40"/>
      <w:szCs w:val="40"/>
    </w:rPr>
  </w:style>
  <w:style w:type="character" w:customStyle="1" w:styleId="Nagwek2Znak">
    <w:name w:val="Nagłówek 2 Znak"/>
    <w:basedOn w:val="Domylnaczcionkaakapitu"/>
    <w:link w:val="Nagwek2"/>
    <w:uiPriority w:val="9"/>
    <w:rPr>
      <w:rFonts w:ascii="Arial" w:eastAsia="Arial" w:hAnsi="Arial" w:cs="Arial"/>
      <w:color w:val="2E74B5" w:themeColor="accent1" w:themeShade="BF"/>
      <w:sz w:val="32"/>
      <w:szCs w:val="32"/>
    </w:rPr>
  </w:style>
  <w:style w:type="character" w:customStyle="1" w:styleId="Nagwek3Znak">
    <w:name w:val="Nagłówek 3 Znak"/>
    <w:basedOn w:val="Domylnaczcionkaakapitu"/>
    <w:link w:val="Nagwek3"/>
    <w:uiPriority w:val="9"/>
    <w:rPr>
      <w:rFonts w:ascii="Arial" w:eastAsia="Arial" w:hAnsi="Arial" w:cs="Arial"/>
      <w:color w:val="2E74B5" w:themeColor="accent1" w:themeShade="BF"/>
      <w:sz w:val="28"/>
      <w:szCs w:val="28"/>
    </w:rPr>
  </w:style>
  <w:style w:type="character" w:customStyle="1" w:styleId="Nagwek4Znak">
    <w:name w:val="Nagłówek 4 Znak"/>
    <w:basedOn w:val="Domylnaczcionkaakapitu"/>
    <w:link w:val="Nagwek4"/>
    <w:uiPriority w:val="9"/>
    <w:rPr>
      <w:rFonts w:ascii="Arial" w:eastAsia="Arial" w:hAnsi="Arial" w:cs="Arial"/>
      <w:i/>
      <w:iCs/>
      <w:color w:val="2E74B5" w:themeColor="accent1" w:themeShade="BF"/>
    </w:rPr>
  </w:style>
  <w:style w:type="character" w:customStyle="1" w:styleId="Nagwek5Znak">
    <w:name w:val="Nagłówek 5 Znak"/>
    <w:basedOn w:val="Domylnaczcionkaakapitu"/>
    <w:link w:val="Nagwek5"/>
    <w:uiPriority w:val="9"/>
    <w:rPr>
      <w:rFonts w:ascii="Arial" w:eastAsia="Arial" w:hAnsi="Arial" w:cs="Arial"/>
      <w:color w:val="2E74B5" w:themeColor="accent1" w:themeShade="BF"/>
    </w:rPr>
  </w:style>
  <w:style w:type="character" w:customStyle="1" w:styleId="Nagwek6Znak">
    <w:name w:val="Nagłówek 6 Znak"/>
    <w:basedOn w:val="Domylnaczcionkaakapitu"/>
    <w:link w:val="Nagwek6"/>
    <w:uiPriority w:val="9"/>
    <w:rPr>
      <w:rFonts w:ascii="Arial" w:eastAsia="Arial" w:hAnsi="Arial" w:cs="Arial"/>
      <w:i/>
      <w:iCs/>
      <w:color w:val="595959" w:themeColor="text1" w:themeTint="A6"/>
    </w:rPr>
  </w:style>
  <w:style w:type="character" w:customStyle="1" w:styleId="Nagwek7Znak">
    <w:name w:val="Nagłówek 7 Znak"/>
    <w:basedOn w:val="Domylnaczcionkaakapitu"/>
    <w:link w:val="Nagwek7"/>
    <w:uiPriority w:val="9"/>
    <w:rPr>
      <w:rFonts w:ascii="Arial" w:eastAsia="Arial" w:hAnsi="Arial" w:cs="Arial"/>
      <w:color w:val="595959" w:themeColor="text1" w:themeTint="A6"/>
    </w:rPr>
  </w:style>
  <w:style w:type="character" w:customStyle="1" w:styleId="Nagwek8Znak">
    <w:name w:val="Nagłówek 8 Znak"/>
    <w:basedOn w:val="Domylnaczcionkaakapitu"/>
    <w:link w:val="Nagwek8"/>
    <w:uiPriority w:val="9"/>
    <w:rPr>
      <w:rFonts w:ascii="Arial" w:eastAsia="Arial" w:hAnsi="Arial" w:cs="Arial"/>
      <w:i/>
      <w:iCs/>
      <w:color w:val="272727" w:themeColor="text1" w:themeTint="D8"/>
    </w:rPr>
  </w:style>
  <w:style w:type="character" w:customStyle="1" w:styleId="Nagwek9Znak">
    <w:name w:val="Nagłówek 9 Znak"/>
    <w:basedOn w:val="Domylnaczcionkaakapitu"/>
    <w:link w:val="Nagwek9"/>
    <w:uiPriority w:val="9"/>
    <w:rPr>
      <w:rFonts w:ascii="Arial" w:eastAsia="Arial" w:hAnsi="Arial" w:cs="Arial"/>
      <w:i/>
      <w:iCs/>
      <w:color w:val="272727" w:themeColor="text1" w:themeTint="D8"/>
    </w:rPr>
  </w:style>
  <w:style w:type="paragraph" w:styleId="Tytu">
    <w:name w:val="Title"/>
    <w:basedOn w:val="Normalny"/>
    <w:next w:val="Normalny"/>
    <w:link w:val="TytuZnak"/>
    <w:uiPriority w:val="10"/>
    <w:qFormat/>
    <w:pPr>
      <w:spacing w:after="80" w:line="240" w:lineRule="auto"/>
      <w:contextualSpacing/>
    </w:pPr>
    <w:rPr>
      <w:rFonts w:ascii="Arial" w:eastAsia="Arial" w:hAnsi="Arial" w:cs="Arial"/>
      <w:spacing w:val="-10"/>
      <w:sz w:val="56"/>
      <w:szCs w:val="56"/>
    </w:rPr>
  </w:style>
  <w:style w:type="character" w:customStyle="1" w:styleId="TytuZnak">
    <w:name w:val="Tytuł Znak"/>
    <w:basedOn w:val="Domylnaczcionkaakapitu"/>
    <w:link w:val="Tytu"/>
    <w:uiPriority w:val="10"/>
    <w:rPr>
      <w:rFonts w:ascii="Arial" w:eastAsia="Arial" w:hAnsi="Arial" w:cs="Arial"/>
      <w:spacing w:val="-10"/>
      <w:sz w:val="56"/>
      <w:szCs w:val="56"/>
    </w:rPr>
  </w:style>
  <w:style w:type="paragraph" w:styleId="Podtytu">
    <w:name w:val="Subtitle"/>
    <w:basedOn w:val="Normalny"/>
    <w:next w:val="Normalny"/>
    <w:link w:val="PodtytuZnak"/>
    <w:uiPriority w:val="11"/>
    <w:qFormat/>
    <w:pPr>
      <w:numPr>
        <w:ilvl w:val="1"/>
      </w:numPr>
    </w:pPr>
    <w:rPr>
      <w:color w:val="595959" w:themeColor="text1" w:themeTint="A6"/>
      <w:spacing w:val="15"/>
      <w:sz w:val="28"/>
      <w:szCs w:val="28"/>
    </w:rPr>
  </w:style>
  <w:style w:type="character" w:customStyle="1" w:styleId="PodtytuZnak">
    <w:name w:val="Podtytuł Znak"/>
    <w:basedOn w:val="Domylnaczcionkaakapitu"/>
    <w:link w:val="Podtytu"/>
    <w:uiPriority w:val="11"/>
    <w:rPr>
      <w:color w:val="595959" w:themeColor="text1" w:themeTint="A6"/>
      <w:spacing w:val="15"/>
      <w:sz w:val="28"/>
      <w:szCs w:val="28"/>
    </w:rPr>
  </w:style>
  <w:style w:type="paragraph" w:styleId="Cytat">
    <w:name w:val="Quote"/>
    <w:basedOn w:val="Normalny"/>
    <w:next w:val="Normalny"/>
    <w:link w:val="CytatZnak"/>
    <w:uiPriority w:val="29"/>
    <w:qFormat/>
    <w:pPr>
      <w:spacing w:before="160"/>
      <w:jc w:val="center"/>
    </w:pPr>
    <w:rPr>
      <w:i/>
      <w:iCs/>
      <w:color w:val="404040" w:themeColor="text1" w:themeTint="BF"/>
    </w:rPr>
  </w:style>
  <w:style w:type="character" w:customStyle="1" w:styleId="CytatZnak">
    <w:name w:val="Cytat Znak"/>
    <w:basedOn w:val="Domylnaczcionkaakapitu"/>
    <w:link w:val="Cytat"/>
    <w:uiPriority w:val="29"/>
    <w:rPr>
      <w:i/>
      <w:iCs/>
      <w:color w:val="404040" w:themeColor="text1" w:themeTint="BF"/>
    </w:rPr>
  </w:style>
  <w:style w:type="character" w:styleId="Wyrnienieintensywne">
    <w:name w:val="Intense Emphasis"/>
    <w:basedOn w:val="Domylnaczcionkaakapitu"/>
    <w:uiPriority w:val="21"/>
    <w:qFormat/>
    <w:rPr>
      <w:i/>
      <w:iCs/>
      <w:color w:val="2E74B5" w:themeColor="accent1" w:themeShade="BF"/>
    </w:rPr>
  </w:style>
  <w:style w:type="paragraph" w:styleId="Cytatintensywny">
    <w:name w:val="Intense Quote"/>
    <w:basedOn w:val="Normalny"/>
    <w:next w:val="Normalny"/>
    <w:link w:val="CytatintensywnyZnak"/>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ytatintensywnyZnak">
    <w:name w:val="Cytat intensywny Znak"/>
    <w:basedOn w:val="Domylnaczcionkaakapitu"/>
    <w:link w:val="Cytatintensywny"/>
    <w:uiPriority w:val="30"/>
    <w:rPr>
      <w:i/>
      <w:iCs/>
      <w:color w:val="2E74B5" w:themeColor="accent1" w:themeShade="BF"/>
    </w:rPr>
  </w:style>
  <w:style w:type="character" w:styleId="Odwoanieintensywne">
    <w:name w:val="Intense Reference"/>
    <w:basedOn w:val="Domylnaczcionkaakapitu"/>
    <w:uiPriority w:val="32"/>
    <w:qFormat/>
    <w:rPr>
      <w:b/>
      <w:bCs/>
      <w:smallCaps/>
      <w:color w:val="2E74B5" w:themeColor="accent1" w:themeShade="BF"/>
      <w:spacing w:val="5"/>
    </w:rPr>
  </w:style>
  <w:style w:type="character" w:styleId="Wyrnieniedelikatne">
    <w:name w:val="Subtle Emphasis"/>
    <w:basedOn w:val="Domylnaczcionkaakapitu"/>
    <w:uiPriority w:val="19"/>
    <w:qFormat/>
    <w:rPr>
      <w:i/>
      <w:iCs/>
      <w:color w:val="404040" w:themeColor="text1" w:themeTint="BF"/>
    </w:rPr>
  </w:style>
  <w:style w:type="character" w:styleId="Uwydatnienie">
    <w:name w:val="Emphasis"/>
    <w:basedOn w:val="Domylnaczcionkaakapitu"/>
    <w:uiPriority w:val="20"/>
    <w:qFormat/>
    <w:rPr>
      <w:i/>
      <w:iCs/>
    </w:rPr>
  </w:style>
  <w:style w:type="character" w:styleId="Pogrubienie">
    <w:name w:val="Strong"/>
    <w:basedOn w:val="Domylnaczcionkaakapitu"/>
    <w:uiPriority w:val="22"/>
    <w:qFormat/>
    <w:rPr>
      <w:b/>
      <w:bCs/>
    </w:rPr>
  </w:style>
  <w:style w:type="character" w:styleId="Odwoaniedelikatne">
    <w:name w:val="Subtle Reference"/>
    <w:basedOn w:val="Domylnaczcionkaakapitu"/>
    <w:uiPriority w:val="31"/>
    <w:qFormat/>
    <w:rPr>
      <w:smallCaps/>
      <w:color w:val="5A5A5A" w:themeColor="text1" w:themeTint="A5"/>
    </w:rPr>
  </w:style>
  <w:style w:type="character" w:styleId="Tytuksiki">
    <w:name w:val="Book Title"/>
    <w:basedOn w:val="Domylnaczcionkaakapitu"/>
    <w:uiPriority w:val="33"/>
    <w:qFormat/>
    <w:rPr>
      <w:b/>
      <w:bCs/>
      <w:i/>
      <w:iCs/>
      <w:spacing w:val="5"/>
    </w:rPr>
  </w:style>
  <w:style w:type="paragraph" w:styleId="Nagwek">
    <w:name w:val="header"/>
    <w:basedOn w:val="Normalny"/>
    <w:link w:val="NagwekZnak"/>
    <w:uiPriority w:val="99"/>
    <w:unhideWhenUsed/>
    <w:pPr>
      <w:tabs>
        <w:tab w:val="center" w:pos="4844"/>
        <w:tab w:val="right" w:pos="9689"/>
      </w:tabs>
      <w:spacing w:after="0" w:line="240" w:lineRule="auto"/>
    </w:pPr>
  </w:style>
  <w:style w:type="character" w:customStyle="1" w:styleId="NagwekZnak">
    <w:name w:val="Nagłówek Znak"/>
    <w:basedOn w:val="Domylnaczcionkaakapitu"/>
    <w:link w:val="Nagwek"/>
    <w:uiPriority w:val="99"/>
  </w:style>
  <w:style w:type="paragraph" w:styleId="Stopka">
    <w:name w:val="footer"/>
    <w:basedOn w:val="Normalny"/>
    <w:link w:val="StopkaZnak"/>
    <w:uiPriority w:val="99"/>
    <w:unhideWhenUsed/>
    <w:pPr>
      <w:tabs>
        <w:tab w:val="center" w:pos="4844"/>
        <w:tab w:val="right" w:pos="9689"/>
      </w:tabs>
      <w:spacing w:after="0" w:line="240" w:lineRule="auto"/>
    </w:pPr>
  </w:style>
  <w:style w:type="character" w:customStyle="1" w:styleId="StopkaZnak">
    <w:name w:val="Stopka Znak"/>
    <w:basedOn w:val="Domylnaczcionkaakapitu"/>
    <w:link w:val="Stopka"/>
    <w:uiPriority w:val="99"/>
  </w:style>
  <w:style w:type="paragraph" w:styleId="Legenda">
    <w:name w:val="caption"/>
    <w:basedOn w:val="Normalny"/>
    <w:next w:val="Normalny"/>
    <w:uiPriority w:val="35"/>
    <w:unhideWhenUsed/>
    <w:qFormat/>
    <w:pPr>
      <w:spacing w:line="240" w:lineRule="auto"/>
    </w:pPr>
    <w:rPr>
      <w:i/>
      <w:iCs/>
      <w:color w:val="44546A" w:themeColor="text2"/>
      <w:sz w:val="18"/>
      <w:szCs w:val="18"/>
    </w:rPr>
  </w:style>
  <w:style w:type="paragraph" w:styleId="Tekstprzypisudolnego">
    <w:name w:val="footnote text"/>
    <w:basedOn w:val="Normalny"/>
    <w:link w:val="TekstprzypisudolnegoZnak"/>
    <w:uiPriority w:val="99"/>
    <w:semiHidden/>
    <w:unhideWhenUsed/>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Pr>
      <w:sz w:val="20"/>
      <w:szCs w:val="20"/>
    </w:rPr>
  </w:style>
  <w:style w:type="character" w:styleId="Odwoanieprzypisudolnego">
    <w:name w:val="footnote reference"/>
    <w:basedOn w:val="Domylnaczcionkaakapitu"/>
    <w:uiPriority w:val="99"/>
    <w:semiHidden/>
    <w:unhideWhenUsed/>
    <w:rPr>
      <w:vertAlign w:val="superscript"/>
    </w:rPr>
  </w:style>
  <w:style w:type="paragraph" w:styleId="Tekstprzypisukocowego">
    <w:name w:val="endnote text"/>
    <w:basedOn w:val="Normalny"/>
    <w:link w:val="TekstprzypisukocowegoZnak"/>
    <w:uiPriority w:val="99"/>
    <w:semiHidden/>
    <w:unhideWhenUsed/>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Pr>
      <w:sz w:val="20"/>
      <w:szCs w:val="20"/>
    </w:rPr>
  </w:style>
  <w:style w:type="character" w:styleId="Odwoanieprzypisukocowego">
    <w:name w:val="endnote reference"/>
    <w:basedOn w:val="Domylnaczcionkaakapitu"/>
    <w:uiPriority w:val="99"/>
    <w:semiHidden/>
    <w:unhideWhenUsed/>
    <w:rPr>
      <w:vertAlign w:val="superscript"/>
    </w:rPr>
  </w:style>
  <w:style w:type="character" w:styleId="Hipercze">
    <w:name w:val="Hyperlink"/>
    <w:basedOn w:val="Domylnaczcionkaakapitu"/>
    <w:uiPriority w:val="99"/>
    <w:unhideWhenUsed/>
    <w:rPr>
      <w:color w:val="0563C1" w:themeColor="hyperlink"/>
      <w:u w:val="single"/>
    </w:rPr>
  </w:style>
  <w:style w:type="character" w:styleId="UyteHipercze">
    <w:name w:val="FollowedHyperlink"/>
    <w:basedOn w:val="Domylnaczcionkaakapitu"/>
    <w:uiPriority w:val="99"/>
    <w:semiHidden/>
    <w:unhideWhenUsed/>
    <w:rPr>
      <w:color w:val="954F72" w:themeColor="followedHyperlink"/>
      <w:u w:val="single"/>
    </w:rPr>
  </w:style>
  <w:style w:type="paragraph" w:styleId="Spistreci1">
    <w:name w:val="toc 1"/>
    <w:basedOn w:val="Normalny"/>
    <w:next w:val="Normalny"/>
    <w:uiPriority w:val="39"/>
    <w:unhideWhenUsed/>
    <w:pPr>
      <w:spacing w:after="100"/>
    </w:pPr>
  </w:style>
  <w:style w:type="paragraph" w:styleId="Spistreci2">
    <w:name w:val="toc 2"/>
    <w:basedOn w:val="Normalny"/>
    <w:next w:val="Normalny"/>
    <w:uiPriority w:val="39"/>
    <w:unhideWhenUsed/>
    <w:pPr>
      <w:spacing w:after="100"/>
      <w:ind w:left="220"/>
    </w:pPr>
  </w:style>
  <w:style w:type="paragraph" w:styleId="Spistreci3">
    <w:name w:val="toc 3"/>
    <w:basedOn w:val="Normalny"/>
    <w:next w:val="Normalny"/>
    <w:uiPriority w:val="39"/>
    <w:unhideWhenUsed/>
    <w:pPr>
      <w:spacing w:after="100"/>
      <w:ind w:left="440"/>
    </w:pPr>
  </w:style>
  <w:style w:type="paragraph" w:styleId="Spistreci4">
    <w:name w:val="toc 4"/>
    <w:basedOn w:val="Normalny"/>
    <w:next w:val="Normalny"/>
    <w:uiPriority w:val="39"/>
    <w:unhideWhenUsed/>
    <w:pPr>
      <w:spacing w:after="100"/>
      <w:ind w:left="660"/>
    </w:pPr>
  </w:style>
  <w:style w:type="paragraph" w:styleId="Spistreci5">
    <w:name w:val="toc 5"/>
    <w:basedOn w:val="Normalny"/>
    <w:next w:val="Normalny"/>
    <w:uiPriority w:val="39"/>
    <w:unhideWhenUsed/>
    <w:pPr>
      <w:spacing w:after="100"/>
      <w:ind w:left="880"/>
    </w:pPr>
  </w:style>
  <w:style w:type="paragraph" w:styleId="Spistreci6">
    <w:name w:val="toc 6"/>
    <w:basedOn w:val="Normalny"/>
    <w:next w:val="Normalny"/>
    <w:uiPriority w:val="39"/>
    <w:unhideWhenUsed/>
    <w:pPr>
      <w:spacing w:after="100"/>
      <w:ind w:left="1100"/>
    </w:pPr>
  </w:style>
  <w:style w:type="paragraph" w:styleId="Spistreci7">
    <w:name w:val="toc 7"/>
    <w:basedOn w:val="Normalny"/>
    <w:next w:val="Normalny"/>
    <w:uiPriority w:val="39"/>
    <w:unhideWhenUsed/>
    <w:pPr>
      <w:spacing w:after="100"/>
      <w:ind w:left="1320"/>
    </w:pPr>
  </w:style>
  <w:style w:type="paragraph" w:styleId="Spistreci8">
    <w:name w:val="toc 8"/>
    <w:basedOn w:val="Normalny"/>
    <w:next w:val="Normalny"/>
    <w:uiPriority w:val="39"/>
    <w:unhideWhenUsed/>
    <w:pPr>
      <w:spacing w:after="100"/>
      <w:ind w:left="1540"/>
    </w:pPr>
  </w:style>
  <w:style w:type="paragraph" w:styleId="Spistreci9">
    <w:name w:val="toc 9"/>
    <w:basedOn w:val="Normalny"/>
    <w:next w:val="Normalny"/>
    <w:uiPriority w:val="39"/>
    <w:unhideWhenUsed/>
    <w:pPr>
      <w:spacing w:after="100"/>
      <w:ind w:left="1760"/>
    </w:pPr>
  </w:style>
  <w:style w:type="character" w:styleId="Tekstzastpczy">
    <w:name w:val="Placeholder Text"/>
    <w:basedOn w:val="Domylnaczcionkaakapitu"/>
    <w:uiPriority w:val="99"/>
    <w:semiHidden/>
    <w:rPr>
      <w:color w:val="666666"/>
    </w:rPr>
  </w:style>
  <w:style w:type="paragraph" w:styleId="Nagwekspisutreci">
    <w:name w:val="TOC Heading"/>
    <w:uiPriority w:val="39"/>
    <w:unhideWhenUsed/>
  </w:style>
  <w:style w:type="paragraph" w:styleId="Spisilustracji">
    <w:name w:val="table of figures"/>
    <w:basedOn w:val="Normalny"/>
    <w:next w:val="Normalny"/>
    <w:uiPriority w:val="99"/>
    <w:unhideWhenUsed/>
    <w:pPr>
      <w:spacing w:after="0"/>
    </w:pPr>
  </w:style>
  <w:style w:type="paragraph" w:styleId="Bezodstpw">
    <w:name w:val="No Spacing"/>
    <w:basedOn w:val="Normalny"/>
    <w:uiPriority w:val="1"/>
    <w:qFormat/>
    <w:pPr>
      <w:spacing w:after="0" w:line="240" w:lineRule="auto"/>
    </w:pPr>
  </w:style>
  <w:style w:type="paragraph" w:styleId="Akapitzlist">
    <w:name w:val="List Paragraph"/>
    <w:basedOn w:val="Normalny"/>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10593</Words>
  <Characters>63564</Characters>
  <Application>Microsoft Office Word</Application>
  <DocSecurity>0</DocSecurity>
  <Lines>529</Lines>
  <Paragraphs>148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Andromeda</dc:creator>
  <cp:lastModifiedBy>Mateusz Pomianek</cp:lastModifiedBy>
  <cp:revision>30</cp:revision>
  <cp:lastPrinted>2026-08-30T09:46:00Z</cp:lastPrinted>
  <dcterms:created xsi:type="dcterms:W3CDTF">2026-08-29T06:37:00Z</dcterms:created>
  <dcterms:modified xsi:type="dcterms:W3CDTF">2026-08-30T09:48:00Z</dcterms:modified>
</cp:coreProperties>
</file>