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315652" w14:textId="77777777" w:rsidR="00C826F4" w:rsidRPr="004C1B78" w:rsidRDefault="00C54218">
      <w:pPr>
        <w:spacing w:line="240" w:lineRule="auto"/>
        <w:jc w:val="center"/>
        <w:rPr>
          <w:rFonts w:ascii="Times New Roman" w:hAnsi="Times New Roman" w:cs="Times New Roman"/>
          <w:b/>
          <w:bCs/>
          <w:sz w:val="28"/>
          <w:szCs w:val="30"/>
        </w:rPr>
      </w:pPr>
      <w:r w:rsidRPr="004C1B78">
        <w:rPr>
          <w:rFonts w:ascii="Times New Roman" w:eastAsia="Times New Roman" w:hAnsi="Times New Roman" w:cs="Times New Roman"/>
          <w:b/>
          <w:bCs/>
          <w:sz w:val="28"/>
          <w:szCs w:val="30"/>
        </w:rPr>
        <w:t>S4D-TAM: Semantic 4D Token Attention Map for Autonomous Navigation of Unmanned Aerial Vehicles in GNSS-Degraded Environments</w:t>
      </w:r>
    </w:p>
    <w:p w14:paraId="08315653" w14:textId="77777777" w:rsidR="00C826F4" w:rsidRDefault="00C54218">
      <w:pPr>
        <w:spacing w:after="80" w:line="240" w:lineRule="auto"/>
        <w:jc w:val="center"/>
        <w:rPr>
          <w:rFonts w:ascii="Times New Roman" w:hAnsi="Times New Roman" w:cs="Times New Roman"/>
          <w:b/>
          <w:bCs/>
          <w:sz w:val="24"/>
          <w:szCs w:val="24"/>
        </w:rPr>
      </w:pPr>
      <w:r>
        <w:rPr>
          <w:rFonts w:ascii="Times New Roman" w:eastAsia="Times New Roman" w:hAnsi="Times New Roman" w:cs="Times New Roman"/>
          <w:b/>
          <w:bCs/>
          <w:sz w:val="24"/>
          <w:szCs w:val="24"/>
        </w:rPr>
        <w:t>Dr. Mateusz Pomianek</w:t>
      </w:r>
    </w:p>
    <w:p w14:paraId="08315654" w14:textId="185A5E2D" w:rsidR="00C826F4" w:rsidRDefault="00C54218">
      <w:pPr>
        <w:spacing w:after="60" w:line="240" w:lineRule="auto"/>
        <w:jc w:val="center"/>
        <w:rPr>
          <w:rFonts w:ascii="Times New Roman" w:hAnsi="Times New Roman" w:cs="Times New Roman"/>
          <w:bCs/>
          <w:i/>
        </w:rPr>
      </w:pPr>
      <w:r>
        <w:rPr>
          <w:rFonts w:ascii="Times New Roman" w:eastAsia="Times New Roman" w:hAnsi="Times New Roman" w:cs="Times New Roman"/>
          <w:i/>
          <w:iCs/>
        </w:rPr>
        <w:t xml:space="preserve">Department of </w:t>
      </w:r>
      <w:r w:rsidR="00E32465" w:rsidRPr="00E32465">
        <w:rPr>
          <w:rFonts w:ascii="Times New Roman" w:eastAsia="Times New Roman" w:hAnsi="Times New Roman" w:cs="Times New Roman"/>
          <w:i/>
          <w:iCs/>
        </w:rPr>
        <w:t>Computer and Control Engineering</w:t>
      </w:r>
      <w:r w:rsidR="00CD6871">
        <w:rPr>
          <w:rFonts w:ascii="Times New Roman" w:eastAsia="Times New Roman" w:hAnsi="Times New Roman" w:cs="Times New Roman"/>
          <w:i/>
          <w:iCs/>
        </w:rPr>
        <w:t>,</w:t>
      </w:r>
    </w:p>
    <w:p w14:paraId="08315657" w14:textId="0451D880" w:rsidR="00C826F4" w:rsidRPr="00887F0C" w:rsidRDefault="00C54218" w:rsidP="00887F0C">
      <w:pPr>
        <w:spacing w:after="60" w:line="240" w:lineRule="auto"/>
        <w:jc w:val="center"/>
        <w:rPr>
          <w:rFonts w:ascii="Times New Roman" w:hAnsi="Times New Roman" w:cs="Times New Roman"/>
          <w:bCs/>
          <w:i/>
          <w:lang w:val="pl-PL"/>
        </w:rPr>
      </w:pPr>
      <w:r w:rsidRPr="00EF1A2A">
        <w:rPr>
          <w:rFonts w:ascii="Times New Roman" w:eastAsia="Times New Roman" w:hAnsi="Times New Roman" w:cs="Times New Roman"/>
          <w:i/>
          <w:iCs/>
          <w:lang w:val="pl-PL"/>
        </w:rPr>
        <w:t>R</w:t>
      </w:r>
      <w:r w:rsidR="00887F0C">
        <w:rPr>
          <w:rFonts w:ascii="Times New Roman" w:eastAsia="Times New Roman" w:hAnsi="Times New Roman" w:cs="Times New Roman"/>
          <w:i/>
          <w:iCs/>
          <w:lang w:val="pl-PL"/>
        </w:rPr>
        <w:t>zeszów University of Technology</w:t>
      </w:r>
      <w:r w:rsidRPr="00EF1A2A">
        <w:rPr>
          <w:rFonts w:ascii="Times New Roman" w:eastAsia="Times New Roman" w:hAnsi="Times New Roman" w:cs="Times New Roman"/>
          <w:i/>
          <w:iCs/>
          <w:lang w:val="pl-PL"/>
        </w:rPr>
        <w:t>, Poland</w:t>
      </w:r>
      <w:r w:rsidR="00887F0C">
        <w:rPr>
          <w:rFonts w:ascii="Times New Roman" w:hAnsi="Times New Roman" w:cs="Times New Roman"/>
          <w:bCs/>
          <w:i/>
          <w:lang w:val="pl-PL"/>
        </w:rPr>
        <w:t xml:space="preserve">, </w:t>
      </w:r>
      <w:r>
        <w:rPr>
          <w:rFonts w:ascii="Times New Roman" w:eastAsia="Times New Roman" w:hAnsi="Times New Roman" w:cs="Times New Roman"/>
          <w:i/>
          <w:iCs/>
        </w:rPr>
        <w:t>m</w:t>
      </w:r>
      <w:r w:rsidR="00887F0C">
        <w:rPr>
          <w:rFonts w:ascii="Times New Roman" w:eastAsia="Times New Roman" w:hAnsi="Times New Roman" w:cs="Times New Roman"/>
          <w:i/>
          <w:iCs/>
        </w:rPr>
        <w:t>.</w:t>
      </w:r>
      <w:r>
        <w:rPr>
          <w:rFonts w:ascii="Times New Roman" w:eastAsia="Times New Roman" w:hAnsi="Times New Roman" w:cs="Times New Roman"/>
          <w:i/>
          <w:iCs/>
        </w:rPr>
        <w:t>pomianek@prz.edu.pl</w:t>
      </w:r>
    </w:p>
    <w:p w14:paraId="08315658" w14:textId="77777777" w:rsidR="00C826F4" w:rsidRDefault="00C54218">
      <w:pPr>
        <w:spacing w:before="280" w:after="140" w:line="240" w:lineRule="auto"/>
        <w:rPr>
          <w:rFonts w:ascii="Times New Roman" w:hAnsi="Times New Roman" w:cs="Times New Roman"/>
          <w:b/>
          <w:bCs/>
          <w:sz w:val="28"/>
          <w:szCs w:val="28"/>
        </w:rPr>
      </w:pPr>
      <w:r>
        <w:rPr>
          <w:rFonts w:ascii="Times New Roman" w:eastAsia="Times New Roman" w:hAnsi="Times New Roman" w:cs="Times New Roman"/>
          <w:b/>
          <w:bCs/>
          <w:sz w:val="28"/>
          <w:szCs w:val="28"/>
        </w:rPr>
        <w:t>Abstract</w:t>
      </w:r>
    </w:p>
    <w:p w14:paraId="08315659" w14:textId="1D55DC32" w:rsidR="00C826F4" w:rsidRPr="00C54218" w:rsidRDefault="00C54218">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 propose S4D-TAM (Semantic 4D Token Attention Map), a novel navigation system architecture for unmanned aerial vehicles (UAVs) operating in GNSS-degraded environments. Unlike classical methods that repeatedly analyze raw image streams, the proposed system transforms sensor data (RGB, thermal, IMU, GNSS) into a persistent map of semantic 4D tokens. Each token represents a spatial fragment or object instance and contains its geometry, semantic embedding, dynamics, observation history, and calibrated uncertainty. A hierarchical spatiotemporal transformer updates the world model, aligns it with reference maps, and forecasts occupancy in partially observable regions. The p</w:t>
      </w:r>
      <w:r w:rsidR="00572775">
        <w:rPr>
          <w:rFonts w:ascii="Times New Roman" w:eastAsia="Times New Roman" w:hAnsi="Times New Roman" w:cs="Times New Roman"/>
          <w:sz w:val="24"/>
          <w:szCs w:val="24"/>
        </w:rPr>
        <w:t>redictive map is then used by a </w:t>
      </w:r>
      <w:bookmarkStart w:id="0" w:name="_GoBack"/>
      <w:bookmarkEnd w:id="0"/>
      <w:r>
        <w:rPr>
          <w:rFonts w:ascii="Times New Roman" w:eastAsia="Times New Roman" w:hAnsi="Times New Roman" w:cs="Times New Roman"/>
          <w:sz w:val="24"/>
          <w:szCs w:val="24"/>
        </w:rPr>
        <w:t>planner that accounts for risk, energy cost, and information value of future observations. The proposed representation aims to reduce image processing redundancy, increase robustness to GNSS degradation, and enable decision-making based on persistent spatial memory rather than solely on the current sensor field of view. The article presents the system concept, literature review, mathematical description of the architecture, and a proposal for experimental validation methodology.</w:t>
      </w:r>
    </w:p>
    <w:p w14:paraId="0831565A" w14:textId="77777777" w:rsidR="00C826F4" w:rsidRDefault="00C54218">
      <w:pPr>
        <w:spacing w:after="120" w:line="240" w:lineRule="auto"/>
        <w:jc w:val="both"/>
        <w:rPr>
          <w:rFonts w:ascii="Times New Roman" w:hAnsi="Times New Roman" w:cs="Times New Roman"/>
          <w:sz w:val="24"/>
          <w:szCs w:val="24"/>
        </w:rPr>
      </w:pPr>
      <w:r w:rsidRPr="00E02DAA">
        <w:rPr>
          <w:rFonts w:ascii="Times New Roman" w:eastAsia="Times New Roman" w:hAnsi="Times New Roman" w:cs="Times New Roman"/>
          <w:b/>
          <w:sz w:val="24"/>
          <w:szCs w:val="24"/>
        </w:rPr>
        <w:t>Keywords</w:t>
      </w:r>
      <w:r>
        <w:rPr>
          <w:rFonts w:ascii="Times New Roman" w:eastAsia="Times New Roman" w:hAnsi="Times New Roman" w:cs="Times New Roman"/>
          <w:sz w:val="24"/>
          <w:szCs w:val="24"/>
        </w:rPr>
        <w:t>: unmanned aerial vehicles, semantic SLAM, 4D tokens, spatiotemporal transformer, autonomous navigation, GNSS degradation, world model, occupancy forecasting</w:t>
      </w:r>
    </w:p>
    <w:p w14:paraId="0831565B" w14:textId="77777777" w:rsidR="00C826F4" w:rsidRDefault="00C54218">
      <w:pPr>
        <w:spacing w:before="280" w:after="140" w:line="240" w:lineRule="auto"/>
        <w:rPr>
          <w:rFonts w:ascii="Times New Roman" w:hAnsi="Times New Roman" w:cs="Times New Roman"/>
          <w:b/>
          <w:bCs/>
          <w:sz w:val="28"/>
          <w:szCs w:val="28"/>
        </w:rPr>
      </w:pPr>
      <w:r>
        <w:rPr>
          <w:rFonts w:ascii="Times New Roman" w:eastAsia="Times New Roman" w:hAnsi="Times New Roman" w:cs="Times New Roman"/>
          <w:b/>
          <w:bCs/>
          <w:sz w:val="28"/>
          <w:szCs w:val="28"/>
        </w:rPr>
        <w:t>Table of Contents</w:t>
      </w:r>
    </w:p>
    <w:p w14:paraId="0831565C" w14:textId="77777777" w:rsidR="00C826F4" w:rsidRDefault="00C54218">
      <w:pPr>
        <w:spacing w:after="40" w:line="240" w:lineRule="auto"/>
        <w:rPr>
          <w:rFonts w:ascii="Times New Roman" w:hAnsi="Times New Roman" w:cs="Times New Roman"/>
        </w:rPr>
      </w:pPr>
      <w:r>
        <w:rPr>
          <w:rFonts w:ascii="Times New Roman" w:eastAsia="Times New Roman" w:hAnsi="Times New Roman" w:cs="Times New Roman"/>
        </w:rPr>
        <w:t>1. Introduction</w:t>
      </w:r>
    </w:p>
    <w:p w14:paraId="0831565D" w14:textId="77777777" w:rsidR="00C826F4" w:rsidRDefault="00C54218">
      <w:pPr>
        <w:spacing w:after="40" w:line="240" w:lineRule="auto"/>
        <w:rPr>
          <w:rFonts w:ascii="Times New Roman" w:hAnsi="Times New Roman" w:cs="Times New Roman"/>
        </w:rPr>
      </w:pPr>
      <w:r>
        <w:rPr>
          <w:rFonts w:ascii="Times New Roman" w:eastAsia="Times New Roman" w:hAnsi="Times New Roman" w:cs="Times New Roman"/>
        </w:rPr>
        <w:t>2. Literature Review</w:t>
      </w:r>
    </w:p>
    <w:p w14:paraId="0831565E"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2.1. Semantic SLAM for UAVs</w:t>
      </w:r>
    </w:p>
    <w:p w14:paraId="0831565F"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2.2. Point Cloud Transformers</w:t>
      </w:r>
    </w:p>
    <w:p w14:paraId="08315660"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2.3. 4D Occupancy Forecasting</w:t>
      </w:r>
    </w:p>
    <w:p w14:paraId="08315661"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2.4. World Models and Planning</w:t>
      </w:r>
    </w:p>
    <w:p w14:paraId="08315662"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2.5. UAV Navigation in GNSS-Denied Environments</w:t>
      </w:r>
    </w:p>
    <w:p w14:paraId="08315663" w14:textId="77777777" w:rsidR="00C826F4" w:rsidRDefault="00C54218">
      <w:pPr>
        <w:spacing w:after="40" w:line="240" w:lineRule="auto"/>
        <w:rPr>
          <w:rFonts w:ascii="Times New Roman" w:hAnsi="Times New Roman" w:cs="Times New Roman"/>
        </w:rPr>
      </w:pPr>
      <w:r>
        <w:rPr>
          <w:rFonts w:ascii="Times New Roman" w:eastAsia="Times New Roman" w:hAnsi="Times New Roman" w:cs="Times New Roman"/>
        </w:rPr>
        <w:t>3. Research Gap and Motivation</w:t>
      </w:r>
    </w:p>
    <w:p w14:paraId="08315664" w14:textId="77777777" w:rsidR="00C826F4" w:rsidRDefault="00C54218">
      <w:pPr>
        <w:spacing w:after="40" w:line="240" w:lineRule="auto"/>
        <w:rPr>
          <w:rFonts w:ascii="Times New Roman" w:hAnsi="Times New Roman" w:cs="Times New Roman"/>
        </w:rPr>
      </w:pPr>
      <w:r>
        <w:rPr>
          <w:rFonts w:ascii="Times New Roman" w:eastAsia="Times New Roman" w:hAnsi="Times New Roman" w:cs="Times New Roman"/>
        </w:rPr>
        <w:t>4. S4D-TAM System Concept</w:t>
      </w:r>
    </w:p>
    <w:p w14:paraId="08315665"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4.1. Definition of the 4D Token</w:t>
      </w:r>
    </w:p>
    <w:p w14:paraId="08315666"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4.2. System Architecture</w:t>
      </w:r>
    </w:p>
    <w:p w14:paraId="08315667" w14:textId="77777777" w:rsidR="00C826F4" w:rsidRDefault="00C54218">
      <w:pPr>
        <w:spacing w:after="40" w:line="240" w:lineRule="auto"/>
        <w:rPr>
          <w:rFonts w:ascii="Times New Roman" w:hAnsi="Times New Roman" w:cs="Times New Roman"/>
        </w:rPr>
      </w:pPr>
      <w:r>
        <w:rPr>
          <w:rFonts w:ascii="Times New Roman" w:eastAsia="Times New Roman" w:hAnsi="Times New Roman" w:cs="Times New Roman"/>
        </w:rPr>
        <w:t>5. Mathematical Description</w:t>
      </w:r>
    </w:p>
    <w:p w14:paraId="08315668"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5.1. Sensor Layer and Data Fusion</w:t>
      </w:r>
    </w:p>
    <w:p w14:paraId="08315669"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5.2. SLAM Front-End</w:t>
      </w:r>
    </w:p>
    <w:p w14:paraId="0831566A"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5.3. Point Cloud Tokenization</w:t>
      </w:r>
    </w:p>
    <w:p w14:paraId="0831566B"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5.4. Spatiotemporal Attention Mechanism</w:t>
      </w:r>
    </w:p>
    <w:p w14:paraId="0831566C"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5.5. Object Memory and Semantics</w:t>
      </w:r>
    </w:p>
    <w:p w14:paraId="0831566D"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lastRenderedPageBreak/>
        <w:t>5.6. Reference Map Alignment</w:t>
      </w:r>
    </w:p>
    <w:p w14:paraId="0831566E"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5.7. Occupancy and Risk Forecasting</w:t>
      </w:r>
    </w:p>
    <w:p w14:paraId="0831566F"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5.8. Trajectory Planning</w:t>
      </w:r>
    </w:p>
    <w:p w14:paraId="08315670"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5.9. Active Perception</w:t>
      </w:r>
    </w:p>
    <w:p w14:paraId="08315671"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5.10. Metrological Error Analysis of the S4D-TAM System</w:t>
      </w:r>
    </w:p>
    <w:p w14:paraId="08315672"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5.11. Extended Semantic Token Model</w:t>
      </w:r>
    </w:p>
    <w:p w14:paraId="08315673"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5.12. Bayesian Inference about Future Scene States</w:t>
      </w:r>
    </w:p>
    <w:p w14:paraId="08315674"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5.13. Bayesian Risk Estimation and Trajectory Planning</w:t>
      </w:r>
    </w:p>
    <w:p w14:paraId="08315675"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5.14. Adaptive World Model with Hierarchical Resolution</w:t>
      </w:r>
    </w:p>
    <w:p w14:paraId="08315676"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5.15. Computational Resource Management and Bottleneck Elimination</w:t>
      </w:r>
    </w:p>
    <w:p w14:paraId="08315677" w14:textId="77777777" w:rsidR="00C826F4" w:rsidRDefault="00C54218">
      <w:pPr>
        <w:spacing w:after="40" w:line="240" w:lineRule="auto"/>
        <w:rPr>
          <w:rFonts w:ascii="Times New Roman" w:hAnsi="Times New Roman" w:cs="Times New Roman"/>
        </w:rPr>
      </w:pPr>
      <w:r>
        <w:rPr>
          <w:rFonts w:ascii="Times New Roman" w:eastAsia="Times New Roman" w:hAnsi="Times New Roman" w:cs="Times New Roman"/>
        </w:rPr>
        <w:t>6. Research Hypotheses</w:t>
      </w:r>
    </w:p>
    <w:p w14:paraId="08315678" w14:textId="77777777" w:rsidR="00C826F4" w:rsidRDefault="00C54218">
      <w:pPr>
        <w:spacing w:after="40" w:line="240" w:lineRule="auto"/>
        <w:rPr>
          <w:rFonts w:ascii="Times New Roman" w:hAnsi="Times New Roman" w:cs="Times New Roman"/>
        </w:rPr>
      </w:pPr>
      <w:r>
        <w:rPr>
          <w:rFonts w:ascii="Times New Roman" w:eastAsia="Times New Roman" w:hAnsi="Times New Roman" w:cs="Times New Roman"/>
        </w:rPr>
        <w:t>7. Proposed Experimental Validation</w:t>
      </w:r>
    </w:p>
    <w:p w14:paraId="08315679"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7.1. Datasets</w:t>
      </w:r>
    </w:p>
    <w:p w14:paraId="0831567A"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7.2. System Variants</w:t>
      </w:r>
    </w:p>
    <w:p w14:paraId="0831567B" w14:textId="77777777" w:rsidR="00C826F4" w:rsidRDefault="00C54218">
      <w:pPr>
        <w:spacing w:after="40" w:line="240" w:lineRule="auto"/>
        <w:ind w:left="360"/>
        <w:rPr>
          <w:rFonts w:ascii="Times New Roman" w:hAnsi="Times New Roman" w:cs="Times New Roman"/>
        </w:rPr>
      </w:pPr>
      <w:r>
        <w:rPr>
          <w:rFonts w:ascii="Times New Roman" w:eastAsia="Times New Roman" w:hAnsi="Times New Roman" w:cs="Times New Roman"/>
        </w:rPr>
        <w:t>7.3. Metrics</w:t>
      </w:r>
    </w:p>
    <w:p w14:paraId="0831567C" w14:textId="77777777" w:rsidR="00C826F4" w:rsidRDefault="00C54218">
      <w:pPr>
        <w:spacing w:after="40" w:line="240" w:lineRule="auto"/>
        <w:rPr>
          <w:rFonts w:ascii="Times New Roman" w:hAnsi="Times New Roman" w:cs="Times New Roman"/>
        </w:rPr>
      </w:pPr>
      <w:r>
        <w:rPr>
          <w:rFonts w:ascii="Times New Roman" w:eastAsia="Times New Roman" w:hAnsi="Times New Roman" w:cs="Times New Roman"/>
        </w:rPr>
        <w:t>8. Discussion</w:t>
      </w:r>
    </w:p>
    <w:p w14:paraId="0831567D" w14:textId="77777777" w:rsidR="00C826F4" w:rsidRDefault="00C54218">
      <w:pPr>
        <w:spacing w:after="40" w:line="240" w:lineRule="auto"/>
        <w:rPr>
          <w:rFonts w:ascii="Times New Roman" w:hAnsi="Times New Roman" w:cs="Times New Roman"/>
        </w:rPr>
      </w:pPr>
      <w:r>
        <w:rPr>
          <w:rFonts w:ascii="Times New Roman" w:eastAsia="Times New Roman" w:hAnsi="Times New Roman" w:cs="Times New Roman"/>
        </w:rPr>
        <w:t>9. Conclusions and Future Research Directions</w:t>
      </w:r>
    </w:p>
    <w:p w14:paraId="0831567E" w14:textId="77777777" w:rsidR="00C826F4" w:rsidRDefault="00C54218">
      <w:pPr>
        <w:spacing w:before="280" w:after="140" w:line="240" w:lineRule="auto"/>
        <w:rPr>
          <w:rFonts w:ascii="Times New Roman" w:hAnsi="Times New Roman" w:cs="Times New Roman"/>
          <w:b/>
          <w:bCs/>
          <w:sz w:val="28"/>
          <w:szCs w:val="28"/>
        </w:rPr>
      </w:pPr>
      <w:r>
        <w:rPr>
          <w:rFonts w:ascii="Times New Roman" w:eastAsia="Times New Roman" w:hAnsi="Times New Roman" w:cs="Times New Roman"/>
          <w:b/>
          <w:bCs/>
          <w:sz w:val="28"/>
          <w:szCs w:val="28"/>
        </w:rPr>
        <w:t>1. Introduction</w:t>
      </w:r>
    </w:p>
    <w:p w14:paraId="0831567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Autonomous navigation of unmanned aerial vehicles (UAVs) in environments with limited GNSS signal availability is one of the central challenges of modern mobile robotics. Satellite signal degradation can occur in dense urban environments, under heavy forest canopy, in tunnels and canyons, and under deliberate jamming or spoofing conditions [19], [20], [47], [48]. In such scenarios, a UAV must rely on alternative information sources: RGB and thermal cameras, inertial measurement units (IMU), altimeters, LiDARs, and reference maps [26], [53], [54], [57].</w:t>
      </w:r>
    </w:p>
    <w:p w14:paraId="08315680" w14:textId="231F768B"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Contemporary autonomous navigation systems perform pose estimation, map construction, semantic segmentation, object recognition, occupancy forecasting, and trajectory planning as separate, loosely coupled modules [9], [31]. This approach leads to computational redundancy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the same images are repeatedly analyzed by different modules, and semantic and geometric information is not efficiently shared between perception and planning stages [12], [40].</w:t>
      </w:r>
    </w:p>
    <w:p w14:paraId="08315681" w14:textId="4D017C2A"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In this work, we propose S4D-TAM (Semantic 4D Token Attention Map), a novel navigation system architecture in which the fundamental environment representation is a persistent, semantic, continuously updated map of 4D tokens derived from the SLAM point cloud. RGB and thermal camera data are used primarily to update the geometry and semantic meaning of points and objects stored in the map. Planning, risk assessment, and decision-making modules do not repeatedly analyze the same images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they operate on a compressed spatial representation containing geometry, semantics, dynamics, observation history, and uncertainty [1].</w:t>
      </w:r>
    </w:p>
    <w:p w14:paraId="08315682"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key scientific novelty of the proposed system is the introduction of a persistent memory map composed of semantic 4D tokens, which serves as a unified representation for localization, environment understanding, future scene state prediction, risk estimation, and UAV trajectory planning. The system remembers not only where an object was located, but also when and how many times it was observed, from which sensors the information originated, how reliable its position and recognition are, whether the object is static, dynamic, or periodically displaced, what spatial relations hold between it and other terrain elements, what invisible areas may be hidden behind it, and what significance the object has for flight safety and planning [1].</w:t>
      </w:r>
    </w:p>
    <w:p w14:paraId="08315683"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lastRenderedPageBreak/>
        <w:t>The article is conceptual and theoretical in character, presenting a new system architecture together with a literature review and mathematical description, without experimental results. The paper is organized as follows. Section 2 reviews the literature on semantic SLAM for UAVs, point cloud transformers, 4D occupancy forecasting, world models and planning, and navigation in GNSS-denied environments. Section 3 identifies the research gap and motivation. Section 4 presents the S4D-TAM system concept and the definition of the 4D token. Section 5 provides a detailed mathematical description of the architecture. Section 6 formulates research hypotheses. Section 7 proposes an experimental validation methodology. Sections 8 and 9 contain the discussion and conclusions.</w:t>
      </w:r>
    </w:p>
    <w:p w14:paraId="08315684" w14:textId="77777777" w:rsidR="00C826F4" w:rsidRDefault="00C54218">
      <w:pPr>
        <w:spacing w:before="280" w:after="140" w:line="240" w:lineRule="auto"/>
        <w:rPr>
          <w:rFonts w:ascii="Times New Roman" w:hAnsi="Times New Roman" w:cs="Times New Roman"/>
          <w:b/>
          <w:bCs/>
          <w:sz w:val="28"/>
          <w:szCs w:val="28"/>
        </w:rPr>
      </w:pPr>
      <w:r>
        <w:rPr>
          <w:rFonts w:ascii="Times New Roman" w:eastAsia="Times New Roman" w:hAnsi="Times New Roman" w:cs="Times New Roman"/>
          <w:b/>
          <w:bCs/>
          <w:sz w:val="28"/>
          <w:szCs w:val="28"/>
        </w:rPr>
        <w:t>2. Literature Review</w:t>
      </w:r>
    </w:p>
    <w:p w14:paraId="08315685"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2.1. Semantic SLAM for UAVs</w:t>
      </w:r>
    </w:p>
    <w:p w14:paraId="08315686" w14:textId="5D24E7A3"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Semantic SLAM for aerial platforms must be lightweight, robust to GPS signal loss, and capable of producing useful semantic maps for planning and multi-robot coordination. Liu et al. proposed SlideSLAM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sparse, lightweight, decentralized metric-semantic SLAM for multi-robot navigation that uses an object-based representation and enables efficient map merging in heterogeneous aerial-ground teams [2]. Tao et al. integrated active exploration with metric-semantic SLAM for resource-constrained aerial robots, explicitly balancing exploration and localization uncertainty (including semantic loop closures), which informs S4D-TAM strategies for uncertainty-aware mapping in GNSS-denied environments [3]. Liu et al. presented a real-time semantic SLAM that detects and models tree trunks and planes from LiDAR to constrain poses and enable drift compensation during long-range autonomous flights under forest canopy, directly relevant to drift mitigation and semantic constraints in S4D-TAM trajectory planning [4].</w:t>
      </w:r>
    </w:p>
    <w:p w14:paraId="08315687" w14:textId="3D374BC3"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Tian et al. proposed SAME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ground-air collaboration system that fuses semantic Octree units from a UAV and a UGV into a coherent global map supporting collaborative exploration, offering a semantic octree architecture and fusion approach useful in S4D-TAM for cross-platform mapping and multi-perspective scene reconstruction [6]. Xiang and Su developed a LiDAR-based semantic mapping pipeline that creates hierarchical semantic maps together with occupancy grids for navigation and task adaptation, illustrating practical semantic mapping designs and hierarchical semantics that S4D-TAM can exploit for task-oriented scene understanding [7].</w:t>
      </w:r>
    </w:p>
    <w:p w14:paraId="08315688" w14:textId="0F885606"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Li et al. introduced Hi-SLAM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hierarchical categorical representation within 3D Gaussian Splatting for compact encoding of multiple semantic classes and improved semantic mapping and tracking, directly applicable to S4D-TAM requirements for scalable semantic scene representations [5], [46]. More recent semantic SLAM works employing 3D Gaussian Splatting include SGS-SLAM [27], GS4 [28], SemGauss-SLAM [29], SAP-SLAM [30], DynaGS-SLAM [32], GSFF-SLAM [33], OVO-SLAM [34], MSGS-SLAM [35], NIS-SLAM [36], and NEDS-SLAM [45], demonstrating growing interest in real-time dense semantic representations for SLAM.</w:t>
      </w:r>
    </w:p>
    <w:p w14:paraId="08315689"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2.2. Point Cloud Transformers</w:t>
      </w:r>
    </w:p>
    <w:p w14:paraId="0831568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Point cloud transformer architectures and related models provide expressive spatiotemporal encoding of 3D geometry and dynamics, useful for the point-cloud-based perception and temporal prediction modules of S4D-TAM. PCPNet introduces a transformer network for future LiDAR point cloud prediction with a semantic auxiliary training objective for semantically consistent forecasts, directly applicable to S4D-TAM for point-level prediction and semantic alignment [16]. Silva et al. proposed S2TPVFormer, which extends TPV </w:t>
      </w:r>
      <w:r>
        <w:rPr>
          <w:rFonts w:ascii="Times New Roman" w:eastAsia="Times New Roman" w:hAnsi="Times New Roman" w:cs="Times New Roman"/>
          <w:sz w:val="24"/>
          <w:szCs w:val="24"/>
        </w:rPr>
        <w:lastRenderedPageBreak/>
        <w:t>embeddings with hybrid cross-view temporal attention for temporally consistent semantic 3D occupancy, offering a spatiotemporal transformer design that S4D-TAM can adopt for temporally consistent semantic occupancy mapping [12].</w:t>
      </w:r>
    </w:p>
    <w:p w14:paraId="0831568B"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Chen et al. presented AdaOcc, which employs adaptive forward-view transformations and flow modeling (with strong Swin camera backbone models) to improve voxel occupancy and flow prediction, providing practical camera-to-3D transformer strategies applicable in vision-oriented S4D-TAM modules [15]. Work on point cloud forecasting as a proxy for 4D occupancy prediction redefines the problem toward sensor-agnostic spatiotemporal (4D) occupancy forecasting, directing S4D-TAM toward world-oriented 4D occupancy targets for robust temporal modeling [8].</w:t>
      </w:r>
    </w:p>
    <w:p w14:paraId="0831568C"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Further relevant works include Point-BERT [43], which introduces masked point modeling for pre-training point cloud transformers; SAT3D [42] for semantic segmentation of 3D scenes using slot attention; and YOGO [37] and Efficient Point Transformer [38], [39], demonstrating efficient point cloud processing with token representation and relation inference modules relevant to S4D-TAM token compression.</w:t>
      </w:r>
    </w:p>
    <w:p w14:paraId="0831568D"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2.3. 4D Occupancy Forecasting</w:t>
      </w:r>
    </w:p>
    <w:p w14:paraId="0831568E" w14:textId="79C8BD82"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Accurate 4D occupancy forecasting provides the spatiotemporal scene model required by S4D-TAM for risk assessment and trajectory planning. Yu et al. proposed Drive-OccWorld, which adapts a vision-centric 4D world model with memory normalization and action-conditioned decoding for occupancy and flow prediction, and integrates forecasting with end-to-end planning, providing an approach that S4D-TAM can leverage to couple occupancy prediction with trajectory selection [8]. Zheng et al. presented OccWorld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spatiotemporal generative transformer architecture for 4D occupancy prediction, demonstrating effectiveness on driving datasets and offering S4D-TAM a transformer backbone for long-horizon volumetric prediction [3].</w:t>
      </w:r>
    </w:p>
    <w:p w14:paraId="0831568F" w14:textId="1AD8FE29"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Ma et al. provided Cam4DOcc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standardized camera-only benchmark and four baselines for current and future occupancy estimation, providing S4D-TAM with evaluation protocols and camera-only baseline designs for 4D occupancy forecasting [4]. Guo et al. proposed FSF-Net, which uses coarse BEV scene flow plus vector-quantized latent features and U-Net fusion to improve occupancy prediction accuracy, showing a practical pipeline that S4D-TAM can adapt for efficient flow-conditioned occupancy prediction [7].</w:t>
      </w:r>
    </w:p>
    <w:p w14:paraId="08315690"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Wang et al. introduced OccSora, which uses a 4D scene tokenizer and a diffusion transformer for generative long-horizon 4D occupancy simulation conditioned on trajectories, offering S4D-TAM a generative world simulator approach for scenario generation and planning evaluation [10]. Liao et al. proposed I2-World with hierarchical intra/inter tokenizers and an encoder-decoder design for efficient compression and generation of temporally consistent 4D occupancy, presenting a tokenization strategy that S4D-TAM can apply for compact world representations and fast inference [14].</w:t>
      </w:r>
    </w:p>
    <w:p w14:paraId="08315691" w14:textId="0B865F09"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Zheng et al. presented GaussianAD, which represents scenes through semantic 3D Gaussians refined from images, predicts 3D flows for those Gaussians, and integrates forecasting with planning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this sparse semantic Gaussian approach is directly relevant to S4D-TAM's lightweight scene abstractions and prediction-based planning [17].</w:t>
      </w:r>
    </w:p>
    <w:p w14:paraId="08315692"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2.4. World Models and Planning</w:t>
      </w:r>
    </w:p>
    <w:p w14:paraId="08315693" w14:textId="14044181"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World models unify perception, prediction, and planni</w:t>
      </w:r>
      <w:r w:rsidR="0087329F">
        <w:rPr>
          <w:rFonts w:ascii="Times New Roman" w:eastAsia="Times New Roman" w:hAnsi="Times New Roman" w:cs="Times New Roman"/>
          <w:sz w:val="24"/>
          <w:szCs w:val="24"/>
        </w:rPr>
        <w:t>ng; for S4D-TAM, they provide a </w:t>
      </w:r>
      <w:r>
        <w:rPr>
          <w:rFonts w:ascii="Times New Roman" w:eastAsia="Times New Roman" w:hAnsi="Times New Roman" w:cs="Times New Roman"/>
          <w:sz w:val="24"/>
          <w:szCs w:val="24"/>
        </w:rPr>
        <w:t xml:space="preserve">mechanism for simulating the future, evaluating trajectories, and incorporating action-conditioned forecasts. Chen et al. proposed DriveWorld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Memory State-Space Model with </w:t>
      </w:r>
      <w:r>
        <w:rPr>
          <w:rFonts w:ascii="Times New Roman" w:eastAsia="Times New Roman" w:hAnsi="Times New Roman" w:cs="Times New Roman"/>
          <w:sz w:val="24"/>
          <w:szCs w:val="24"/>
        </w:rPr>
        <w:lastRenderedPageBreak/>
        <w:t xml:space="preserve">dynamic memory and static scene propagation for spatiotemporal pre-training, demonstrating downstream gains in detection, mapping, tracking, forecasting, and planning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relevant to S4D-TAM pre-training strategies and multi-task world modeling [14], [18].</w:t>
      </w:r>
    </w:p>
    <w:p w14:paraId="08315694" w14:textId="27E11C11"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Zhao et al. used a contrastive world model objective to learn visual representations for drone navigation and visuomotor policy learning, illustrating how world model pre-training can improve navigation policies, which S4D-TAM can leverage for improved visual generalization [13]. Mei et al. proposed IR-WM, which focuses on predicting</w:t>
      </w:r>
      <w:r w:rsidR="00E2060E">
        <w:rPr>
          <w:rFonts w:ascii="Times New Roman" w:eastAsia="Times New Roman" w:hAnsi="Times New Roman" w:cs="Times New Roman"/>
          <w:sz w:val="24"/>
          <w:szCs w:val="24"/>
        </w:rPr>
        <w:t xml:space="preserve"> residual changes relative to a </w:t>
      </w:r>
      <w:r>
        <w:rPr>
          <w:rFonts w:ascii="Times New Roman" w:eastAsia="Times New Roman" w:hAnsi="Times New Roman" w:cs="Times New Roman"/>
          <w:sz w:val="24"/>
          <w:szCs w:val="24"/>
        </w:rPr>
        <w:t>temporal BEV prior and couples forecasting with planning, offering S4D-TAM a compact residual prediction approach that reduces redundant static background modeling and improves planning integration [10].</w:t>
      </w:r>
    </w:p>
    <w:p w14:paraId="08315695" w14:textId="12B67B78"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Cai et al. presented NEUSIS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compositional neuro-symbolic framework combining neuro-symbolic perception, a probabilistic world model with Bayesian filtering, and hierarchical search planning, exemplifying an interpretable and uncertainty-aware world modeling and planning workflow useful for S4D-TAM mission-level decision-making [11]. Liu et al. proposed HPP, which integrates occupancy-conditioned prediction with game-theoretic motion forecasting and planning, demonstrating methods for aligning prediction patterns with planning objectives that S4D-TAM can adopt for improved trajectory selection under uncertainty and interaction [11].</w:t>
      </w:r>
    </w:p>
    <w:p w14:paraId="08315696" w14:textId="441A3BBC"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Feng et al. provided a comprehensive survey of world models for autonomous driving, covering 4D occupancy forecasting, generative simulation, and pl</w:t>
      </w:r>
      <w:r w:rsidR="00CE5A86">
        <w:rPr>
          <w:rFonts w:ascii="Times New Roman" w:eastAsia="Times New Roman" w:hAnsi="Times New Roman" w:cs="Times New Roman"/>
          <w:sz w:val="24"/>
          <w:szCs w:val="24"/>
        </w:rPr>
        <w:t>anning integration, providing a </w:t>
      </w:r>
      <w:r>
        <w:rPr>
          <w:rFonts w:ascii="Times New Roman" w:eastAsia="Times New Roman" w:hAnsi="Times New Roman" w:cs="Times New Roman"/>
          <w:sz w:val="24"/>
          <w:szCs w:val="24"/>
        </w:rPr>
        <w:t>conceptual foundation and taxonomy that can guide S4D-TAM design choices in world model selection, pre-training, and evaluation [9].</w:t>
      </w:r>
    </w:p>
    <w:p w14:paraId="08315697"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2.5. UAV Navigation in GNSS-Denied Environments</w:t>
      </w:r>
    </w:p>
    <w:p w14:paraId="0831569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Autonomous UAV navigation in GNSS-degraded environments requires multi-sensor fusion, robust SLAM algorithms, and uncertainty-aware planning strategies. Yue et al. proposed an air-ground cooperative UAV autonomous navigation system for GPS-denied environments that combines visual odometry, IMU, and communication with a ground robot for robust localization [19]. Radwan et al. presented UAV-assisted visual SLAM generating reconstructed 3D scene graphs in GPS-denied environments, demonstrating scene graph representations for scene understanding and planning [20].</w:t>
      </w:r>
    </w:p>
    <w:p w14:paraId="08315699"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Nieuwenhuisen et al. developed an autonomous navigation system for micro aerial vehicles in complex GNSS-denied environments, using LiDAR, IMU, and obstacle-aware planning [26], [53]. Yue et al. proposed semantically guided visual autonomous navigation for UAVs that employs semantic segmentation to identify navigable areas and obstacles for improved path planning [54]. Hu et al. provided a review of vision-based UAV localization and optimization-based path planning in GPS-denied environments, synthesizing SLAM, object detection, and trajectory planning methods [57].</w:t>
      </w:r>
    </w:p>
    <w:p w14:paraId="0831569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Further relevant works include UAV navigation systems using multi-sensor fusion (IMU, camera, LiDAR, radar) [48], [50], [51], [52], [58], KAZE feature-based SLAM [49], map-aided navigation and dead reckoning [56], and platforms for search-and-rescue missions [55]. Castano presented autonomous UAV navigation in GPS-denied environments using LiDAR point clouds for localization and mapping [59].</w:t>
      </w:r>
    </w:p>
    <w:p w14:paraId="0831569B" w14:textId="77777777" w:rsidR="00C826F4" w:rsidRDefault="00C54218">
      <w:pPr>
        <w:spacing w:before="280" w:after="140" w:line="240" w:lineRule="auto"/>
        <w:rPr>
          <w:rFonts w:ascii="Times New Roman" w:hAnsi="Times New Roman" w:cs="Times New Roman"/>
          <w:b/>
          <w:bCs/>
          <w:sz w:val="28"/>
          <w:szCs w:val="28"/>
        </w:rPr>
      </w:pPr>
      <w:r>
        <w:rPr>
          <w:rFonts w:ascii="Times New Roman" w:eastAsia="Times New Roman" w:hAnsi="Times New Roman" w:cs="Times New Roman"/>
          <w:b/>
          <w:bCs/>
          <w:sz w:val="28"/>
          <w:szCs w:val="28"/>
        </w:rPr>
        <w:t>3. Research Gap and Motivation</w:t>
      </w:r>
    </w:p>
    <w:p w14:paraId="0831569C"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Contemporary solutions perform pose estimation, map construction, semantic segmentation, object recognition, occupancy prediction, trajectory planning, and risk assessment as separate, </w:t>
      </w:r>
      <w:r>
        <w:rPr>
          <w:rFonts w:ascii="Times New Roman" w:eastAsia="Times New Roman" w:hAnsi="Times New Roman" w:cs="Times New Roman"/>
          <w:sz w:val="24"/>
          <w:szCs w:val="24"/>
        </w:rPr>
        <w:lastRenderedPageBreak/>
        <w:t>independent modules [9], [31], [40]. Systems such as LVI-SAM integrate LiDAR, camera, and IMU in a factor graph, while Kimera constructs metric-semantic 3D models. Neither, however, constitutes a complete, learned world model that exploits persistent map tokens for predicting unseen hazards and guiding sensor attention [12].</w:t>
      </w:r>
    </w:p>
    <w:p w14:paraId="0831569D"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OpenScene enables assigning language-image embedding space features to point cloud points. Open3DSG extends such approaches with inter-object relationships, while Octree-Graph combines semantics, occupancy, and graph structure. These solutions, however, primarily address scene understanding rather than closed-loop UAV control operating under limited computational resources and partial observability [6], [7].</w:t>
      </w:r>
    </w:p>
    <w:p w14:paraId="0831569E"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Research on 4D occupancy forecasting has demonstrated that predicting the future state of space can serve as an effective planning foundation [8], [10], [14], [17]. Nevertheless, automotive applications, dense voxel representations, and full sensor sequence processing still dominate. The proposed S4D-TAM system fills the gap between semantic SLAM, 4D world models, and risk-aware planning for UAVs in GNSS-degraded environments.</w:t>
      </w:r>
    </w:p>
    <w:p w14:paraId="0831569F" w14:textId="32673FAA"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The key motivation is to transition from a classical geometric map to a predictive spatial memory of the UAV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one that not only records where objects are, but also predicts where they may appear, which areas are unobservable, and what risk they pose to flight safety. This approach can be termed a SLAM-native world model: a world model whose primary representation space is the SLAM map rather than the image stream [1].</w:t>
      </w:r>
    </w:p>
    <w:p w14:paraId="083156A0" w14:textId="77777777" w:rsidR="00C826F4" w:rsidRDefault="00C54218">
      <w:pPr>
        <w:spacing w:before="280" w:after="140" w:line="240" w:lineRule="auto"/>
        <w:rPr>
          <w:rFonts w:ascii="Times New Roman" w:hAnsi="Times New Roman" w:cs="Times New Roman"/>
          <w:b/>
          <w:bCs/>
          <w:sz w:val="28"/>
          <w:szCs w:val="28"/>
        </w:rPr>
      </w:pPr>
      <w:r>
        <w:rPr>
          <w:rFonts w:ascii="Times New Roman" w:eastAsia="Times New Roman" w:hAnsi="Times New Roman" w:cs="Times New Roman"/>
          <w:b/>
          <w:bCs/>
          <w:sz w:val="28"/>
          <w:szCs w:val="28"/>
        </w:rPr>
        <w:t>4. S4D-TAM System Concept</w:t>
      </w:r>
    </w:p>
    <w:p w14:paraId="083156A1"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4.1. Definition of the 4D Token</w:t>
      </w:r>
    </w:p>
    <w:p w14:paraId="083156A2"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A 3D token would represent a spatial fragment or object at a given position:</w:t>
      </w:r>
    </w:p>
    <w:p w14:paraId="083156A3"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tᵢ = [xᵢ, yᵢ, zᵢ]</w:t>
      </w:r>
    </w:p>
    <w:p w14:paraId="083156A4"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It would not, however, capture environmental changes or observation history. In an autonomous system it is essential to distinguish a building, tree, or rock from a person, vehicle, or object that may change its position [1].</w:t>
      </w:r>
    </w:p>
    <w:p w14:paraId="083156A5"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A 4D token should therefore incorporate the time dimension and additional attributes:</w:t>
      </w:r>
    </w:p>
    <w:p w14:paraId="083156A6"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Tᵢ(t) = [pᵢ, Σᵢ, gᵢ, sᵢ, vᵢ, hᵢ, uᵢ, rᵢ]</w:t>
      </w:r>
    </w:p>
    <w:p w14:paraId="083156A7"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the individual elements denote:</w:t>
      </w:r>
    </w:p>
    <w:p w14:paraId="083156A8" w14:textId="72E1C0B0"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1. pᵢ ∈ ℝ³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position in space</w:t>
      </w:r>
    </w:p>
    <w:p w14:paraId="083156A9" w14:textId="6B4CFD1A"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2. Σᵢ ∈ ℝ³ × 3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position covariance matrix (geometric uncertainty)</w:t>
      </w:r>
    </w:p>
    <w:p w14:paraId="083156AA" w14:textId="4B51AA53"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3. gᵢ ∈ ℝdg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geometric descriptor (normals, curvature, local features)</w:t>
      </w:r>
    </w:p>
    <w:p w14:paraId="083156AB" w14:textId="78DE752C"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4. sᵢ ∈ ℝds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semantic embedding (features from a neural network or open-vocabulary model)</w:t>
      </w:r>
    </w:p>
    <w:p w14:paraId="083156AC" w14:textId="49066A03"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5. vᵢ ∈ ℝ³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estimated velocity/motion vector</w:t>
      </w:r>
    </w:p>
    <w:p w14:paraId="083156AD" w14:textId="12335FA4"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6. hᵢ ∈ ℝdh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observation history (observation count, timestamps, sensor sources)</w:t>
      </w:r>
    </w:p>
    <w:p w14:paraId="083156AE" w14:textId="1C37033F"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7. uᵢ ∈ [0,1]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overall token uncertainty (scalar reliability measure)</w:t>
      </w:r>
    </w:p>
    <w:p w14:paraId="083156AF" w14:textId="3FCEAEF6"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8. rᵢ ∈ [0,1]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local risk indicator (hazard probability)</w:t>
      </w:r>
    </w:p>
    <w:p w14:paraId="083156B0"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fourth dimension does not merely add time as an additional coordinate. The token also stores persistence, observation ordering, rate of change, and the predicted future state of the object [1], [17], [22], [23], [25].</w:t>
      </w:r>
    </w:p>
    <w:p w14:paraId="083156B1"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lastRenderedPageBreak/>
        <w:t>4.2. System Architecture</w:t>
      </w:r>
    </w:p>
    <w:p w14:paraId="083156B2"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S4D-TAM system consists of the following layers (Figure 1):</w:t>
      </w:r>
    </w:p>
    <w:p w14:paraId="083156B3" w14:textId="1B63FC02"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Layer 1: Sensor Fusion Integration of data from RGB and thermal cameras, IMU, GNSS, altimeter, optionally LiDAR/radar, and reference ma</w:t>
      </w:r>
      <w:r w:rsidR="00C70220">
        <w:rPr>
          <w:rFonts w:ascii="Times New Roman" w:eastAsia="Times New Roman" w:hAnsi="Times New Roman" w:cs="Times New Roman"/>
          <w:sz w:val="24"/>
          <w:szCs w:val="24"/>
        </w:rPr>
        <w:t>ps. Each measurement receives a </w:t>
      </w:r>
      <w:r>
        <w:rPr>
          <w:rFonts w:ascii="Times New Roman" w:eastAsia="Times New Roman" w:hAnsi="Times New Roman" w:cs="Times New Roman"/>
          <w:sz w:val="24"/>
          <w:szCs w:val="24"/>
        </w:rPr>
        <w:t>timestamp, coordinate frame transformation, and a reliability measure [1].</w:t>
      </w:r>
    </w:p>
    <w:p w14:paraId="083156B4" w14:textId="4A4E2CC1"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Layer 2: SLAM Front-End A lightweight visual front-end for feature tracking, depth estimation, characteristic object detection, and feature vector extractio</w:t>
      </w:r>
      <w:r w:rsidR="0096313D">
        <w:rPr>
          <w:rFonts w:ascii="Times New Roman" w:eastAsia="Times New Roman" w:hAnsi="Times New Roman" w:cs="Times New Roman"/>
          <w:sz w:val="24"/>
          <w:szCs w:val="24"/>
        </w:rPr>
        <w:t>n. The geometric SLAM creates a </w:t>
      </w:r>
      <w:r>
        <w:rPr>
          <w:rFonts w:ascii="Times New Roman" w:eastAsia="Times New Roman" w:hAnsi="Times New Roman" w:cs="Times New Roman"/>
          <w:sz w:val="24"/>
          <w:szCs w:val="24"/>
        </w:rPr>
        <w:t>local point cloud and estimates the UAV trajectory. The factor graph includes visual odometry, inertial, GNSS, altimeter, semantic loop-closure, and reference-map alignment factors [2], [3], [4].</w:t>
      </w:r>
    </w:p>
    <w:p w14:paraId="083156B5"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Layer 3: Tokenization and Hierarchical Representation The full point cloud is divided into superpoints, object segments, adaptive octree cells, local surface patches, and dynamic instances. Each segment is encoded as one or more tokens. The hierarchical representation stores large, regular surfaces at low resolution while edges, obstacles, and dynamic objects are retained at higher resolution [5], [6], [7], [37], [38].</w:t>
      </w:r>
    </w:p>
    <w:p w14:paraId="083156B6"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Layer 4: Spatiotemporal Transformer A hierarchical attention mechanism with local scope (tokens within a given spatial radius, predicted flight corridor, sensor visibility region) and global scope (landmarks, major terrain obstacles, dynamic objects, high-uncertainty areas, elevated-risk locations). The attention weight depends on token features and their mutual positions [8], [12], [14], [16].</w:t>
      </w:r>
    </w:p>
    <w:p w14:paraId="083156B7"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Layer 5: Object Memory and Semantics Upon detecting a characteristic object, the system creates an instance token storing a class probability distribution, observation history, open-vocabulary embedding, and spatial relations with other objects [5], [11], [34].</w:t>
      </w:r>
    </w:p>
    <w:p w14:paraId="083156B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Layer 6: Reference Map Alignment The system maintains two representations: the current map Mt built on the fly, and the reference map Mref derived from elevation maps, previous flights, or a simplified terrain point cloud. Alignment uses a three-step procedure: global topological and terrain descriptor matching, landmark token matching, and local geometric optimization [4], [19], [20].</w:t>
      </w:r>
    </w:p>
    <w:p w14:paraId="083156B9"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Layer 7: Occupancy and Risk Forecasting The model predicts future space occupancy and the probability of risk in partially observable areas. The system infers that beyond a building edge lies an unobservable region, a road or terrain trail may lead to an unseen object, a previously detected dynamic object may have moved into a neighboring zone, and terrain topography limits available escape trajectories [8], [10], [14], [17], [21].</w:t>
      </w:r>
    </w:p>
    <w:p w14:paraId="083156B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Layer 8: Trajectory Planning The planner minimizes an objective function that accounts for trajectory length, energy cost, collision probability, predicted environmental risk, and the cost arising from map uncertainty. The system selects among: continuing flight, altitude change, heading change, temporary hover in a safe zone, return along the memorized route, limiting non-critical measurements, and increasing observation intensity in high-uncertainty areas [11], [19], [41].</w:t>
      </w:r>
    </w:p>
    <w:p w14:paraId="083156BB"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Layer 9: Active Perception The active perception module selects camera orientation, processing frequency, and sensory modality based on expected uncertainty reduction relative to cost. The IR camera may be activated more frequently in low illumination or in areas where prior data indicates the possible presence of a thermal object. The RGB camera need not be analyzed by the full network at every frame [1], [3], [6].</w:t>
      </w:r>
    </w:p>
    <w:p w14:paraId="083156BC" w14:textId="77777777" w:rsidR="00C826F4" w:rsidRDefault="00C54218">
      <w:pPr>
        <w:spacing w:before="280" w:after="140" w:line="240" w:lineRule="auto"/>
        <w:rPr>
          <w:rFonts w:ascii="Times New Roman" w:hAnsi="Times New Roman" w:cs="Times New Roman"/>
          <w:b/>
          <w:bCs/>
          <w:sz w:val="28"/>
          <w:szCs w:val="28"/>
        </w:rPr>
      </w:pPr>
      <w:r>
        <w:rPr>
          <w:rFonts w:ascii="Times New Roman" w:eastAsia="Times New Roman" w:hAnsi="Times New Roman" w:cs="Times New Roman"/>
          <w:b/>
          <w:bCs/>
          <w:sz w:val="28"/>
          <w:szCs w:val="28"/>
        </w:rPr>
        <w:t>5. Mathematical Description</w:t>
      </w:r>
    </w:p>
    <w:p w14:paraId="083156BD"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lastRenderedPageBreak/>
        <w:t>5.1. Sensor Layer and Data Fusion</w:t>
      </w:r>
    </w:p>
    <w:p w14:paraId="083156BE" w14:textId="34B17E26"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system uses a sensor set 𝒮= \s₁, s₂, …, sn\, where each sensor sᵢ provides a measurement zᵢ(t) at time t with uncertainty Σᵢ(t). Data fusion is performed in a factor graph:</w:t>
      </w:r>
    </w:p>
    <w:p w14:paraId="083156BF"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Ftotal = FVO + FIMU + FGNSS + Falt + Fsem + Fref</w:t>
      </w:r>
    </w:p>
    <w:p w14:paraId="083156C0"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w:t>
      </w:r>
    </w:p>
    <w:p w14:paraId="083156C1" w14:textId="5FFF30EE"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FVO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visual odometry factor</w:t>
      </w:r>
    </w:p>
    <w:p w14:paraId="083156C2" w14:textId="4A0DC6BE"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FIMU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inertial factor</w:t>
      </w:r>
    </w:p>
    <w:p w14:paraId="083156C3" w14:textId="23C30253"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FGNSS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GNSS factor (with adaptive weight under degradation)</w:t>
      </w:r>
    </w:p>
    <w:p w14:paraId="083156C4" w14:textId="3A73AB20"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Falt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altimeter factor</w:t>
      </w:r>
    </w:p>
    <w:p w14:paraId="083156C5" w14:textId="6C2D30E3"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Fsem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semantic loop-closure factor</w:t>
      </w:r>
    </w:p>
    <w:p w14:paraId="083156C6" w14:textId="0D6DDE76"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Fref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reference map alignment factor</w:t>
      </w:r>
    </w:p>
    <w:p w14:paraId="083156C7"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Each factor takes the form:</w:t>
      </w:r>
    </w:p>
    <w:p w14:paraId="083156C8"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Fᵢ = ∑ₖ ‖ eᵢk ‖_Σᵢk²</w:t>
      </w:r>
    </w:p>
    <w:p w14:paraId="083156C9"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eᵢk is the residual error and Σᵢk is the covariance matrix [2], [3], [4].</w:t>
      </w:r>
    </w:p>
    <w:p w14:paraId="083156CA"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5.2. SLAM Front-End</w:t>
      </w:r>
    </w:p>
    <w:p w14:paraId="083156CB"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SLAM front-end estimates the UAV trajectory X = \x₁, x₂, …, xT\ and the point map M = \m₁, m₂, …, mN\ by minimizing the cost function:</w:t>
      </w:r>
    </w:p>
    <w:p w14:paraId="083156CC"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X*, M* = arg minX, M ∑ᵢ,j ρ( ‖ zᵢⱼ - h(xᵢ, mⱼ) ‖_Σ_ij² )</w:t>
      </w:r>
    </w:p>
    <w:p w14:paraId="083156CD"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h(xᵢ, mⱼ) is the projection function of point mⱼ onto pose xᵢ, and ρ(·) is a robust function (e.g., Huber) [2], [4].</w:t>
      </w:r>
    </w:p>
    <w:p w14:paraId="083156CE"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reconstruction scale is corrected using:</w:t>
      </w:r>
    </w:p>
    <w:p w14:paraId="083156CF"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s* = arg mins ∑ₖ wₖ ‖ s · dₖVO - dₖref ‖²</w:t>
      </w:r>
    </w:p>
    <w:p w14:paraId="083156D0"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dₖVO is the distance from visual odometry, dₖref is the reference distance (from IMU, altimeter, GNSS, known object sizes, elevation map), and wₖ are reliability weights [1], [4].</w:t>
      </w:r>
    </w:p>
    <w:p w14:paraId="083156D1"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5.3. Point Cloud Tokenization</w:t>
      </w:r>
    </w:p>
    <w:p w14:paraId="083156D2"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point cloud M is divided into K tokens \T₁, T₂, …, TK\ through hierarchical segmentation:</w:t>
      </w:r>
    </w:p>
    <w:p w14:paraId="083156D3"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M = ⋃ᵢ=1K 𝒫ᵢ</w:t>
      </w:r>
    </w:p>
    <w:p w14:paraId="083156D4"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𝒫ᵢ is the set of points assigned to token Tᵢ. Segmentation may use:</w:t>
      </w:r>
    </w:p>
    <w:p w14:paraId="083156D5" w14:textId="41DBC983"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1. Superpoints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grouping of points with similar geometry and semantics [37], [38]</w:t>
      </w:r>
    </w:p>
    <w:p w14:paraId="083156D6" w14:textId="37727586"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2. Object segments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instance detection [5], [34]</w:t>
      </w:r>
    </w:p>
    <w:p w14:paraId="083156D7" w14:textId="2B069162"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3. Adaptive octree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hierarchical space partitioning [6], [7]</w:t>
      </w:r>
    </w:p>
    <w:p w14:paraId="083156D8" w14:textId="563FB18C"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4. Local surface patches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planes, edges, corners [4]</w:t>
      </w:r>
    </w:p>
    <w:p w14:paraId="083156D9" w14:textId="49C6741F"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5. Dynamic instances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moving objects [17], [22]</w:t>
      </w:r>
    </w:p>
    <w:p w14:paraId="083156D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For each token Tᵢ the following attributes are computed:</w:t>
      </w:r>
    </w:p>
    <w:p w14:paraId="083156DB"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pᵢ = (1)/(|𝒫ᵢ|) ∑m ∈ 𝒫ᵢ m</w:t>
      </w:r>
    </w:p>
    <w:p w14:paraId="083156DC"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Σᵢ = (1)/(|𝒫ᵢ|) ∑m ∈ 𝒫ᵢ (m - pᵢ)(m - pᵢ)ᵀ</w:t>
      </w:r>
    </w:p>
    <w:p w14:paraId="083156DD"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gᵢ = GeomEncoder(𝒫ᵢ)</w:t>
      </w:r>
    </w:p>
    <w:p w14:paraId="083156DE"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sᵢ = SemEncoder(ℐᵢ, 𝒫ᵢ)</w:t>
      </w:r>
    </w:p>
    <w:p w14:paraId="083156D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ℐᵢ is the set of images observing points 𝒫ᵢ [5], [16], [38].</w:t>
      </w:r>
    </w:p>
    <w:p w14:paraId="083156E0"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lastRenderedPageBreak/>
        <w:t>5.4. Spatiotemporal Attention Mechanism</w:t>
      </w:r>
    </w:p>
    <w:p w14:paraId="083156E1"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hierarchical spatiotemporal transformer updates token representations through the attention mechanism:</w:t>
      </w:r>
    </w:p>
    <w:p w14:paraId="083156E2"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Tᵢ' = Tᵢ + Attention(Qᵢ, K, V)</w:t>
      </w:r>
    </w:p>
    <w:p w14:paraId="083156E3"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w:t>
      </w:r>
    </w:p>
    <w:p w14:paraId="083156E4"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Qᵢ = WQ Tᵢ, quad K = WK T, quad V = WV T</w:t>
      </w:r>
    </w:p>
    <w:p w14:paraId="083156E5"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Local attention covers tokens within radius rlocal:</w:t>
      </w:r>
    </w:p>
    <w:p w14:paraId="083156E6"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𝒩ᵢlocal = : ‖pᵢ - pⱼ‖ &lt; rlocal\</w:t>
      </w:r>
    </w:p>
    <w:p w14:paraId="083156E7"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Global attention covers tokens of particular significance:</w:t>
      </w:r>
    </w:p>
    <w:p w14:paraId="083156E8"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𝒩ᵢglobal = : landmark(j) ∨ dynamic(j) ∨ uⱼ &gt; θu ∨ rⱼ &gt; θr\</w:t>
      </w:r>
    </w:p>
    <w:p w14:paraId="083156E9"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attention weight accounts for spatial, temporal, and uncertainty relations:</w:t>
      </w:r>
    </w:p>
    <w:p w14:paraId="083156EA"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αᵢⱼ = (exp( fracQᵢᵀ Kⱼ)/(√dₖ) · φ(pᵢ, pⱼ, tᵢ, tⱼ) · ψ(uᵢ, uⱼ) )∑ₖ ∈ 𝒩ᵢ exp( (Qᵢᵀ Kₖ)/(√dₖ) · φ(pᵢ, pₖ, tᵢ, tₖ) · ψ(uᵢ, uₖ) )</w:t>
      </w:r>
    </w:p>
    <w:p w14:paraId="083156EB"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φ(·) encodes spatial and temporal relations, and ψ(·) limits the influence of uncertain observations [8], [12], [14], [16].</w:t>
      </w:r>
    </w:p>
    <w:p w14:paraId="083156EC"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5.5. Object Memory and Semantics</w:t>
      </w:r>
    </w:p>
    <w:p w14:paraId="083156ED"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Upon detecting a characteristic object, the system creates an instance token:</w:t>
      </w:r>
    </w:p>
    <w:p w14:paraId="083156EE"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Oₖ = [pₖ, Σₖ, bₖ, sₖ, P(cₖ | z₁:t), hₖ]</w:t>
      </w:r>
    </w:p>
    <w:p w14:paraId="083156E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bₖ is the bounding box, and P(cₖ | z₁:t) is the probability distribution over the object class cₖ given the observation history z₁:t.</w:t>
      </w:r>
    </w:p>
    <w:p w14:paraId="083156F0"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class distribution is updated via Bayesian filtering:</w:t>
      </w:r>
    </w:p>
    <w:p w14:paraId="083156F1"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P(cₖ | z₁:t) = fracP(zt | cₖ) P(cₖ | z₁:t-1)∑c' P(zt | c') P(c' | z₁:t-1)</w:t>
      </w:r>
    </w:p>
    <w:p w14:paraId="083156F2"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open-vocabulary approach allows searching the map for objects and properties that were not constrained to a closed class set during training [5], [11], [34].</w:t>
      </w:r>
    </w:p>
    <w:p w14:paraId="083156F3"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5.6. Reference Map Alignment</w:t>
      </w:r>
    </w:p>
    <w:p w14:paraId="083156F4"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system maintains two representations: the current map Mt and the reference map Mref. Alignment uses a three-step procedure:</w:t>
      </w:r>
    </w:p>
    <w:p w14:paraId="083156F5"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Step 1: Global Alignment Determining the transformation Tglobal by matching global descriptors:</w:t>
      </w:r>
    </w:p>
    <w:p w14:paraId="083156F6"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Tglobal = arg minT ∑ᵢ ‖ dᵢt - d_σ(i)ref ‖²</w:t>
      </w:r>
    </w:p>
    <w:p w14:paraId="083156F7"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dᵢt and d_σ(i)ref are global descriptors (e.g., topological, terrain-based) [4], [19], [20].</w:t>
      </w:r>
    </w:p>
    <w:p w14:paraId="083156F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Step 2: Landmark Matching Refining the transformation by matching landmark tokens:</w:t>
      </w:r>
    </w:p>
    <w:p w14:paraId="083156F9"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Tlandmark = arg minT ∑ⱼ ∈ ℒ ‖ T pⱼt - p_σ(j)ref ‖_Σⱼ²</w:t>
      </w:r>
    </w:p>
    <w:p w14:paraId="083156F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ℒ is the landmark set [2], [4].</w:t>
      </w:r>
    </w:p>
    <w:p w14:paraId="083156FB"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Step 3: Local Geometric Optimization Final refinement via ICP or a semantic variant:</w:t>
      </w:r>
    </w:p>
    <w:p w14:paraId="083156FC"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Tfinal = arg minT ∑ᵢ,j wᵢⱼ ‖ T pᵢt - pⱼref ‖²</w:t>
      </w:r>
    </w:p>
    <w:p w14:paraId="083156FD"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wᵢⱼ accounts for semantic consistency [4], [5].</w:t>
      </w:r>
    </w:p>
    <w:p w14:paraId="083156FE"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lastRenderedPageBreak/>
        <w:t>The difference between the current map and the reference map indicates: a localization error, an environmental change, appearance of a new object, absence of a previously existing object, or unreliability of the current GNSS measurement [1], [19].</w:t>
      </w:r>
    </w:p>
    <w:p w14:paraId="083156FF"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5.7. Occupancy and Risk Forecasting</w:t>
      </w:r>
    </w:p>
    <w:p w14:paraId="08315700"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system predicts future space occupancy and risk probability in partially observable regions:</w:t>
      </w:r>
    </w:p>
    <w:p w14:paraId="08315701"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O(t+Δ t) = fpred(T₁:K(t), a(t))</w:t>
      </w:r>
    </w:p>
    <w:p w14:paraId="08315702"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O(t+Δ t) is the predicted occupancy at time t+Δ t, T₁:K(t) are tokens at time t, a(t) is the planned action (trajectory), and fpred is the predictive model (e.g., temporal transformer, diffusion model) [8], [10], [14], [17].</w:t>
      </w:r>
    </w:p>
    <w:p w14:paraId="08315703"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risk map is determined as:</w:t>
      </w:r>
    </w:p>
    <w:p w14:paraId="08315704"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R(p, t+Δ t) = P(Hp, t+Δ t | M₁:t, Mref, Ct)</w:t>
      </w:r>
    </w:p>
    <w:p w14:paraId="08315705"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Hp, t+Δ t denotes a hazardous event at position p at time t+Δ t, and Ct is the motion and environment context [1], [21].</w:t>
      </w:r>
    </w:p>
    <w:p w14:paraId="08315706"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system infers risk in unobservable areas via:</w:t>
      </w:r>
    </w:p>
    <w:p w14:paraId="08315707"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Roccluded(p) = ∑c ∈ 𝒞 P(c | Tvisible) · P(H | c, geometry(p))</w:t>
      </w:r>
    </w:p>
    <w:p w14:paraId="0831570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𝒞 is the set of contexts (road, terrain trail, building edge), Tvisible are the visible tokens, and geometry(p) describes the terrain topography at position p [1], [11], [21].</w:t>
      </w:r>
    </w:p>
    <w:p w14:paraId="08315709"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5.8. Trajectory Planning</w:t>
      </w:r>
    </w:p>
    <w:p w14:paraId="0831570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planner minimizes the objective function:</w:t>
      </w:r>
    </w:p>
    <w:p w14:paraId="0831570B"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J(ξ) = ∫₀ᵀ [ L(ξ(t)) + E(ξ(t), ξ(t)) + λH PH(ξ(t)) + λR R(ξ(t), t) + λU U(ξ(t)) ] dt</w:t>
      </w:r>
    </w:p>
    <w:p w14:paraId="0831570C"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w:t>
      </w:r>
    </w:p>
    <w:p w14:paraId="0831570D"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ξ(t) is the UAV trajectory</w:t>
      </w:r>
    </w:p>
    <w:p w14:paraId="0831570E"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L(ξ(t)) is the trajectory length</w:t>
      </w:r>
    </w:p>
    <w:p w14:paraId="0831570F"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E(ξ(t), ξ(t)) is the energy cost</w:t>
      </w:r>
    </w:p>
    <w:p w14:paraId="08315710"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PH(ξ(t)) is the collision probability</w:t>
      </w:r>
    </w:p>
    <w:p w14:paraId="08315711"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R(ξ(t), t) is the predicted environmental risk</w:t>
      </w:r>
    </w:p>
    <w:p w14:paraId="08315712"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U(ξ(t)) is the cost arising from map uncertainty</w:t>
      </w:r>
    </w:p>
    <w:p w14:paraId="08315713"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λH, λR, λU are weighting coefficients</w:t>
      </w:r>
    </w:p>
    <w:p w14:paraId="08315714"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Collision probability is determined as:</w:t>
      </w:r>
    </w:p>
    <w:p w14:paraId="08315715"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PH(ξ(t)) = 1 - ∏ᵢ (1 - P(collision | ξ(t), Tᵢ(t)))</w:t>
      </w:r>
    </w:p>
    <w:p w14:paraId="08315716"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uncertainty cost accounts for missing information:</w:t>
      </w:r>
    </w:p>
    <w:p w14:paraId="08315717"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U(ξ(t)) = ∑ᵢ ∈ 𝒩(ξ(t)) uᵢ · exp(-(‖ξ(t) - pᵢ‖²)/(2σ²))</w:t>
      </w:r>
    </w:p>
    <w:p w14:paraId="0831571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system selects the action:</w:t>
      </w:r>
    </w:p>
    <w:p w14:paraId="08315719"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a* = arg mina ∈ 𝒜 J(ξ(a))</w:t>
      </w:r>
    </w:p>
    <w:p w14:paraId="0831571A" w14:textId="537BB6D6"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𝒜 is the set of possible actions: continuing flight, altitude change, heading change, temporary hover in a safe zone, return along the memorized route, limiting non-critical measurements, and increasing observation intensity in high-unc</w:t>
      </w:r>
      <w:r w:rsidR="00523079">
        <w:rPr>
          <w:rFonts w:ascii="Times New Roman" w:eastAsia="Times New Roman" w:hAnsi="Times New Roman" w:cs="Times New Roman"/>
          <w:sz w:val="24"/>
          <w:szCs w:val="24"/>
        </w:rPr>
        <w:t>ertainty areas [1], [11], [19], </w:t>
      </w:r>
      <w:r>
        <w:rPr>
          <w:rFonts w:ascii="Times New Roman" w:eastAsia="Times New Roman" w:hAnsi="Times New Roman" w:cs="Times New Roman"/>
          <w:sz w:val="24"/>
          <w:szCs w:val="24"/>
        </w:rPr>
        <w:t>[41].</w:t>
      </w:r>
    </w:p>
    <w:p w14:paraId="0831571B"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5.9. Active Perception</w:t>
      </w:r>
    </w:p>
    <w:p w14:paraId="0831571C"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lastRenderedPageBreak/>
        <w:t>The active perception module selects a sensory action atsense that maximizes expected uncertainty reduction relative to cost:</w:t>
      </w:r>
    </w:p>
    <w:p w14:paraId="0831571D"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atsense = arg maxa ∈ 𝒜_sense (I(T; z | a))/(C(a))</w:t>
      </w:r>
    </w:p>
    <w:p w14:paraId="0831571E"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I(T; z | a) is the mutual information between tokens T and measurement z given action a, and C(a) is the energy and computational cost of the action [1], [3], [6].</w:t>
      </w:r>
    </w:p>
    <w:p w14:paraId="0831571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Mutual information is approximated as:</w:t>
      </w:r>
    </w:p>
    <w:p w14:paraId="08315720" w14:textId="77777777" w:rsidR="00C826F4" w:rsidRPr="00EF1A2A" w:rsidRDefault="00C54218">
      <w:pPr>
        <w:spacing w:before="80" w:after="80" w:line="240" w:lineRule="auto"/>
        <w:jc w:val="center"/>
        <w:rPr>
          <w:rFonts w:ascii="Times New Roman" w:hAnsi="Times New Roman" w:cs="Times New Roman"/>
          <w:bCs/>
          <w:i/>
          <w:lang w:val="pl-PL"/>
        </w:rPr>
      </w:pPr>
      <w:r w:rsidRPr="00EF1A2A">
        <w:rPr>
          <w:rFonts w:ascii="Times New Roman" w:eastAsia="Times New Roman" w:hAnsi="Times New Roman" w:cs="Times New Roman"/>
          <w:i/>
          <w:iCs/>
          <w:lang w:val="pl-PL"/>
        </w:rPr>
        <w:t>I(T; z | a) ≈ H(T) - Ez|a[H(T|z)]</w:t>
      </w:r>
    </w:p>
    <w:p w14:paraId="08315721"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H(T) is the token entropy before measurement and H(T|z) is the entropy after measurement.</w:t>
      </w:r>
    </w:p>
    <w:p w14:paraId="08315722"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IR camera may be activated more frequently in low illumination or in regions where prior data indicate the possible presence of a thermal object. The RGB camera need not be processed by the full network at every frame [1].</w:t>
      </w:r>
    </w:p>
    <w:p w14:paraId="08315723"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5.10. Metrological Error Analysis of the S4D-TAM System</w:t>
      </w:r>
    </w:p>
    <w:p w14:paraId="08315724"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Metrological analysis forms the foundation for designing reliable autonomous navigation systems. The objective of this subsection is to formalize the error models of individual S4D-TAM system layers, derive lower bounds on estimation uncertainty, and determine the cumulative positioning error budget of the UAV in a GNSS-degraded environment.</w:t>
      </w:r>
    </w:p>
    <w:p w14:paraId="08315725" w14:textId="77777777" w:rsidR="00C826F4" w:rsidRDefault="00C54218">
      <w:pPr>
        <w:spacing w:before="160" w:after="80" w:line="240" w:lineRule="auto"/>
        <w:rPr>
          <w:rFonts w:ascii="Times New Roman" w:hAnsi="Times New Roman" w:cs="Times New Roman"/>
          <w:b/>
          <w:bCs/>
        </w:rPr>
      </w:pPr>
      <w:r>
        <w:rPr>
          <w:rFonts w:ascii="Times New Roman" w:eastAsia="Times New Roman" w:hAnsi="Times New Roman" w:cs="Times New Roman"/>
          <w:b/>
          <w:bCs/>
        </w:rPr>
        <w:t>5.10.1. Sensor Layer Error Model</w:t>
      </w:r>
    </w:p>
    <w:p w14:paraId="08315726"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Each sensor sᵢ ∈ 𝒮 is characterized by its own error model. Adopting the general measurement form:</w:t>
      </w:r>
    </w:p>
    <w:p w14:paraId="08315727"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zᵢ(t) = hᵢ(x(t)) + nᵢ(t) + bᵢ(t)</w:t>
      </w:r>
    </w:p>
    <w:p w14:paraId="0831572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hᵢ(·) is the observation function, nᵢ(t) sim 𝒩(0, Rᵢ) is the measurement noise with covariance matrix Rᵢ, and bᵢ(t) is the systematic error (bias).</w:t>
      </w:r>
    </w:p>
    <w:p w14:paraId="08315729"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IMU (gyroscope + accelerometer): The error model of the gyroscope and accelerometer in an IMU extended with bias is described as:</w:t>
      </w:r>
    </w:p>
    <w:p w14:paraId="0831572A"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ω(t) = ω(t) + bg(t) + ng(t), quad ng sim 𝒩(0, σg² I₃)</w:t>
      </w:r>
    </w:p>
    <w:p w14:paraId="0831572B" w14:textId="77777777" w:rsidR="00C826F4" w:rsidRPr="00EF1A2A" w:rsidRDefault="00C54218">
      <w:pPr>
        <w:spacing w:before="80" w:after="80" w:line="240" w:lineRule="auto"/>
        <w:jc w:val="center"/>
        <w:rPr>
          <w:rFonts w:ascii="Times New Roman" w:hAnsi="Times New Roman" w:cs="Times New Roman"/>
          <w:bCs/>
          <w:i/>
          <w:lang w:val="pl-PL"/>
        </w:rPr>
      </w:pPr>
      <w:r w:rsidRPr="00EF1A2A">
        <w:rPr>
          <w:rFonts w:ascii="Times New Roman" w:eastAsia="Times New Roman" w:hAnsi="Times New Roman" w:cs="Times New Roman"/>
          <w:i/>
          <w:iCs/>
          <w:lang w:val="pl-PL"/>
        </w:rPr>
        <w:t xml:space="preserve">a(t) = a(t) + ba(t) + na(t), quad na sim </w:t>
      </w:r>
      <w:r>
        <w:rPr>
          <w:rFonts w:ascii="Times New Roman" w:eastAsia="Times New Roman" w:hAnsi="Times New Roman" w:cs="Times New Roman"/>
          <w:i/>
          <w:iCs/>
        </w:rPr>
        <w:t>𝒩</w:t>
      </w:r>
      <w:r w:rsidRPr="00EF1A2A">
        <w:rPr>
          <w:rFonts w:ascii="Times New Roman" w:eastAsia="Times New Roman" w:hAnsi="Times New Roman" w:cs="Times New Roman"/>
          <w:i/>
          <w:iCs/>
          <w:lang w:val="pl-PL"/>
        </w:rPr>
        <w:t xml:space="preserve">(0, </w:t>
      </w:r>
      <w:r>
        <w:rPr>
          <w:rFonts w:ascii="Times New Roman" w:eastAsia="Times New Roman" w:hAnsi="Times New Roman" w:cs="Times New Roman"/>
          <w:i/>
          <w:iCs/>
        </w:rPr>
        <w:t>σ</w:t>
      </w:r>
      <w:r w:rsidRPr="00EF1A2A">
        <w:rPr>
          <w:rFonts w:ascii="Times New Roman" w:eastAsia="Times New Roman" w:hAnsi="Times New Roman" w:cs="Times New Roman"/>
          <w:i/>
          <w:iCs/>
          <w:lang w:val="pl-PL"/>
        </w:rPr>
        <w:t>a² I₃)</w:t>
      </w:r>
    </w:p>
    <w:p w14:paraId="0831572C"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biases evolve according to a random walk model:</w:t>
      </w:r>
    </w:p>
    <w:p w14:paraId="0831572D"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bg = nbg, quad nbg sim 𝒩(0, σbg² I₃)</w:t>
      </w:r>
    </w:p>
    <w:p w14:paraId="0831572E"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ba = nba, quad nba sim 𝒩(0, σba² I₃)</w:t>
      </w:r>
    </w:p>
    <w:p w14:paraId="0831572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position error resulting from double integration of IMU grows over time as:</w:t>
      </w:r>
    </w:p>
    <w:p w14:paraId="08315730"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σIMU(t) = (1)/(2)σa t² + (1)/(6)σba t³</w:t>
      </w:r>
    </w:p>
    <w:p w14:paraId="08315731"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GNSS under degradation conditions: In GNSS-degraded environments we introduce a signal quality indicator qGNSS(t) ∈ [0, 1], where qGNSS = 1 denotes full constellation coverage and qGNSS = 0 denotes complete signal loss. The GNSS measurement covariance scales adaptively:</w:t>
      </w:r>
    </w:p>
    <w:p w14:paraId="08315732"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RGNSS(t) = fracRGNSS^(0)qGNSS(t) + ε</w:t>
      </w:r>
    </w:p>
    <w:p w14:paraId="08315733"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RGNSS^(0) is the baseline covariance at full signal and ε ll 1 is a regularization parameter preventing singularity. As qGNSS to 0, the factor FGNSS is effectively removed from the factor graph through the increase in its variance.</w:t>
      </w:r>
    </w:p>
    <w:p w14:paraId="08315734" w14:textId="040EA164"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Visual odometry (VO)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relative drift: The visual odometry error accumulates quasi-randomly, proportional to the traveled distance d:</w:t>
      </w:r>
    </w:p>
    <w:p w14:paraId="08315735"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lastRenderedPageBreak/>
        <w:t>σVO(d) = αVO d + βVO √(d)</w:t>
      </w:r>
    </w:p>
    <w:p w14:paraId="08315736"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αVO is the linear error coefficient (typically 0.5–2\% per meter traveled), and βVO describes the diffusive component associated with stochastic visual noise.</w:t>
      </w:r>
    </w:p>
    <w:p w14:paraId="08315737"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Barometric altimeter: The altitude measurement error is dominated by slow-varying temperature and ambient pressure drift:</w:t>
      </w:r>
    </w:p>
    <w:p w14:paraId="08315738"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zbaro(t) = ztrue(t) + bbaro + nbaro(t)</w:t>
      </w:r>
    </w:p>
    <w:p w14:paraId="08315739"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bbaro sim 𝒰(-δb, +δb) is the bias with a uniform distribution over range δb ≈ 1–3 m, and nbaro sim 𝒩(0, σbaro²) with σbaro ≈ 0.1–0.5 m.</w:t>
      </w:r>
    </w:p>
    <w:p w14:paraId="0831573A" w14:textId="77777777" w:rsidR="00C826F4" w:rsidRDefault="00C54218">
      <w:pPr>
        <w:spacing w:before="160" w:after="80" w:line="240" w:lineRule="auto"/>
        <w:rPr>
          <w:rFonts w:ascii="Times New Roman" w:hAnsi="Times New Roman" w:cs="Times New Roman"/>
          <w:b/>
          <w:bCs/>
        </w:rPr>
      </w:pPr>
      <w:r>
        <w:rPr>
          <w:rFonts w:ascii="Times New Roman" w:eastAsia="Times New Roman" w:hAnsi="Times New Roman" w:cs="Times New Roman"/>
          <w:b/>
          <w:bCs/>
        </w:rPr>
        <w:t>5.10.2. Error Propagation in the Factor Graph</w:t>
      </w:r>
    </w:p>
    <w:p w14:paraId="0831573B" w14:textId="00554569"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Let ξ = [ptop, vtop, φtop, bgtop, batop]top ∈ ℝ¹⁵ be the navigation state vector (p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position, v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velocity, φ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Euler angles, bg, ba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IMU biases). The lower bound on the variance of an unbiased estimator ξ is given by the Cramér-Rao Lower Bound (CRLB):</w:t>
      </w:r>
    </w:p>
    <w:p w14:paraId="0831573C"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Cov(ξ) ≥ J-¹(ξ)</w:t>
      </w:r>
    </w:p>
    <w:p w14:paraId="0831573D"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J(ξ) is the Fisher Information Matrix (FIM), the sum of contributions from all factor graph factors:</w:t>
      </w:r>
    </w:p>
    <w:p w14:paraId="0831573E"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J(ξ) = ∑ᵢ Hᵢtop Rᵢ-¹ Hᵢ + Jprior</w:t>
      </w:r>
    </w:p>
    <w:p w14:paraId="0831573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Hᵢ = (∂ hᵢ)/(∂ ξ) is the Jacobian matrix of the observation function of the i-th factor, and Jprior represents the prior information contribution. The marginal position variance σp² is the diagonal element:</w:t>
      </w:r>
    </w:p>
    <w:p w14:paraId="08315740"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σp² ≥ [J-¹(ξ)]pp</w:t>
      </w:r>
    </w:p>
    <w:p w14:paraId="08315741"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Navigation state covariance propagation follows the Riccati equation:</w:t>
      </w:r>
    </w:p>
    <w:p w14:paraId="08315742"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P(t) = F(t) P(t) + P(t) F(t)top + G(t) Q(t) G(t)top</w:t>
      </w:r>
    </w:p>
    <w:p w14:paraId="08315743"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F(t) is the inertial system state transition matrix, G(t) is the noise input matrix, and Q(t) = diag(σa²I₃, σg²I₃, σba²I₃, σbg²I₃) is the noise spectral density matrix.</w:t>
      </w:r>
    </w:p>
    <w:p w14:paraId="08315744"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When merging measurements from M sensors in the factor graph, the combined FIM grows additively, reducing the estimator covariance:</w:t>
      </w:r>
    </w:p>
    <w:p w14:paraId="08315745"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Jfused = JIMU + JVO + qGNSS JGNSS + Jalt + Jsem + Jref</w:t>
      </w:r>
    </w:p>
    <w:p w14:paraId="08315746"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each term is weighted according to the reliability of the corresponding source.</w:t>
      </w:r>
    </w:p>
    <w:p w14:paraId="08315747" w14:textId="77777777" w:rsidR="00C826F4" w:rsidRDefault="00C54218">
      <w:pPr>
        <w:spacing w:before="160" w:after="80" w:line="240" w:lineRule="auto"/>
        <w:rPr>
          <w:rFonts w:ascii="Times New Roman" w:hAnsi="Times New Roman" w:cs="Times New Roman"/>
          <w:b/>
          <w:bCs/>
        </w:rPr>
      </w:pPr>
      <w:r>
        <w:rPr>
          <w:rFonts w:ascii="Times New Roman" w:eastAsia="Times New Roman" w:hAnsi="Times New Roman" w:cs="Times New Roman"/>
          <w:b/>
          <w:bCs/>
        </w:rPr>
        <w:t>5.10.3. Quantization and Discretization Error of Tokens</w:t>
      </w:r>
    </w:p>
    <w:p w14:paraId="0831574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3D space is divided into tokens of side length ell meters (§5.3). The quantization operation mapping the coordinates of point p ∈ ℝ³ to the centroid of token cₖ introduces a quantization error:</w:t>
      </w:r>
    </w:p>
    <w:p w14:paraId="08315749"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εq = p - cₖ, quad ‖εq‖ ≤ fracell√(3)2</w:t>
      </w:r>
    </w:p>
    <w:p w14:paraId="0831574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For a regular cubic grid of side length ell, the quantization error variance along each axis is:</w:t>
      </w:r>
    </w:p>
    <w:p w14:paraId="0831574B"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σq,1D² = (ell²)/(12)</w:t>
      </w:r>
    </w:p>
    <w:p w14:paraId="0831574C"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and the total 3D variance:</w:t>
      </w:r>
    </w:p>
    <w:p w14:paraId="0831574D"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σq² = (ell²)/(4)</w:t>
      </w:r>
    </w:p>
    <w:p w14:paraId="0831574E" w14:textId="635E4876"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An additional semantic error arises from imperfections of the open-vocabulary classifier. Defining the classifier confusion matrix C ∈ ℝC × C (C classes)</w:t>
      </w:r>
      <w:r w:rsidR="00523079">
        <w:rPr>
          <w:rFonts w:ascii="Times New Roman" w:eastAsia="Times New Roman" w:hAnsi="Times New Roman" w:cs="Times New Roman"/>
          <w:sz w:val="24"/>
          <w:szCs w:val="24"/>
        </w:rPr>
        <w:t>, the semantic error of token k </w:t>
      </w:r>
      <w:r>
        <w:rPr>
          <w:rFonts w:ascii="Times New Roman" w:eastAsia="Times New Roman" w:hAnsi="Times New Roman" w:cs="Times New Roman"/>
          <w:sz w:val="24"/>
          <w:szCs w:val="24"/>
        </w:rPr>
        <w:t>is expressed by the conditional entropy of the class assignment:</w:t>
      </w:r>
    </w:p>
    <w:p w14:paraId="0831574F"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εsem^(k) = -∑c=1C p(c|Tₖ) log p(c|Tₖ) = H(c|Tₖ)</w:t>
      </w:r>
    </w:p>
    <w:p w14:paraId="08315750"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lastRenderedPageBreak/>
        <w:t>A value of εsem^(k) = 0 indicates certain assignment, while εsem^(k) = log C indicates maximum semantic uncertainty. A token with high εsem^(k) receives increased covariance in the Fsem factor graph factor.</w:t>
      </w:r>
    </w:p>
    <w:p w14:paraId="08315751" w14:textId="77777777" w:rsidR="00C826F4" w:rsidRDefault="00C54218">
      <w:pPr>
        <w:spacing w:before="160" w:after="80" w:line="240" w:lineRule="auto"/>
        <w:rPr>
          <w:rFonts w:ascii="Times New Roman" w:hAnsi="Times New Roman" w:cs="Times New Roman"/>
          <w:b/>
          <w:bCs/>
        </w:rPr>
      </w:pPr>
      <w:r>
        <w:rPr>
          <w:rFonts w:ascii="Times New Roman" w:eastAsia="Times New Roman" w:hAnsi="Times New Roman" w:cs="Times New Roman"/>
          <w:b/>
          <w:bCs/>
        </w:rPr>
        <w:t>5.10.4. Lower Bound on Localization Error</w:t>
      </w:r>
    </w:p>
    <w:p w14:paraId="08315752"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total UAV positioning error is a combination of: visual odometry drift σVO, uncertainty arising from IMU integration σIMU, GNSS error σGNSS, and the contribution from semantic anchoring σsem. Under joint optimization in the factor graph, the CRLB on the position error takes the form:</w:t>
      </w:r>
    </w:p>
    <w:p w14:paraId="08315753"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σp,min²(t) = [Jfused-¹(t)]pp = (1)/(∑ᵢ [Hᵢtop Rᵢ^-1) Hᵢ]pp</w:t>
      </w:r>
    </w:p>
    <w:p w14:paraId="08315754" w14:textId="38646F26"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In the scenario of complete GNSS absence (qGNSS = 0), posi</w:t>
      </w:r>
      <w:r w:rsidR="00EE23EB">
        <w:rPr>
          <w:rFonts w:ascii="Times New Roman" w:eastAsia="Times New Roman" w:hAnsi="Times New Roman" w:cs="Times New Roman"/>
          <w:sz w:val="24"/>
          <w:szCs w:val="24"/>
        </w:rPr>
        <w:t>tion error grows according to a </w:t>
      </w:r>
      <w:r>
        <w:rPr>
          <w:rFonts w:ascii="Times New Roman" w:eastAsia="Times New Roman" w:hAnsi="Times New Roman" w:cs="Times New Roman"/>
          <w:sz w:val="24"/>
          <w:szCs w:val="24"/>
        </w:rPr>
        <w:t>modified drift model:</w:t>
      </w:r>
    </w:p>
    <w:p w14:paraId="08315755"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σp²(t) = σp,0² + αVO² d(t)² + γsem Nloop-¹</w:t>
      </w:r>
    </w:p>
    <w:p w14:paraId="08315756"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σp,0² is the initial variance (determined by GNSS before degradation), d(t) is the total distance traveled, Nloop is the number of successful semantic loop closures, and γsem is the semantic correction coefficient. Each semantic loop closure reduces σp² proportionally to the strength of the semantic evidence, determined by the Fisher information of factor Fsem.</w:t>
      </w:r>
    </w:p>
    <w:p w14:paraId="08315757" w14:textId="77777777" w:rsidR="00C826F4" w:rsidRDefault="00C54218">
      <w:pPr>
        <w:spacing w:before="160" w:after="80" w:line="240" w:lineRule="auto"/>
        <w:rPr>
          <w:rFonts w:ascii="Times New Roman" w:hAnsi="Times New Roman" w:cs="Times New Roman"/>
          <w:b/>
          <w:bCs/>
        </w:rPr>
      </w:pPr>
      <w:r>
        <w:rPr>
          <w:rFonts w:ascii="Times New Roman" w:eastAsia="Times New Roman" w:hAnsi="Times New Roman" w:cs="Times New Roman"/>
          <w:b/>
          <w:bCs/>
        </w:rPr>
        <w:t>5.10.5. Occupancy Forecasting Error</w:t>
      </w:r>
    </w:p>
    <w:p w14:paraId="0831575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4D occupancy predictor (§5.7) produces a probabilistic map O(x, t+Δ t) based on the token state at time t. Prediction error grows with the temporal horizon Δ t. Modeling the evolution of token Tₖ as a linear-Gaussian stochastic process with transition matrix Φ and noise diffusion Qdyn:</w:t>
      </w:r>
    </w:p>
    <w:p w14:paraId="08315759"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Tₖ(t+Δ t) = Φ(Δ t) Tₖ(t) + ωₖ, quad ωₖ sim 𝒩(0, Qdyn(Δ t))</w:t>
      </w:r>
    </w:p>
    <w:p w14:paraId="0831575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prediction error covariance is:</w:t>
      </w:r>
    </w:p>
    <w:p w14:paraId="0831575B"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Σpred(Δ t) = Φ(Δ t) Σₖ(t) Φ(Δ t)top + Qdyn(Δ t)</w:t>
      </w:r>
    </w:p>
    <w:p w14:paraId="0831575C"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For static objects Φ ≈ I and Qdyn ≈ 0, while for dynamic objects Qdyn(Δ t) ∝ Δ t. This results in a linear growth of prediction uncertainty with horizon:</w:t>
      </w:r>
    </w:p>
    <w:p w14:paraId="0831575D"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σpred²(Δ t) = σpred,0² + σdyn² · Δ t</w:t>
      </w:r>
    </w:p>
    <w:p w14:paraId="0831575E"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binary occupancy classification error is defined by the Brier Score:</w:t>
      </w:r>
    </w:p>
    <w:p w14:paraId="0831575F"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BS(Δ t) = (1)/(|𝒱|) ∑x ∈ 𝒱 (O(x, t+Δ t) - Otrue(x, t+Δ t))²</w:t>
      </w:r>
    </w:p>
    <w:p w14:paraId="08315760"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𝒱 is the set of workspace voxels. The expected value of BS(Δ t) is lower bounded by the entropy of the dynamic environment.</w:t>
      </w:r>
    </w:p>
    <w:p w14:paraId="08315761" w14:textId="77777777" w:rsidR="00C826F4" w:rsidRDefault="00C54218">
      <w:pPr>
        <w:spacing w:before="160" w:after="80" w:line="240" w:lineRule="auto"/>
        <w:rPr>
          <w:rFonts w:ascii="Times New Roman" w:hAnsi="Times New Roman" w:cs="Times New Roman"/>
          <w:b/>
          <w:bCs/>
        </w:rPr>
      </w:pPr>
      <w:r>
        <w:rPr>
          <w:rFonts w:ascii="Times New Roman" w:eastAsia="Times New Roman" w:hAnsi="Times New Roman" w:cs="Times New Roman"/>
          <w:b/>
          <w:bCs/>
        </w:rPr>
        <w:t>5.10.6. Cumulative Error Budget</w:t>
      </w:r>
    </w:p>
    <w:p w14:paraId="08315762"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table below summarizes the error sources of the S4D-TAM system with their typical values for the target configuration (lightweight UAV in an urban environment with partial GNSS degradation):</w:t>
      </w:r>
    </w:p>
    <w:tbl>
      <w:tblPr>
        <w:tblW w:w="5000" w:type="pct"/>
        <w:tblLook w:val="04A0" w:firstRow="1" w:lastRow="0" w:firstColumn="1" w:lastColumn="0" w:noHBand="0" w:noVBand="1"/>
      </w:tblPr>
      <w:tblGrid>
        <w:gridCol w:w="2410"/>
        <w:gridCol w:w="2126"/>
        <w:gridCol w:w="1985"/>
        <w:gridCol w:w="2551"/>
      </w:tblGrid>
      <w:tr w:rsidR="00C826F4" w14:paraId="08315767" w14:textId="77777777" w:rsidTr="001D0FE0">
        <w:tc>
          <w:tcPr>
            <w:tcW w:w="1328" w:type="pct"/>
            <w:shd w:val="clear" w:color="2E75B6" w:fill="2E75B6"/>
          </w:tcPr>
          <w:p w14:paraId="08315763" w14:textId="77777777" w:rsidR="00C826F4" w:rsidRDefault="00C54218">
            <w:pPr>
              <w:rPr>
                <w:rFonts w:ascii="Times New Roman" w:hAnsi="Times New Roman" w:cs="Times New Roman"/>
                <w:b/>
                <w:bCs/>
                <w:color w:val="FFFFFF"/>
                <w:sz w:val="20"/>
                <w:szCs w:val="20"/>
              </w:rPr>
            </w:pPr>
            <w:r>
              <w:rPr>
                <w:rFonts w:ascii="Times New Roman" w:eastAsia="Times New Roman" w:hAnsi="Times New Roman" w:cs="Times New Roman"/>
                <w:b/>
                <w:bCs/>
                <w:color w:val="FFFFFF"/>
                <w:sz w:val="20"/>
                <w:szCs w:val="20"/>
              </w:rPr>
              <w:t>Error Source</w:t>
            </w:r>
          </w:p>
        </w:tc>
        <w:tc>
          <w:tcPr>
            <w:tcW w:w="1172" w:type="pct"/>
            <w:shd w:val="clear" w:color="2E75B6" w:fill="2E75B6"/>
          </w:tcPr>
          <w:p w14:paraId="08315764" w14:textId="77777777" w:rsidR="00C826F4" w:rsidRDefault="00C54218">
            <w:pPr>
              <w:rPr>
                <w:rFonts w:ascii="Times New Roman" w:hAnsi="Times New Roman" w:cs="Times New Roman"/>
                <w:b/>
                <w:bCs/>
                <w:color w:val="FFFFFF"/>
                <w:sz w:val="20"/>
                <w:szCs w:val="20"/>
              </w:rPr>
            </w:pPr>
            <w:r>
              <w:rPr>
                <w:rFonts w:ascii="Times New Roman" w:eastAsia="Times New Roman" w:hAnsi="Times New Roman" w:cs="Times New Roman"/>
                <w:b/>
                <w:bCs/>
                <w:color w:val="FFFFFF"/>
                <w:sz w:val="20"/>
                <w:szCs w:val="20"/>
              </w:rPr>
              <w:t>Characteristic</w:t>
            </w:r>
          </w:p>
        </w:tc>
        <w:tc>
          <w:tcPr>
            <w:tcW w:w="1094" w:type="pct"/>
            <w:shd w:val="clear" w:color="2E75B6" w:fill="2E75B6"/>
          </w:tcPr>
          <w:p w14:paraId="08315765" w14:textId="77777777" w:rsidR="00C826F4" w:rsidRDefault="00C54218">
            <w:pPr>
              <w:rPr>
                <w:rFonts w:ascii="Times New Roman" w:hAnsi="Times New Roman" w:cs="Times New Roman"/>
                <w:b/>
                <w:bCs/>
                <w:color w:val="FFFFFF"/>
                <w:sz w:val="20"/>
                <w:szCs w:val="20"/>
              </w:rPr>
            </w:pPr>
            <w:r>
              <w:rPr>
                <w:rFonts w:ascii="Times New Roman" w:eastAsia="Times New Roman" w:hAnsi="Times New Roman" w:cs="Times New Roman"/>
                <w:b/>
                <w:bCs/>
                <w:color w:val="FFFFFF"/>
                <w:sz w:val="20"/>
                <w:szCs w:val="20"/>
              </w:rPr>
              <w:t>Typical Value (1σ)</w:t>
            </w:r>
          </w:p>
        </w:tc>
        <w:tc>
          <w:tcPr>
            <w:tcW w:w="1406" w:type="pct"/>
            <w:shd w:val="clear" w:color="2E75B6" w:fill="2E75B6"/>
          </w:tcPr>
          <w:p w14:paraId="08315766" w14:textId="77777777" w:rsidR="00C826F4" w:rsidRDefault="00C54218">
            <w:pPr>
              <w:rPr>
                <w:rFonts w:ascii="Times New Roman" w:hAnsi="Times New Roman" w:cs="Times New Roman"/>
                <w:b/>
                <w:bCs/>
                <w:color w:val="FFFFFF"/>
                <w:sz w:val="20"/>
                <w:szCs w:val="20"/>
              </w:rPr>
            </w:pPr>
            <w:r>
              <w:rPr>
                <w:rFonts w:ascii="Times New Roman" w:eastAsia="Times New Roman" w:hAnsi="Times New Roman" w:cs="Times New Roman"/>
                <w:b/>
                <w:bCs/>
                <w:color w:val="FFFFFF"/>
                <w:sz w:val="20"/>
                <w:szCs w:val="20"/>
              </w:rPr>
              <w:t>Time/Distance Dependence</w:t>
            </w:r>
          </w:p>
        </w:tc>
      </w:tr>
      <w:tr w:rsidR="00C826F4" w14:paraId="0831576C" w14:textId="77777777" w:rsidTr="001D0FE0">
        <w:trPr>
          <w:trHeight w:val="464"/>
        </w:trPr>
        <w:tc>
          <w:tcPr>
            <w:tcW w:w="1328" w:type="pct"/>
          </w:tcPr>
          <w:p w14:paraId="08315768"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IMU noise (accelerometer)</w:t>
            </w:r>
          </w:p>
        </w:tc>
        <w:tc>
          <w:tcPr>
            <w:tcW w:w="1172" w:type="pct"/>
          </w:tcPr>
          <w:p w14:paraId="08315769"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White noise σa</w:t>
            </w:r>
          </w:p>
        </w:tc>
        <w:tc>
          <w:tcPr>
            <w:tcW w:w="1094" w:type="pct"/>
          </w:tcPr>
          <w:p w14:paraId="0831576A"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0.05 m/s²</w:t>
            </w:r>
          </w:p>
        </w:tc>
        <w:tc>
          <w:tcPr>
            <w:tcW w:w="1406" w:type="pct"/>
          </w:tcPr>
          <w:p w14:paraId="0831576B"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σ ∝ t² (integration)</w:t>
            </w:r>
          </w:p>
        </w:tc>
      </w:tr>
      <w:tr w:rsidR="00C826F4" w14:paraId="08315771" w14:textId="77777777" w:rsidTr="001D0FE0">
        <w:trPr>
          <w:trHeight w:val="464"/>
        </w:trPr>
        <w:tc>
          <w:tcPr>
            <w:tcW w:w="1328" w:type="pct"/>
          </w:tcPr>
          <w:p w14:paraId="0831576D"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IMU bias drift</w:t>
            </w:r>
          </w:p>
        </w:tc>
        <w:tc>
          <w:tcPr>
            <w:tcW w:w="1172" w:type="pct"/>
          </w:tcPr>
          <w:p w14:paraId="0831576E"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Random walk σba</w:t>
            </w:r>
          </w:p>
        </w:tc>
        <w:tc>
          <w:tcPr>
            <w:tcW w:w="1094" w:type="pct"/>
          </w:tcPr>
          <w:p w14:paraId="0831576F"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0.002 m/s²/√s</w:t>
            </w:r>
          </w:p>
        </w:tc>
        <w:tc>
          <w:tcPr>
            <w:tcW w:w="1406" w:type="pct"/>
          </w:tcPr>
          <w:p w14:paraId="08315770"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σ ∝ t³/2</w:t>
            </w:r>
          </w:p>
        </w:tc>
      </w:tr>
      <w:tr w:rsidR="00C826F4" w14:paraId="08315776" w14:textId="77777777" w:rsidTr="001D0FE0">
        <w:trPr>
          <w:trHeight w:val="464"/>
        </w:trPr>
        <w:tc>
          <w:tcPr>
            <w:tcW w:w="1328" w:type="pct"/>
          </w:tcPr>
          <w:p w14:paraId="08315772"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Visual odometry</w:t>
            </w:r>
          </w:p>
        </w:tc>
        <w:tc>
          <w:tcPr>
            <w:tcW w:w="1172" w:type="pct"/>
          </w:tcPr>
          <w:p w14:paraId="08315773"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Proportional drift αVO</w:t>
            </w:r>
          </w:p>
        </w:tc>
        <w:tc>
          <w:tcPr>
            <w:tcW w:w="1094" w:type="pct"/>
          </w:tcPr>
          <w:p w14:paraId="08315774"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1\% per meter</w:t>
            </w:r>
          </w:p>
        </w:tc>
        <w:tc>
          <w:tcPr>
            <w:tcW w:w="1406" w:type="pct"/>
          </w:tcPr>
          <w:p w14:paraId="08315775"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σ ∝ d</w:t>
            </w:r>
          </w:p>
        </w:tc>
      </w:tr>
      <w:tr w:rsidR="00C826F4" w14:paraId="0831577B" w14:textId="77777777" w:rsidTr="001D0FE0">
        <w:trPr>
          <w:trHeight w:val="464"/>
        </w:trPr>
        <w:tc>
          <w:tcPr>
            <w:tcW w:w="1328" w:type="pct"/>
          </w:tcPr>
          <w:p w14:paraId="08315777"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GNSS (full signal)</w:t>
            </w:r>
          </w:p>
        </w:tc>
        <w:tc>
          <w:tcPr>
            <w:tcW w:w="1172" w:type="pct"/>
          </w:tcPr>
          <w:p w14:paraId="08315778"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σGNSS^(0)</w:t>
            </w:r>
          </w:p>
        </w:tc>
        <w:tc>
          <w:tcPr>
            <w:tcW w:w="1094" w:type="pct"/>
          </w:tcPr>
          <w:p w14:paraId="08315779"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1.5 m (horizontal)</w:t>
            </w:r>
          </w:p>
        </w:tc>
        <w:tc>
          <w:tcPr>
            <w:tcW w:w="1406" w:type="pct"/>
          </w:tcPr>
          <w:p w14:paraId="0831577A"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Constant</w:t>
            </w:r>
          </w:p>
        </w:tc>
      </w:tr>
      <w:tr w:rsidR="00C826F4" w14:paraId="08315780" w14:textId="77777777" w:rsidTr="001D0FE0">
        <w:trPr>
          <w:trHeight w:val="464"/>
        </w:trPr>
        <w:tc>
          <w:tcPr>
            <w:tcW w:w="1328" w:type="pct"/>
          </w:tcPr>
          <w:p w14:paraId="0831577C"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lastRenderedPageBreak/>
              <w:t>GNSS (degraded)</w:t>
            </w:r>
          </w:p>
        </w:tc>
        <w:tc>
          <w:tcPr>
            <w:tcW w:w="1172" w:type="pct"/>
          </w:tcPr>
          <w:p w14:paraId="0831577D"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σGNSS(q)</w:t>
            </w:r>
          </w:p>
        </w:tc>
        <w:tc>
          <w:tcPr>
            <w:tcW w:w="1094" w:type="pct"/>
          </w:tcPr>
          <w:p w14:paraId="0831577E"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5–50 m</w:t>
            </w:r>
          </w:p>
        </w:tc>
        <w:tc>
          <w:tcPr>
            <w:tcW w:w="1406" w:type="pct"/>
          </w:tcPr>
          <w:p w14:paraId="0831577F"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 1/qGNSS</w:t>
            </w:r>
          </w:p>
        </w:tc>
      </w:tr>
      <w:tr w:rsidR="00C826F4" w14:paraId="08315785" w14:textId="77777777" w:rsidTr="001D0FE0">
        <w:trPr>
          <w:trHeight w:val="464"/>
        </w:trPr>
        <w:tc>
          <w:tcPr>
            <w:tcW w:w="1328" w:type="pct"/>
          </w:tcPr>
          <w:p w14:paraId="08315781"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Barometric altimeter</w:t>
            </w:r>
          </w:p>
        </w:tc>
        <w:tc>
          <w:tcPr>
            <w:tcW w:w="1172" w:type="pct"/>
          </w:tcPr>
          <w:p w14:paraId="08315782"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σbaro + bias</w:t>
            </w:r>
          </w:p>
        </w:tc>
        <w:tc>
          <w:tcPr>
            <w:tcW w:w="1094" w:type="pct"/>
          </w:tcPr>
          <w:p w14:paraId="08315783"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0.3 m + 2 m</w:t>
            </w:r>
          </w:p>
        </w:tc>
        <w:tc>
          <w:tcPr>
            <w:tcW w:w="1406" w:type="pct"/>
          </w:tcPr>
          <w:p w14:paraId="08315784"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Thermal drift</w:t>
            </w:r>
          </w:p>
        </w:tc>
      </w:tr>
      <w:tr w:rsidR="00C826F4" w14:paraId="0831578A" w14:textId="77777777" w:rsidTr="001D0FE0">
        <w:trPr>
          <w:trHeight w:val="464"/>
        </w:trPr>
        <w:tc>
          <w:tcPr>
            <w:tcW w:w="1328" w:type="pct"/>
          </w:tcPr>
          <w:p w14:paraId="08315786"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Token quantization</w:t>
            </w:r>
          </w:p>
        </w:tc>
        <w:tc>
          <w:tcPr>
            <w:tcW w:w="1172" w:type="pct"/>
          </w:tcPr>
          <w:p w14:paraId="08315787"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σq</w:t>
            </w:r>
          </w:p>
        </w:tc>
        <w:tc>
          <w:tcPr>
            <w:tcW w:w="1094" w:type="pct"/>
          </w:tcPr>
          <w:p w14:paraId="08315788"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ell/2 (e.g., 0.5 m for ell = 1 m)</w:t>
            </w:r>
          </w:p>
        </w:tc>
        <w:tc>
          <w:tcPr>
            <w:tcW w:w="1406" w:type="pct"/>
          </w:tcPr>
          <w:p w14:paraId="08315789"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Constant (depends on ell)</w:t>
            </w:r>
          </w:p>
        </w:tc>
      </w:tr>
      <w:tr w:rsidR="00C826F4" w14:paraId="0831578F" w14:textId="77777777" w:rsidTr="001D0FE0">
        <w:trPr>
          <w:trHeight w:val="464"/>
        </w:trPr>
        <w:tc>
          <w:tcPr>
            <w:tcW w:w="1328" w:type="pct"/>
          </w:tcPr>
          <w:p w14:paraId="0831578B"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Semantic error</w:t>
            </w:r>
          </w:p>
        </w:tc>
        <w:tc>
          <w:tcPr>
            <w:tcW w:w="1172" w:type="pct"/>
          </w:tcPr>
          <w:p w14:paraId="0831578C"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Classifier entropy $H(c</w:t>
            </w:r>
          </w:p>
        </w:tc>
        <w:tc>
          <w:tcPr>
            <w:tcW w:w="1094" w:type="pct"/>
          </w:tcPr>
          <w:p w14:paraId="0831578D"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\mathbf{T})$</w:t>
            </w:r>
          </w:p>
        </w:tc>
        <w:tc>
          <w:tcPr>
            <w:tcW w:w="1406" w:type="pct"/>
          </w:tcPr>
          <w:p w14:paraId="0831578E"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0.1–0.8 bit</w:t>
            </w:r>
          </w:p>
        </w:tc>
      </w:tr>
      <w:tr w:rsidR="00C826F4" w14:paraId="08315794" w14:textId="77777777" w:rsidTr="001D0FE0">
        <w:trPr>
          <w:trHeight w:val="464"/>
        </w:trPr>
        <w:tc>
          <w:tcPr>
            <w:tcW w:w="1328" w:type="pct"/>
          </w:tcPr>
          <w:p w14:paraId="08315790"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Occupancy prediction (Δ t = 1 s)</w:t>
            </w:r>
          </w:p>
        </w:tc>
        <w:tc>
          <w:tcPr>
            <w:tcW w:w="1172" w:type="pct"/>
          </w:tcPr>
          <w:p w14:paraId="08315791"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BS(Δ t)</w:t>
            </w:r>
          </w:p>
        </w:tc>
        <w:tc>
          <w:tcPr>
            <w:tcW w:w="1094" w:type="pct"/>
          </w:tcPr>
          <w:p w14:paraId="08315792"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0.05–0.15</w:t>
            </w:r>
          </w:p>
        </w:tc>
        <w:tc>
          <w:tcPr>
            <w:tcW w:w="1406" w:type="pct"/>
          </w:tcPr>
          <w:p w14:paraId="08315793"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 Δ t</w:t>
            </w:r>
          </w:p>
        </w:tc>
      </w:tr>
      <w:tr w:rsidR="00C826F4" w14:paraId="08315799" w14:textId="77777777" w:rsidTr="001D0FE0">
        <w:trPr>
          <w:trHeight w:val="464"/>
        </w:trPr>
        <w:tc>
          <w:tcPr>
            <w:tcW w:w="1328" w:type="pct"/>
          </w:tcPr>
          <w:p w14:paraId="08315795"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Total position error (IMU+VO only, d = 100 m)</w:t>
            </w:r>
          </w:p>
        </w:tc>
        <w:tc>
          <w:tcPr>
            <w:tcW w:w="1172" w:type="pct"/>
          </w:tcPr>
          <w:p w14:paraId="08315796"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CRLB σp</w:t>
            </w:r>
          </w:p>
        </w:tc>
        <w:tc>
          <w:tcPr>
            <w:tcW w:w="1094" w:type="pct"/>
          </w:tcPr>
          <w:p w14:paraId="08315797"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 2–5 m</w:t>
            </w:r>
          </w:p>
        </w:tc>
        <w:tc>
          <w:tcPr>
            <w:tcW w:w="1406" w:type="pct"/>
          </w:tcPr>
          <w:p w14:paraId="08315798"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 d</w:t>
            </w:r>
          </w:p>
        </w:tc>
      </w:tr>
      <w:tr w:rsidR="00C826F4" w14:paraId="0831579E" w14:textId="77777777" w:rsidTr="001D0FE0">
        <w:trPr>
          <w:trHeight w:val="464"/>
        </w:trPr>
        <w:tc>
          <w:tcPr>
            <w:tcW w:w="1328" w:type="pct"/>
          </w:tcPr>
          <w:p w14:paraId="0831579A"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Total position error (IMU+VO+sem, Nloop = 5)</w:t>
            </w:r>
          </w:p>
        </w:tc>
        <w:tc>
          <w:tcPr>
            <w:tcW w:w="1172" w:type="pct"/>
          </w:tcPr>
          <w:p w14:paraId="0831579B"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CRLB σp</w:t>
            </w:r>
          </w:p>
        </w:tc>
        <w:tc>
          <w:tcPr>
            <w:tcW w:w="1094" w:type="pct"/>
          </w:tcPr>
          <w:p w14:paraId="0831579C"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 0.5–1.5 m</w:t>
            </w:r>
          </w:p>
        </w:tc>
        <w:tc>
          <w:tcPr>
            <w:tcW w:w="1406" w:type="pct"/>
          </w:tcPr>
          <w:p w14:paraId="0831579D" w14:textId="77777777" w:rsidR="00C826F4" w:rsidRDefault="00C54218">
            <w:pPr>
              <w:rPr>
                <w:rFonts w:ascii="Times New Roman" w:hAnsi="Times New Roman" w:cs="Times New Roman"/>
                <w:sz w:val="20"/>
                <w:szCs w:val="20"/>
              </w:rPr>
            </w:pPr>
            <w:r>
              <w:rPr>
                <w:rFonts w:ascii="Times New Roman" w:eastAsia="Times New Roman" w:hAnsi="Times New Roman" w:cs="Times New Roman"/>
                <w:sz w:val="20"/>
                <w:szCs w:val="20"/>
              </w:rPr>
              <w:t>Bounded by loop closures</w:t>
            </w:r>
          </w:p>
        </w:tc>
      </w:tr>
    </w:tbl>
    <w:p w14:paraId="0831579F" w14:textId="77777777" w:rsidR="00C826F4" w:rsidRDefault="00C826F4"/>
    <w:p w14:paraId="083157A0"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error budget indicates that the key mechanism for limiting position drift under GNSS-degraded conditions is the effectiveness of semantic loop closures. Each loop closure with high semantic confidence (low εsem^(k)) reduces position variance proportionally to the Fisher information of factor Fsem, enabling maintenance of the error below the operational threshold σp &lt; 2 m even when flying through zones of complete GNSS loss extending to several kilometers.</w:t>
      </w:r>
    </w:p>
    <w:p w14:paraId="083157A1"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5.11. Extended Semantic Token Model</w:t>
      </w:r>
    </w:p>
    <w:p w14:paraId="083157A2"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basic geometric token introduced in §5.3 is replaced by an extended semantic-temporal token 𝒯ₖ, constituting a complete profile of an object recognized in the UAV's environment. Each token stores not only the object's position, but a complete record of the multidimensional observation history:</w:t>
      </w:r>
    </w:p>
    <w:p w14:paraId="083157A3"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𝒯ₖ = ⟨ μₖ, Σₖ, pc^(k), 𝒪ₖ, δₖ, vₖ, ℛₖ, Ωₖ, ρₖ ⟩</w:t>
      </w:r>
    </w:p>
    <w:p w14:paraId="083157A4"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the individual components have the following meaning:</w:t>
      </w:r>
    </w:p>
    <w:p w14:paraId="083157A5" w14:textId="5DEB700A"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μₖ ∈ ℝ³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estimated position (centroid) in the global frame</w:t>
      </w:r>
    </w:p>
    <w:p w14:paraId="083157A6" w14:textId="31132D40"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Σₖ ∈ ℝ³ × 3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position covariance matrix (localization uncertainty)</w:t>
      </w:r>
    </w:p>
    <w:p w14:paraId="083157A7" w14:textId="079884D0"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pc^(k) = (cⱼ | 𝒯ₖ)\ⱼ=1C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semantic class probability distribution</w:t>
      </w:r>
    </w:p>
    <w:p w14:paraId="083157A8" w14:textId="06BC95CB"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𝒪ₖ = \(tᵢ, sᵢ, wᵢ, zᵢ)\ᵢ=1nₖ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observation history: time, sensor ID, reliability weight, measurement</w:t>
      </w:r>
    </w:p>
    <w:p w14:paraId="083157A9" w14:textId="122EC812"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δₖ ∈ , dynamic, periodic\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motion state classification</w:t>
      </w:r>
    </w:p>
    <w:p w14:paraId="083157AA" w14:textId="40DA94D0"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vₖ ∈ ℝ³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estimated velocity vector (for δₖ ≠ static)</w:t>
      </w:r>
    </w:p>
    <w:p w14:paraId="083157AB" w14:textId="3723B3F0"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ℛₖ = \rₖl\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set of spatial-semantic relations to neighboring tokens</w:t>
      </w:r>
    </w:p>
    <w:p w14:paraId="083157AC" w14:textId="6D12A0D1"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Ωₖ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occlusion region (areas hidden by object k)</w:t>
      </w:r>
    </w:p>
    <w:p w14:paraId="083157AD" w14:textId="50EC3B2F"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ρₖ ∈ [0,1]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significance coefficient for flight safety and planning</w:t>
      </w:r>
    </w:p>
    <w:p w14:paraId="083157AE"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Weighted multi-sensor fusion:</w:t>
      </w:r>
    </w:p>
    <w:p w14:paraId="083157A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Each observation in the history 𝒪ₖ carries a reliability weight depending on the sensor source, detection confidence, and time elapsed since the last observation:</w:t>
      </w:r>
    </w:p>
    <w:p w14:paraId="083157B0"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lastRenderedPageBreak/>
        <w:t>wᵢ = wbase(sᵢ)· confᵢ · fdecay(t - tᵢ)</w:t>
      </w:r>
    </w:p>
    <w:p w14:paraId="083157B1"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wbase(sᵢ) is the baseline reliability of sensor sᵢ (calibrated a priori), confᵢ ∈ [0,1] is the detection confidence, and fdecay is the temporal decay function:</w:t>
      </w:r>
    </w:p>
    <w:p w14:paraId="083157B2"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fdecay(Δ t) = exp(-λs · Δ t)</w:t>
      </w:r>
    </w:p>
    <w:p w14:paraId="083157B3"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constant λs is a sensor-specific parameter: RGB cameras decay faster (λRGB &gt; λLiDAR) due to sensitivity to illumination changes. The position estimate and its covariance are determined by weighted information fusion:</w:t>
      </w:r>
    </w:p>
    <w:p w14:paraId="083157B4"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Σₖ-¹ = ∑ᵢ=1nₖ wᵢ · Σᵢ-¹, qquad μₖ = Σₖ ∑ᵢ=1nₖ wᵢ · Σᵢ-¹ zᵢ^(k)</w:t>
      </w:r>
    </w:p>
    <w:p w14:paraId="083157B5"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Bayesian update of the semantic class:</w:t>
      </w:r>
    </w:p>
    <w:p w14:paraId="083157B6"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At each new observation znew, the token class is updated according to Bayes' rule:</w:t>
      </w:r>
    </w:p>
    <w:p w14:paraId="083157B7"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p(cⱼ | 𝒯ₖ, znew) ∝ p(znew | cⱼ) · p(cⱼ | 𝒯ₖ)</w:t>
      </w:r>
    </w:p>
    <w:p w14:paraId="083157B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prior p(cⱼ | 𝒯ₖ) comes from the previous iteration, and the likelihood p(znew | cⱼ) is the output of the open-vocabulary classifier. The accumulation of observations causes semantic certainty to increase monotonically with nₖ.</w:t>
      </w:r>
    </w:p>
    <w:p w14:paraId="083157B9"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Motion state classification:</w:t>
      </w:r>
    </w:p>
    <w:p w14:paraId="083157B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Based on the observation history 𝒪ₖ, the system classifies the token into one of three dynamic classes. Define the sequence of estimated displacements:</w:t>
      </w:r>
    </w:p>
    <w:p w14:paraId="083157BB"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Δ μₖ^(i) = μₖ^(tᵢ) - μₖ^(tᵢ₋₁)</w:t>
      </w:r>
    </w:p>
    <w:p w14:paraId="083157BC"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classification criterion is based on a statistical test:</w:t>
      </w:r>
    </w:p>
    <w:p w14:paraId="083157BD"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δₖ = begincases static &amp; if ‖Δ μₖ‖̄ &lt; εs and σ_Δ &lt; ε_σ \\ periodic &amp; if FFT\‖Δ μₖ^(i)‖\ contains a dominant frequency f* \\ dynamic &amp; otherwise endcases</w:t>
      </w:r>
    </w:p>
    <w:p w14:paraId="083157BE"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εs and ε_σ are experimentally calibrated thresholds.</w:t>
      </w:r>
    </w:p>
    <w:p w14:paraId="083157B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Spatial relations between tokens:</w:t>
      </w:r>
    </w:p>
    <w:p w14:paraId="083157C0"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A pair of tokens (𝒯ₖ, 𝒯l) is connected by a relation rₖl describing their mutual geometric and semantic conditioning:</w:t>
      </w:r>
    </w:p>
    <w:p w14:paraId="083157C1"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rₖl = ⟨ dₖl, eₖl, ψₖl, αₖl ⟩</w:t>
      </w:r>
    </w:p>
    <w:p w14:paraId="083157C2"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dₖl = ‖μₖ - μl‖ is the distance, eₖl is the unit direction vector, ψₖl is the ontological relation (e.g., above, adjacent, blocks), and αₖl is the position uncertainty correlation coefficient. These relations form a scene graph 𝒢 = (𝒱, ℰ), in which vertices are tokens and edges carry relations rₖl.</w:t>
      </w:r>
    </w:p>
    <w:p w14:paraId="083157C3"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Modeling of occluded areas:</w:t>
      </w:r>
    </w:p>
    <w:p w14:paraId="083157C4"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For each token 𝒯ₖ and the current UAV position xUAV, the system determines the occlusion cone Ωₖ(xUAV) as the set of points geometrically hidden by the object:</w:t>
      </w:r>
    </w:p>
    <w:p w14:paraId="083157C5"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Ωₖ(xUAV) = x ∈ ℝ³ : ∃ λ &gt; 1, x = xUAV + λ (μₖ - xUAV), ‖x - axisₖ‖ &lt; rₖ</w:t>
      </w:r>
    </w:p>
    <w:p w14:paraId="083157C6"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rₖ is the estimated object radius. These regions enrich the uncertainty map with knowledge about the unknown surroundings.</w:t>
      </w:r>
    </w:p>
    <w:p w14:paraId="083157C7"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Flight safety significance coefficient:</w:t>
      </w:r>
    </w:p>
    <w:p w14:paraId="083157C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Token significance ρₖ is a function of the semantic class, observation history, and operational context:</w:t>
      </w:r>
    </w:p>
    <w:p w14:paraId="083157C9"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ρₖ = ρclass(cₖ*) · (1 - exp(-β_ρ · nₖ)) · fcontext(𝒯ₖ, xUAV)</w:t>
      </w:r>
    </w:p>
    <w:p w14:paraId="083157C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lastRenderedPageBreak/>
        <w:t>where ρclass(cₖ*) is the baseline class significance (e.g., ρwire = 0.95, ρtree = 0.6, ρbuilding = 0.8), the factor (1 - exp(-β_ρ nₖ)) reflects growing confidence with the number of observations, and fcontext accounts for distance and current flight conditions.</w:t>
      </w:r>
    </w:p>
    <w:p w14:paraId="083157CB"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5.12. Bayesian Inference about Future Scene States</w:t>
      </w:r>
    </w:p>
    <w:p w14:paraId="083157CC"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Predicting future scene states is a key element of proactive UAV navigation. The system models the scene as a Dynamic Bayesian Network (DBN), in which the global scene state at time t is defined as:</w:t>
      </w:r>
    </w:p>
    <w:p w14:paraId="083157CD"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St = 𝒯ₖ(t)ₖ=1K</w:t>
      </w:r>
    </w:p>
    <w:p w14:paraId="083157CE"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Scene state transition model:</w:t>
      </w:r>
    </w:p>
    <w:p w14:paraId="083157C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Assuming conditional independence of tokens with respect to the common environmental background, the transition model factorizes as:</w:t>
      </w:r>
    </w:p>
    <w:p w14:paraId="083157D0"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p(St+Δ t | St) = ∏ₖ=1K p(𝒯ₖ(t+Δ t) | 𝒯ₖ(t), δₖ, 𝒢t)</w:t>
      </w:r>
    </w:p>
    <w:p w14:paraId="083157D1"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Separate transition models are applied for static, dynamic, and periodic tokens:</w:t>
      </w:r>
    </w:p>
    <w:p w14:paraId="083157D2"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p(μₖ(t+Δ t) | μₖ(t), δₖ) = begincases 𝒩(μₖ, Σₖ + Qs Δ t) &amp; δₖ = static \4pt] 𝒩(μₖ + vₖ Δ t, Σₖ + Qd Δ t) &amp; δₖ = dynamic \4pt] ∑ⱼ αⱼ 𝒩(μₖ^(j), Σₖ^(j)) &amp; δₖ = periodic endcases</w:t>
      </w:r>
    </w:p>
    <w:p w14:paraId="083157D3"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Qs and Qd are process noise matrices for static and dynamic objects, and the periodic model is a Gaussian mixture with components μₖ^(j) corresponding to typical positions within the cycle.</w:t>
      </w:r>
    </w:p>
    <w:p w14:paraId="083157D4"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Particle approximation of the scene state distribution:</w:t>
      </w:r>
    </w:p>
    <w:p w14:paraId="083157D5"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Due to the nonlinearity of models and multimodality of distributions, the posterior probability of the scene state is approximated by a set of Np particles \(st^(i), wt^(i))\ᵢ=1Np:</w:t>
      </w:r>
    </w:p>
    <w:p w14:paraId="083157D6"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p(St | z₁:t) ≈ ∑ᵢ=1Np wt^(i) δ(St - st^(i))</w:t>
      </w:r>
    </w:p>
    <w:p w14:paraId="083157D7"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particle filter recursion proceeds in three steps:</w:t>
      </w:r>
    </w:p>
    <w:p w14:paraId="083157D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Prediction:</w:t>
      </w:r>
    </w:p>
    <w:p w14:paraId="083157D9"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st₊₁^(i) sim p(St₊₁ | st^(i))</w:t>
      </w:r>
    </w:p>
    <w:p w14:paraId="083157D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Weight update:</w:t>
      </w:r>
    </w:p>
    <w:p w14:paraId="083157DB"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wt₊₁^(i) ∝ wt^(i) · p(zt₊₁ | st₊₁^(i))</w:t>
      </w:r>
    </w:p>
    <w:p w14:paraId="083157DC"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Normalization and resampling:</w:t>
      </w:r>
    </w:p>
    <w:p w14:paraId="083157DD"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wt₊₁^(i) ← fracwt₊₁^(i)∑ⱼ wt₊₁^(j), qquad resample when Neff = (1)/(∑ᵢ (wt^(i)))² &lt; Np / 2</w:t>
      </w:r>
    </w:p>
    <w:p w14:paraId="083157DE"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predictive occupancy map at horizon Δ t is the particle-weighted average:</w:t>
      </w:r>
    </w:p>
    <w:p w14:paraId="083157DF" w14:textId="77777777" w:rsidR="00C826F4" w:rsidRPr="00EF1A2A" w:rsidRDefault="00C54218">
      <w:pPr>
        <w:spacing w:before="80" w:after="80" w:line="240" w:lineRule="auto"/>
        <w:jc w:val="center"/>
        <w:rPr>
          <w:rFonts w:ascii="Times New Roman" w:hAnsi="Times New Roman" w:cs="Times New Roman"/>
          <w:bCs/>
          <w:i/>
          <w:lang w:val="pl-PL"/>
        </w:rPr>
      </w:pPr>
      <w:r w:rsidRPr="00EF1A2A">
        <w:rPr>
          <w:rFonts w:ascii="Times New Roman" w:eastAsia="Times New Roman" w:hAnsi="Times New Roman" w:cs="Times New Roman"/>
          <w:i/>
          <w:iCs/>
          <w:lang w:val="pl-PL"/>
        </w:rPr>
        <w:t>O(x, t+</w:t>
      </w:r>
      <w:r>
        <w:rPr>
          <w:rFonts w:ascii="Times New Roman" w:eastAsia="Times New Roman" w:hAnsi="Times New Roman" w:cs="Times New Roman"/>
          <w:i/>
          <w:iCs/>
        </w:rPr>
        <w:t>Δ</w:t>
      </w:r>
      <w:r w:rsidRPr="00EF1A2A">
        <w:rPr>
          <w:rFonts w:ascii="Times New Roman" w:eastAsia="Times New Roman" w:hAnsi="Times New Roman" w:cs="Times New Roman"/>
          <w:i/>
          <w:iCs/>
          <w:lang w:val="pl-PL"/>
        </w:rPr>
        <w:t xml:space="preserve"> t) = ∑</w:t>
      </w:r>
      <w:r>
        <w:rPr>
          <w:rFonts w:ascii="Times New Roman" w:eastAsia="Times New Roman" w:hAnsi="Times New Roman" w:cs="Times New Roman"/>
          <w:i/>
          <w:iCs/>
        </w:rPr>
        <w:t>ᵢ</w:t>
      </w:r>
      <w:r w:rsidRPr="00EF1A2A">
        <w:rPr>
          <w:rFonts w:ascii="Times New Roman" w:eastAsia="Times New Roman" w:hAnsi="Times New Roman" w:cs="Times New Roman"/>
          <w:i/>
          <w:iCs/>
          <w:lang w:val="pl-PL"/>
        </w:rPr>
        <w:t>=1Np wt^(i) O(x | st+</w:t>
      </w:r>
      <w:r>
        <w:rPr>
          <w:rFonts w:ascii="Times New Roman" w:eastAsia="Times New Roman" w:hAnsi="Times New Roman" w:cs="Times New Roman"/>
          <w:i/>
          <w:iCs/>
        </w:rPr>
        <w:t>Δ</w:t>
      </w:r>
      <w:r w:rsidRPr="00EF1A2A">
        <w:rPr>
          <w:rFonts w:ascii="Times New Roman" w:eastAsia="Times New Roman" w:hAnsi="Times New Roman" w:cs="Times New Roman"/>
          <w:i/>
          <w:iCs/>
          <w:lang w:val="pl-PL"/>
        </w:rPr>
        <w:t xml:space="preserve"> t^(i))</w:t>
      </w:r>
    </w:p>
    <w:p w14:paraId="083157E0"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Inference about occluded areas:</w:t>
      </w:r>
    </w:p>
    <w:p w14:paraId="083157E1"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For the occlusion region Ωₖ determined in §5.11, the occupancy probability is inferred from the semantic context of the occluding token and spatial environment structure statistics:</w:t>
      </w:r>
    </w:p>
    <w:p w14:paraId="083157E2"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p(occupied(x) | 𝒯ₖ) = p₀(cₖ*) + (1 - p₀(cₖ*)) exp(-(d(x, ∂Ωₖ)²)/(2σ_Ω²)), quad x ∈ Ωₖ</w:t>
      </w:r>
    </w:p>
    <w:p w14:paraId="083157E3"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p₀(cₖ) is the baseline probability of an obstacle existing behind an object of class cₖ (e.g., p₀(building) = 0.8, p₀(tree) = 0.3), and σ_Ω controls the uncertainty range. This inference allows the planner to account for hazards invisible to sensors.</w:t>
      </w:r>
    </w:p>
    <w:p w14:paraId="083157E4"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Anomaly and event detection:</w:t>
      </w:r>
    </w:p>
    <w:p w14:paraId="083157E5"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lastRenderedPageBreak/>
        <w:t>The deviation of the observed state Stobs from the predicted state St is measured by the Mahalanobis distance:</w:t>
      </w:r>
    </w:p>
    <w:p w14:paraId="083157E6"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DM(t) = √((Stobs) - St)top ΣS^-1 (Stobs - St)</w:t>
      </w:r>
    </w:p>
    <w:p w14:paraId="083157E7"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Exceeding the threshold DM(t) &gt; Dalarm triggers heightened attention mode, in which the system increases processing frequency and directs sensors toward the anomaly area.</w:t>
      </w:r>
    </w:p>
    <w:p w14:paraId="083157E8"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5.13. Bayesian Risk Estimation and Trajectory Planning</w:t>
      </w:r>
    </w:p>
    <w:p w14:paraId="083157E9"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S4D-TAM system integrates the risk map directly into the trajectory planning process, treating collision risk as a probabilistic field determined in real time from the current Bayesian state.</w:t>
      </w:r>
    </w:p>
    <w:p w14:paraId="083157E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Risk field definition:</w:t>
      </w:r>
    </w:p>
    <w:p w14:paraId="083157EB"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risk field ℛ(x, t) at spatial point x at time t is the sum of weighted contributions from all tokens, including occluded areas:</w:t>
      </w:r>
    </w:p>
    <w:p w14:paraId="083157EC"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ℛ(x, t) = ∑ₖ=1K ρₖ · pocc(x, 𝒯ₖ, t) · pcoll(x, 𝒯ₖ)</w:t>
      </w:r>
    </w:p>
    <w:p w14:paraId="083157ED"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the occupancy probability pocc comes from the Bayesian prediction (§5.12), and the geometric collision probability is modeled as the complementary CDF of the safety distance:</w:t>
      </w:r>
    </w:p>
    <w:p w14:paraId="083157EE"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pcoll(x, 𝒯ₖ) = 1 - Φ(fracd(x, μₖ) - rsafe√(σₖ,r)² + σ_UAV²)</w:t>
      </w:r>
    </w:p>
    <w:p w14:paraId="083157E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rsafe is the minimum safety radius, σₖ,r is the object size uncertainty, and σUAV accounts for UAV position uncertainty.</w:t>
      </w:r>
    </w:p>
    <w:p w14:paraId="083157F0"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Risk in occluded areas is elevated proportionally to the uncertainty of the occluded region:</w:t>
      </w:r>
    </w:p>
    <w:p w14:paraId="083157F1"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ℛ(x, t) ← ℛ(x, t) + κ_Ω · 1x ∈ ⋃ₖ Ωₖ · maxₖ p₀(cₖ*)</w:t>
      </w:r>
    </w:p>
    <w:p w14:paraId="083157F2"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Trajectory cost function:</w:t>
      </w:r>
    </w:p>
    <w:p w14:paraId="083157F3"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optimal trajectory τ* minimizes a multi-component cost function:</w:t>
      </w:r>
    </w:p>
    <w:p w14:paraId="083157F4"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J(τ) = wL L(τ) + wE E(τ) + wR ∫_τ ℛ(x(t), t) dt + wU ∫_τ 𝒰(x(t), t) dt - wI ℐ(τ)</w:t>
      </w:r>
    </w:p>
    <w:p w14:paraId="083157F5"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w:t>
      </w:r>
    </w:p>
    <w:p w14:paraId="083157F6" w14:textId="5D44F2EB"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L(τ)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trajectory length</w:t>
      </w:r>
    </w:p>
    <w:p w14:paraId="083157F7" w14:textId="4E55D2DB"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E(τ)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energy cost (dependent on UAV dynamics)</w:t>
      </w:r>
    </w:p>
    <w:p w14:paraId="083157F8" w14:textId="503E7C2C"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ℛ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integrated collision risk along the route</w:t>
      </w:r>
    </w:p>
    <w:p w14:paraId="083157F9" w14:textId="79562810"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𝒰(x,t) = σp²(x,t) + κ_Ω · 1x ∈ Ω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world model uncertainty</w:t>
      </w:r>
    </w:p>
    <w:p w14:paraId="083157FA" w14:textId="724FD1AE"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ℐ(τ)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information gain (rewarding active exploration of high-uncertainty zones)</w:t>
      </w:r>
    </w:p>
    <w:p w14:paraId="083157FB"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Information gain is expressed through the expected scene entropy reduction:</w:t>
      </w:r>
    </w:p>
    <w:p w14:paraId="083157FC"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ℐ(τ) = H(St) - E_τ[H(St | z₁:τ)]</w:t>
      </w:r>
    </w:p>
    <w:p w14:paraId="083157FD"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Bayesian trajectory optimization (BTO):</w:t>
      </w:r>
    </w:p>
    <w:p w14:paraId="083157FE"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τ* = arg min_τ ∈ ℱ ES[J(τ | S)]</w:t>
      </w:r>
    </w:p>
    <w:p w14:paraId="083157F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ℱ is the space of feasible trajectories (kinematic and dynamic UAV constraints). Since direct minimization of the expected value is computationally expensive, approximation by particle trajectory sampling via MPPI (Model Predictive Path Integral) is employed:</w:t>
      </w:r>
    </w:p>
    <w:p w14:paraId="08315800"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τ* ≈ frac∑m=1M exp(-(1)/(λMPPI) J(τm)) τm∑m=1M exp(-(1)/(λMPPI) J(τm))</w:t>
      </w:r>
    </w:p>
    <w:p w14:paraId="08315801"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M sampled trajectories \τm\ are generated randomly from a normal distribution around the nominal trajectory, and λMPPI is a temperature parameter controlling the exploration-exploitation tradeoff.</w:t>
      </w:r>
    </w:p>
    <w:p w14:paraId="08315802"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lastRenderedPageBreak/>
        <w:t>Multi-level decision system:</w:t>
      </w:r>
    </w:p>
    <w:p w14:paraId="08315803"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risk field ℛ(x, t) defines four decision levels:</w:t>
      </w:r>
    </w:p>
    <w:p w14:paraId="08315804"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UAV Mode = begincases nominal &amp; ℛ(xUAV, t) &lt; ℛsafe \\ alert &amp; ℛsafe ≤ ℛ &lt; ℛalert \\ avoidance &amp; ℛalert ≤ ℛ &lt; ℛavoid \\ emergency &amp; ℛ ≥ ℛavoid endcases</w:t>
      </w:r>
    </w:p>
    <w:p w14:paraId="08315805"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In alert mode, the planner selects avoidance trajectories with wider margins; in avoidance mode, an immediate maneuver is required; in emergency mode, the UAV initiates a safe landing or return procedure.</w:t>
      </w:r>
    </w:p>
    <w:p w14:paraId="08315806"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5.14. Adaptive World Model with Hierarchical Resolution</w:t>
      </w:r>
    </w:p>
    <w:p w14:paraId="08315807"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Uniform tokenization resolution is a fundamental bottleneck in systems operating under limited computational resources. The S4D-TAM system introduces an Adaptive World Occupancy Model (AWOM) based on a hierarchical octree structure.</w:t>
      </w:r>
    </w:p>
    <w:p w14:paraId="0831580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Hierarchical octree structure:</w:t>
      </w:r>
    </w:p>
    <w:p w14:paraId="08315809"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UAV's operational space is represented by an adaptive octree 𝒪 with node resolutions ell ∈ \ell₁, ell₂, …, ellL\, where ell₁ &lt; ell₂ &lt; ⋯ &lt; ellL:</w:t>
      </w:r>
    </w:p>
    <w:p w14:paraId="0831580A"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ell₁ = 0.1 m,quad ell₂ = 0.5 m,quad ell₃ = 2 m,quad ell₄ = 10 m</w:t>
      </w:r>
    </w:p>
    <w:p w14:paraId="0831580B"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Each octree node at level ellⱼ is compressed into a Level of Detail (LOD) token representation at level j:</w:t>
      </w:r>
    </w:p>
    <w:p w14:paraId="0831580C"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LODₖ ∈ \0, 1, 2, 3\</w:t>
      </w:r>
    </w:p>
    <w:p w14:paraId="0831580D" w14:textId="5DF6E3D8"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LOD 0: token stores only (μₖ, ρₖ, cₖ*)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centroid, significance, and dominant class</w:t>
      </w:r>
    </w:p>
    <w:p w14:paraId="0831580E"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LOD 1: LOD 0 + approximate point cloud (up to 64 pts) + pc^(k)</w:t>
      </w:r>
    </w:p>
    <w:p w14:paraId="0831580F"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LOD 2: LOD 1 + full attention embedding + observation history 𝒪ₖ</w:t>
      </w:r>
    </w:p>
    <w:p w14:paraId="08315810"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LOD 3: LOD 2 + motion prediction model + spatial relations ℛₖ + region Ωₖ</w:t>
      </w:r>
    </w:p>
    <w:p w14:paraId="08315811"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Resolution adaptation criterion:</w:t>
      </w:r>
    </w:p>
    <w:p w14:paraId="08315812"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optimal token resolution ellₖ is determined as a trade-off between perception quality, computational resources, and location significance:</w:t>
      </w:r>
    </w:p>
    <w:p w14:paraId="08315813"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ellₖ = ell₁ · 2^ Lₖ, qquad Lₖ = leftlfloor Lmax · fdist(dₖ) · frisk(ρₖ)-¹ · fcomp(Cavail)-¹ rightrfloor</w:t>
      </w:r>
    </w:p>
    <w:p w14:paraId="08315814"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w:t>
      </w:r>
    </w:p>
    <w:p w14:paraId="08315815"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fdist(dₖ) = min(1, fracd(μₖ, xUAV)dmax), quad frisk(ρₖ) = ρₖ + ε_ρ, quad fcomp(Cavail) = fracCavailCnominal</w:t>
      </w:r>
    </w:p>
    <w:p w14:paraId="08315816"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Interpretation: tokens close to the UAV, with high safety significance, and under conditions of good resource availability receive higher resolution; distant, low-significance tokens, or those during CPU overload, receive lower resolution.</w:t>
      </w:r>
    </w:p>
    <w:p w14:paraId="08315817"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Dynamic processing priorities:</w:t>
      </w:r>
    </w:p>
    <w:p w14:paraId="0831581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Each token 𝒯ₖ has a priority scalar πₖ computed at each planning cycle:</w:t>
      </w:r>
    </w:p>
    <w:p w14:paraId="08315819"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πₖ = α_π · ρₖ + β_π · (1)/(λmin)(Σₖ) + ε + γ_π · fage(t - tlast,k) + δ_π · 1_δₖ ≠ static</w:t>
      </w:r>
    </w:p>
    <w:p w14:paraId="0831581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w:t>
      </w:r>
    </w:p>
    <w:p w14:paraId="0831581B" w14:textId="1E500CD1"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ρₖ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safety significance (§5.11)</w:t>
      </w:r>
    </w:p>
    <w:p w14:paraId="0831581C" w14:textId="5E5F2923"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λmin(Σₖ)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smallest eigenvalue of the covariance matrix (lower value = high confidence, lower update priority)</w:t>
      </w:r>
    </w:p>
    <w:p w14:paraId="0831581D" w14:textId="149F691A"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 fage(t - tlast,k) = 1 - exp(-ν · (t - tlast,k))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aging factor encouraging refresh of stale tokens</w:t>
      </w:r>
    </w:p>
    <w:p w14:paraId="0831581E" w14:textId="1E6D644E"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lastRenderedPageBreak/>
        <w:t xml:space="preserve">• 1_δₖ ≠ static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priority bonus for dynamic and periodic tokens</w:t>
      </w:r>
    </w:p>
    <w:p w14:paraId="0831581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Computational budget allocation across layers:</w:t>
      </w:r>
    </w:p>
    <w:p w14:paraId="08315820"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total computational budget Ctotal is distributed among the processing pipeline layers:</w:t>
      </w:r>
    </w:p>
    <w:p w14:paraId="08315821"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Ctotal = Csensor + CSLAM + Ctoken + Cattn + Cpred + Cplan</w:t>
      </w:r>
    </w:p>
    <w:p w14:paraId="08315822"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Constraints: ∑ᵢ Cᵢ ≤ Ctotal and Csensor ≥ Csensormin (minimum resources for perception safety). When Cavail &lt; Cnominal, reduction occurs in cascade from the layer with the lowest safety priority:</w:t>
      </w:r>
    </w:p>
    <w:p w14:paraId="08315823"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Cᵢ ← max(Cᵢmin, Cᵢ · fracCavailCnominal), qquad i ∈ , pred, plan, token, SLAM, sensor\</w:t>
      </w:r>
    </w:p>
    <w:p w14:paraId="08315824"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5.15. Computational Resource Management and Bottleneck Elimination</w:t>
      </w:r>
    </w:p>
    <w:p w14:paraId="08315825"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Intelligent resource management is a necessary condition for realizing all described S4D-TAM layers on embedded-class UAV hardware. This section formalizes the data flow model, bottleneck identification, and elimination mechanisms.</w:t>
      </w:r>
    </w:p>
    <w:p w14:paraId="08315826"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Processing pipeline throughput analysis:</w:t>
      </w:r>
    </w:p>
    <w:p w14:paraId="08315827"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S4D-TAM pipeline consists of N sequential stages with processing times Tᵢ and queue sizes qᵢ(t). System throughput is limited by the bottleneck stage:</w:t>
      </w:r>
    </w:p>
    <w:p w14:paraId="08315828"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Θsys = (1)/(maxᵢ) Tᵢ, qquad i* = arg maxᵢ Tᵢ</w:t>
      </w:r>
    </w:p>
    <w:p w14:paraId="08315829"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For the S4D-TAM pipeline with stages: {acquisition, SLAM front-end, tokenization, attention, Bayesian prediction, planner}, the nominal cycle time is:</w:t>
      </w:r>
    </w:p>
    <w:p w14:paraId="0831582A"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Tcycle = ∑ᵢ=1⁶ Tᵢ + Tcomm</w:t>
      </w:r>
    </w:p>
    <w:p w14:paraId="0831582B"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Tcomm accounts for data bus latencies between modules.</w:t>
      </w:r>
    </w:p>
    <w:p w14:paraId="0831582C"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Bottleneck prediction:</w:t>
      </w:r>
    </w:p>
    <w:p w14:paraId="0831582D"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system monitors queue lengths qᵢ(t) and predicts overload via Bayesian methods. Modeling task arrival as a Poisson process with intensity λᵢ(t), the probability of queue overflow within horizon Δ t is:</w:t>
      </w:r>
    </w:p>
    <w:p w14:paraId="0831582E"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P(qᵢ(t+Δ t) &gt; qmax) = 1 - ∑n=0qmax-qᵢ(t) ((λᵢ · Δ t)n)/(n!) e^-λᵢ Δ t</w:t>
      </w:r>
    </w:p>
    <w:p w14:paraId="0831582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When P &gt; Palarm, the system proactively reduces the load of stage i by:</w:t>
      </w:r>
    </w:p>
    <w:p w14:paraId="08315830"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Reducing tokenization resolution (tokenization stage)</w:t>
      </w:r>
    </w:p>
    <w:p w14:paraId="08315831"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Skipping updates of low-priority tokens πₖ (attention stage)</w:t>
      </w:r>
    </w:p>
    <w:p w14:paraId="08315832"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Shortening the prediction horizon Δ tpred (prediction stage)</w:t>
      </w:r>
    </w:p>
    <w:p w14:paraId="08315833"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Simplifying the trajectory sampler (reducing M in MPPI, planner stage)</w:t>
      </w:r>
    </w:p>
    <w:p w14:paraId="08315834"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Adaptive processing frequency:</w:t>
      </w:r>
    </w:p>
    <w:p w14:paraId="08315835"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effective processing frequency is dynamically scaled to available resources:</w:t>
      </w:r>
    </w:p>
    <w:p w14:paraId="08315836"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fproc(t) = min(fnom, fracCavail(t)Cper)</w:t>
      </w:r>
    </w:p>
    <w:p w14:paraId="08315837"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When fproc &lt; fmin, the system automatically simplifies the world model: it switches to survival mode with only a local attention map within radius rsurvival and a reactive planner based on VFH+ (Vector Field Histogram+).</w:t>
      </w:r>
    </w:p>
    <w:p w14:paraId="08315838" w14:textId="59737E8E"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Token memory management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TTL and LOD-compression policy:</w:t>
      </w:r>
    </w:p>
    <w:p w14:paraId="08315839"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Total token memory is bounded by the budget:</w:t>
      </w:r>
    </w:p>
    <w:p w14:paraId="0831583A"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Mtokens = ∑ₖ=1K m(LODₖ) ≤ Mbudget</w:t>
      </w:r>
    </w:p>
    <w:p w14:paraId="0831583B"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lastRenderedPageBreak/>
        <w:t>where m(LODⱼ) is the token size at level j (e.g., m(0) = 64 B, m(1) = 512 B, m(2) = 4 KB, m(3) = 32 KB). The memory management policy combines three mechanisms:</w:t>
      </w:r>
    </w:p>
    <w:p w14:paraId="0831583C"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TTL (Time-To-Live): a token is deactivated if t - tlast,k &gt; TTTL and ρₖ &lt; ρprune.</w:t>
      </w:r>
    </w:p>
    <w:p w14:paraId="0831583D"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Merging: static tokens at distance dₖl &lt; ellₖ with KL-divergence DKL(pc^(k) ‖ pc^(l)) &lt; εKL are merged into a common token:</w:t>
      </w:r>
    </w:p>
    <w:p w14:paraId="0831583E"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μₖl = (nₖ μₖ + nl μl)/(nₖ + nl), qquad Σₖl-¹ = Σₖ-¹ + Σl-¹</w:t>
      </w:r>
    </w:p>
    <w:p w14:paraId="0831583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LOD-compression: tokens beyond the active processing range are degraded to a lower LOD, freeing operational memory.</w:t>
      </w:r>
    </w:p>
    <w:p w14:paraId="08315840"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Task scheduling with safety guarantee:</w:t>
      </w:r>
    </w:p>
    <w:p w14:paraId="08315841" w14:textId="09900D1A"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The task scheduler allocates CPU time to S4D-TAM system modules according to an EDF-RT (Earliest Deadline First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Real-Time) policy extended with a safety coefficient:</w:t>
      </w:r>
    </w:p>
    <w:p w14:paraId="08315842" w14:textId="77777777" w:rsidR="00C826F4" w:rsidRDefault="00C54218">
      <w:pPr>
        <w:spacing w:before="80" w:after="80" w:line="240" w:lineRule="auto"/>
        <w:jc w:val="center"/>
        <w:rPr>
          <w:rFonts w:ascii="Times New Roman" w:hAnsi="Times New Roman" w:cs="Times New Roman"/>
          <w:bCs/>
          <w:i/>
        </w:rPr>
      </w:pPr>
      <w:r>
        <w:rPr>
          <w:rFonts w:ascii="Times New Roman" w:eastAsia="Times New Roman" w:hAnsi="Times New Roman" w:cs="Times New Roman"/>
          <w:i/>
          <w:iCs/>
        </w:rPr>
        <w:t>Priorityᵢ(t) = fracρᵢmaxTdeadline,i(t) - t + κsafety · 1ᵢ ∈ 𝒞_safety</w:t>
      </w:r>
    </w:p>
    <w:p w14:paraId="08315843"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where ρᵢmax = maxₖ ρₖ in the task queue of stage i, Tdeadline,i(t) is the absolute completion deadline, and 𝒞safety is the set of safety-critical stages (sensor acquisition, SLAM front-end, collision detection). Safety-critical tasks 𝒞safety have a guaranteed minimum CPU time regardless of system load, ensuring minimally safe operation even under full resource saturation.</w:t>
      </w:r>
    </w:p>
    <w:p w14:paraId="08315844" w14:textId="77777777" w:rsidR="00C826F4" w:rsidRDefault="00C54218">
      <w:pPr>
        <w:spacing w:before="280" w:after="140" w:line="240" w:lineRule="auto"/>
        <w:rPr>
          <w:rFonts w:ascii="Times New Roman" w:hAnsi="Times New Roman" w:cs="Times New Roman"/>
          <w:b/>
          <w:bCs/>
          <w:sz w:val="28"/>
          <w:szCs w:val="28"/>
        </w:rPr>
      </w:pPr>
      <w:r>
        <w:rPr>
          <w:rFonts w:ascii="Times New Roman" w:eastAsia="Times New Roman" w:hAnsi="Times New Roman" w:cs="Times New Roman"/>
          <w:b/>
          <w:bCs/>
          <w:sz w:val="28"/>
          <w:szCs w:val="28"/>
        </w:rPr>
        <w:t>6. Research Hypotheses</w:t>
      </w:r>
    </w:p>
    <w:p w14:paraId="08315845"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We propose the following research hypotheses for experimental verification:</w:t>
      </w:r>
    </w:p>
    <w:p w14:paraId="08315846"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H1: Navigation based on persistent 4D map tokens requires fewer operations and less memory than a system that repeatedly analyzes full RGB and IR sequences.</w:t>
      </w:r>
    </w:p>
    <w:p w14:paraId="08315847"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H2: Adding semantic embeddings to the geometric SLAM map reduces re-localization error in environments containing repetitive geometric structures.</w:t>
      </w:r>
    </w:p>
    <w:p w14:paraId="0831584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H3: The temporal token model improves future occupancy prediction relative to a static 3D map.</w:t>
      </w:r>
    </w:p>
    <w:p w14:paraId="08315849"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H4: Incorporating token uncertainty reduces the number of false responses to unconfirmed observations.</w:t>
      </w:r>
    </w:p>
    <w:p w14:paraId="0831584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H5: Comparing the local token map with the reference map increases localization robustness to periodic GNSS loss or inconsistency.</w:t>
      </w:r>
    </w:p>
    <w:p w14:paraId="0831584B"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H6: Topological descriptors of local sub-clouds improve map matching under changes in point density and partial occlusions.</w:t>
      </w:r>
    </w:p>
    <w:p w14:paraId="0831584C"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H7: Planning using the predicted risk map increases the probability of safely completing a route in a partially observable environment.</w:t>
      </w:r>
    </w:p>
    <w:p w14:paraId="0831584D" w14:textId="77777777" w:rsidR="00C826F4" w:rsidRDefault="00C54218">
      <w:pPr>
        <w:spacing w:before="280" w:after="140" w:line="240" w:lineRule="auto"/>
        <w:rPr>
          <w:rFonts w:ascii="Times New Roman" w:hAnsi="Times New Roman" w:cs="Times New Roman"/>
          <w:b/>
          <w:bCs/>
          <w:sz w:val="28"/>
          <w:szCs w:val="28"/>
        </w:rPr>
      </w:pPr>
      <w:r>
        <w:rPr>
          <w:rFonts w:ascii="Times New Roman" w:eastAsia="Times New Roman" w:hAnsi="Times New Roman" w:cs="Times New Roman"/>
          <w:b/>
          <w:bCs/>
          <w:sz w:val="28"/>
          <w:szCs w:val="28"/>
        </w:rPr>
        <w:t>7. Proposed Experimental Validation</w:t>
      </w:r>
    </w:p>
    <w:p w14:paraId="0831584E"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7.1. Datasets</w:t>
      </w:r>
    </w:p>
    <w:p w14:paraId="0831584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For preliminary training, the following datasets can be used:</w:t>
      </w:r>
    </w:p>
    <w:p w14:paraId="08315850" w14:textId="73B470D6"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1. TartanAir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contains RGB images, depth, segmentation, optical flow, camera poses, and LiDAR point clouds for diverse environments [24]</w:t>
      </w:r>
    </w:p>
    <w:p w14:paraId="08315851" w14:textId="4A38B53F"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2. Blackbird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suitable for evaluating perception during fast and dynamic UAV flight [44]</w:t>
      </w:r>
    </w:p>
    <w:p w14:paraId="08315852" w14:textId="723C1B08"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lastRenderedPageBreak/>
        <w:t xml:space="preserve">3. MARSIM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lightweight realistic LiDAR-based UAV simulator [44]</w:t>
      </w:r>
    </w:p>
    <w:p w14:paraId="08315853" w14:textId="3D53E74E"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4. Aeroverse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UAV-agent benchmark for simulation, pre-training, fine-tuning, and evaluation of world models [24]</w:t>
      </w:r>
    </w:p>
    <w:p w14:paraId="08315854"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target dataset should be prepared specifically for UAVs and contain:</w:t>
      </w:r>
    </w:p>
    <w:p w14:paraId="08315855"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1. Synchronized RGB, IR, IMU, and GNSS</w:t>
      </w:r>
    </w:p>
    <w:p w14:paraId="08315856"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2. Reference trajectory</w:t>
      </w:r>
    </w:p>
    <w:p w14:paraId="08315857"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3. Point cloud</w:t>
      </w:r>
    </w:p>
    <w:p w14:paraId="08315858"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4. Elevation map</w:t>
      </w:r>
    </w:p>
    <w:p w14:paraId="08315859"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5. Static and dynamic labels</w:t>
      </w:r>
    </w:p>
    <w:p w14:paraId="0831585A"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6. Visibility masks</w:t>
      </w:r>
    </w:p>
    <w:p w14:paraId="0831585B"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7. Occluded area information</w:t>
      </w:r>
    </w:p>
    <w:p w14:paraId="0831585C"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8. Individual sensor degradation scenarios</w:t>
      </w:r>
    </w:p>
    <w:p w14:paraId="0831585D"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7.2. System Variants</w:t>
      </w:r>
    </w:p>
    <w:p w14:paraId="0831585E"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experiment should include the following variants:</w:t>
      </w:r>
    </w:p>
    <w:p w14:paraId="0831585F"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1. Baseline 1: Classical SLAM with geometric planner</w:t>
      </w:r>
    </w:p>
    <w:p w14:paraId="08315860"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2. Baseline 2: SLAM with semantic segmentation</w:t>
      </w:r>
    </w:p>
    <w:p w14:paraId="08315861"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3. Baseline 3: Raw point cloud processed by transformer</w:t>
      </w:r>
    </w:p>
    <w:p w14:paraId="08315862"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4. Ablation 1: 3D tokens without temporal memory</w:t>
      </w:r>
    </w:p>
    <w:p w14:paraId="08315863"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5. Ablation 2: 4D tokens without reference map</w:t>
      </w:r>
    </w:p>
    <w:p w14:paraId="08315864"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6. Ablation 3: Full system without topological descriptors</w:t>
      </w:r>
    </w:p>
    <w:p w14:paraId="08315865"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7. Ablation 4: Full system without uncertainty modeling</w:t>
      </w:r>
    </w:p>
    <w:p w14:paraId="08315866"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8. Full S4D-TAM: Full system with all components</w:t>
      </w:r>
    </w:p>
    <w:p w14:paraId="08315867" w14:textId="77777777" w:rsidR="00C826F4" w:rsidRDefault="00C54218">
      <w:pPr>
        <w:spacing w:before="220" w:after="100" w:line="240" w:lineRule="auto"/>
        <w:rPr>
          <w:rFonts w:ascii="Times New Roman" w:hAnsi="Times New Roman" w:cs="Times New Roman"/>
          <w:b/>
          <w:bCs/>
          <w:sz w:val="24"/>
          <w:szCs w:val="24"/>
        </w:rPr>
      </w:pPr>
      <w:r>
        <w:rPr>
          <w:rFonts w:ascii="Times New Roman" w:eastAsia="Times New Roman" w:hAnsi="Times New Roman" w:cs="Times New Roman"/>
          <w:b/>
          <w:bCs/>
          <w:sz w:val="24"/>
          <w:szCs w:val="24"/>
        </w:rPr>
        <w:t>7.3. Metrics</w:t>
      </w:r>
    </w:p>
    <w:p w14:paraId="0831586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Localization and SLAM:</w:t>
      </w:r>
    </w:p>
    <w:p w14:paraId="08315869"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Absolute Trajectory Error (ATE)</w:t>
      </w:r>
    </w:p>
    <w:p w14:paraId="0831586A"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Relative Pose Error (RPE)</w:t>
      </w:r>
    </w:p>
    <w:p w14:paraId="0831586B"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Scale error</w:t>
      </w:r>
    </w:p>
    <w:p w14:paraId="0831586C"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Localization recovery time</w:t>
      </w:r>
    </w:p>
    <w:p w14:paraId="0831586D"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Robustness to false loop closures</w:t>
      </w:r>
    </w:p>
    <w:p w14:paraId="0831586E"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Semantic map:</w:t>
      </w:r>
    </w:p>
    <w:p w14:paraId="0831586F"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mIoU (mean Intersection over Union)</w:t>
      </w:r>
    </w:p>
    <w:p w14:paraId="08315870"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Instance recognition accuracy</w:t>
      </w:r>
    </w:p>
    <w:p w14:paraId="08315871"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Label stability over time</w:t>
      </w:r>
    </w:p>
    <w:p w14:paraId="08315872"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Embedding quality</w:t>
      </w:r>
    </w:p>
    <w:p w14:paraId="08315873"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Spatial relation accuracy</w:t>
      </w:r>
    </w:p>
    <w:p w14:paraId="08315874"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Prediction:</w:t>
      </w:r>
    </w:p>
    <w:p w14:paraId="08315875"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Future occupancy IoU</w:t>
      </w:r>
    </w:p>
    <w:p w14:paraId="08315876"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3D flow error</w:t>
      </w:r>
    </w:p>
    <w:p w14:paraId="08315877"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lastRenderedPageBreak/>
        <w:t>• Brier score</w:t>
      </w:r>
    </w:p>
    <w:p w14:paraId="08315878"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Expected Calibration Error (ECE)</w:t>
      </w:r>
    </w:p>
    <w:p w14:paraId="08315879"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Recall for elevated-risk areas</w:t>
      </w:r>
    </w:p>
    <w:p w14:paraId="0831587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Navigation:</w:t>
      </w:r>
    </w:p>
    <w:p w14:paraId="0831587B"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Mission completion rate</w:t>
      </w:r>
    </w:p>
    <w:p w14:paraId="0831587C"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Number of collisions</w:t>
      </w:r>
    </w:p>
    <w:p w14:paraId="0831587D"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Minimum obstacle clearance</w:t>
      </w:r>
    </w:p>
    <w:p w14:paraId="0831587E"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Trajectory length and time</w:t>
      </w:r>
    </w:p>
    <w:p w14:paraId="0831587F"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Energy cost</w:t>
      </w:r>
    </w:p>
    <w:p w14:paraId="08315880"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Number of emergency replanning events</w:t>
      </w:r>
    </w:p>
    <w:p w14:paraId="08315881"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Computational efficiency:</w:t>
      </w:r>
    </w:p>
    <w:p w14:paraId="08315882"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Latency</w:t>
      </w:r>
    </w:p>
    <w:p w14:paraId="08315883"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Frames per second (FPS)</w:t>
      </w:r>
    </w:p>
    <w:p w14:paraId="08315884"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Memory usage</w:t>
      </w:r>
    </w:p>
    <w:p w14:paraId="08315885"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Energy consumption</w:t>
      </w:r>
    </w:p>
    <w:p w14:paraId="08315886"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Number of processed tokens</w:t>
      </w:r>
    </w:p>
    <w:p w14:paraId="08315887"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Persistent map size</w:t>
      </w:r>
    </w:p>
    <w:p w14:paraId="08315888" w14:textId="77777777" w:rsidR="00C826F4" w:rsidRDefault="00C54218">
      <w:pPr>
        <w:spacing w:before="280" w:after="140" w:line="240" w:lineRule="auto"/>
        <w:rPr>
          <w:rFonts w:ascii="Times New Roman" w:hAnsi="Times New Roman" w:cs="Times New Roman"/>
          <w:b/>
          <w:bCs/>
          <w:sz w:val="28"/>
          <w:szCs w:val="28"/>
        </w:rPr>
      </w:pPr>
      <w:r>
        <w:rPr>
          <w:rFonts w:ascii="Times New Roman" w:eastAsia="Times New Roman" w:hAnsi="Times New Roman" w:cs="Times New Roman"/>
          <w:b/>
          <w:bCs/>
          <w:sz w:val="28"/>
          <w:szCs w:val="28"/>
        </w:rPr>
        <w:t>8. Discussion</w:t>
      </w:r>
    </w:p>
    <w:p w14:paraId="08315889" w14:textId="4F472DA2"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The proposed S4D-TAM system represents an attempt to transition from a classical geometric map to a predictive spatial memory of the UAV. The key advantage is amortized perception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the cost of image analysis is incurred once, while the result remains available in spatial memory across many subsequent planning cycles [1]. This approach may substantially reduce computational redundancy in systems where the same images are repeatedly analyzed by different modules [12], [40].</w:t>
      </w:r>
    </w:p>
    <w:p w14:paraId="0831588A"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hierarchical token representation allows storing large, regular surfaces at low resolution, while edges, obstacles, and dynamic objects are retained at higher resolution [5], [6], [7], [37], [38]. This is consistent with the direction set by Superpoint Transformer, Octree-Graph, and other architectures demonstrating that aggregating points into higher-level structures can substantially reduce representation complexity.</w:t>
      </w:r>
    </w:p>
    <w:p w14:paraId="0831588B"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spatiotemporal attention mechanism enables modeling of long-range relations between tokens while maintaining computational efficiency by restricting attention to local neighborhoods and global landmarks [8], [12], [14], [16]. Token-uncertainty-weighted attention limits the influence of uncertain observations on world model updates, which may improve system stability under conditions of partial observability [1], [11].</w:t>
      </w:r>
    </w:p>
    <w:p w14:paraId="0831588C" w14:textId="5A6AD6DB"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Occupancy and risk forecasting in partially observable areas constitutes the most interesting element of the system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the transition from detection to prediction [1], [8], [10], [14], [17], [21]. The system does not claim to have recognized an object it has not seen, but determines the probability of risk existing in partially observable space based on geometric context, semantics, and observation history. This approach may enable planning that is more defensive and risk-aware than classical methods based solely on the current sensor field of view.</w:t>
      </w:r>
    </w:p>
    <w:p w14:paraId="0831588D" w14:textId="063F6CF8"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Reference map alignment increases localization robu</w:t>
      </w:r>
      <w:r w:rsidR="003E046A">
        <w:rPr>
          <w:rFonts w:ascii="Times New Roman" w:eastAsia="Times New Roman" w:hAnsi="Times New Roman" w:cs="Times New Roman"/>
          <w:sz w:val="24"/>
          <w:szCs w:val="24"/>
        </w:rPr>
        <w:t>stness to periodic GNSS loss or </w:t>
      </w:r>
      <w:r>
        <w:rPr>
          <w:rFonts w:ascii="Times New Roman" w:eastAsia="Times New Roman" w:hAnsi="Times New Roman" w:cs="Times New Roman"/>
          <w:sz w:val="24"/>
          <w:szCs w:val="24"/>
        </w:rPr>
        <w:t xml:space="preserve">inconsistency [4], [19], [20]. The difference between the current map and the reference map </w:t>
      </w:r>
      <w:r>
        <w:rPr>
          <w:rFonts w:ascii="Times New Roman" w:eastAsia="Times New Roman" w:hAnsi="Times New Roman" w:cs="Times New Roman"/>
          <w:sz w:val="24"/>
          <w:szCs w:val="24"/>
        </w:rPr>
        <w:lastRenderedPageBreak/>
        <w:t>can indicate not only a localization error, but also an environmental change, the appearance of a new object, or the unreliability of the current GNSS measurement [1]. The three-step alignment procedure (global descriptors, landmarks, local geometric optimization) enables efficient map alignment at varying density and resolution.</w:t>
      </w:r>
    </w:p>
    <w:p w14:paraId="0831588E"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Active perception maximizing expected uncertainty reduction relative to energy and computational cost may substantially improve system efficiency under resource constraints [1], [3], [6]. The IR camera may be activated more frequently in low illumination or in regions where prior data indicate the possible presence of a thermal object, while the RGB camera need not be processed by the full network at every frame.</w:t>
      </w:r>
    </w:p>
    <w:p w14:paraId="0831588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limitations of the proposed approach include:</w:t>
      </w:r>
    </w:p>
    <w:p w14:paraId="08315890" w14:textId="4D87569A"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1. Implementation complexity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the system requires integration of multiple components (SLAM, segmentation, transformer, prediction, planning) and their efficient synchronization.</w:t>
      </w:r>
    </w:p>
    <w:p w14:paraId="08315891" w14:textId="3F299B13"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2. Computational requirements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despite amortized perception, the spatiotemporal transformer and 4D occupancy forecasting may require significant computational resources.</w:t>
      </w:r>
    </w:p>
    <w:p w14:paraId="08315892" w14:textId="352C8CAF"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3. Reference map quality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the effectiveness of reference map alignment depends on the availability and currency of elevation maps or previous flights.</w:t>
      </w:r>
    </w:p>
    <w:p w14:paraId="08315893" w14:textId="5ACD1A52"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4. Uncertainty calibration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determining calibrated token uncertainty and risk probability requires careful training and validation.</w:t>
      </w:r>
    </w:p>
    <w:p w14:paraId="08315894" w14:textId="4B0D5AA9"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 xml:space="preserve">5. Generalization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the model may require fine-tuning for new environments and operational conditions.</w:t>
      </w:r>
    </w:p>
    <w:p w14:paraId="08315895"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Future work should focus on implementing a system prototype, experimental validation of research hypotheses, computational efficiency optimization, and extension with additional sensor modalities (e.g., radar, ultrasound) and operational scenarios (e.g., multi-robot coordination, long-term missions).</w:t>
      </w:r>
    </w:p>
    <w:p w14:paraId="08315896" w14:textId="77777777" w:rsidR="00C826F4" w:rsidRDefault="00C54218">
      <w:pPr>
        <w:spacing w:before="280" w:after="140" w:line="240" w:lineRule="auto"/>
        <w:rPr>
          <w:rFonts w:ascii="Times New Roman" w:hAnsi="Times New Roman" w:cs="Times New Roman"/>
          <w:b/>
          <w:bCs/>
          <w:sz w:val="28"/>
          <w:szCs w:val="28"/>
        </w:rPr>
      </w:pPr>
      <w:r>
        <w:rPr>
          <w:rFonts w:ascii="Times New Roman" w:eastAsia="Times New Roman" w:hAnsi="Times New Roman" w:cs="Times New Roman"/>
          <w:b/>
          <w:bCs/>
          <w:sz w:val="28"/>
          <w:szCs w:val="28"/>
        </w:rPr>
        <w:t>9. Conclusions and Future Research Directions</w:t>
      </w:r>
    </w:p>
    <w:p w14:paraId="08315897" w14:textId="12D1C3FD"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 xml:space="preserve">This paper has proposed S4D-TAM (Semantic 4D Token Attention Map) </w:t>
      </w:r>
      <w:r w:rsidR="00101F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novel navigation system architecture for unmanned aerial vehicles operating in GNSS-degraded environments. The key novelty is the introduction of a persistent memory map composed of semantic 4D tokens, which serves as a unified representation for localization, environment understanding, future scene state prediction, risk estimation, and UAV trajectory planning.</w:t>
      </w:r>
    </w:p>
    <w:p w14:paraId="08315898"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main conceptual contributions include:</w:t>
      </w:r>
    </w:p>
    <w:p w14:paraId="08315899"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1. Definition of the 4D token combining geometry, semantics, time, uncertainty, and observation history in a single compact representation.</w:t>
      </w:r>
    </w:p>
    <w:p w14:paraId="0831589A"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2. Hierarchical system architecture integrating sensor fusion, SLAM, tokenization, spatiotemporal transformer, object memory, reference map alignment, occupancy and risk forecasting, trajectory planning, and active perception.</w:t>
      </w:r>
    </w:p>
    <w:p w14:paraId="0831589B"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3. Spatiotemporal attention mechanism accounting for spatial, temporal, and token uncertainty relations.</w:t>
      </w:r>
    </w:p>
    <w:p w14:paraId="0831589C"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4. Risk forecasting in partially observable areas based on geometric context, semantics, and observation history.</w:t>
      </w:r>
    </w:p>
    <w:p w14:paraId="0831589D"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5. Trajectory planning minimizing length, energy cost, collision probability, predicted environmental risk, and the cost arising from map uncertainty.</w:t>
      </w:r>
    </w:p>
    <w:p w14:paraId="0831589E"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lastRenderedPageBreak/>
        <w:t>6. Active perception maximizing expected uncertainty reduction relative to energy and computational cost.</w:t>
      </w:r>
    </w:p>
    <w:p w14:paraId="0831589F"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Seven research hypotheses have been formulated regarding computational efficiency, localization accuracy, prediction quality, robustness to uncertainty, reference map integration, topological descriptor utility, and navigation safety. An experimental validation methodology has been proposed comprising datasets, system variants, and evaluation metrics.</w:t>
      </w:r>
    </w:p>
    <w:p w14:paraId="083158A0"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Future research directions include:</w:t>
      </w:r>
    </w:p>
    <w:p w14:paraId="083158A1"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1. Prototype implementation of the S4D-TAM system and experimental validation on the TartanAir, Blackbird, MARSIM, and dedicated UAV datasets.</w:t>
      </w:r>
    </w:p>
    <w:p w14:paraId="083158A2"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2. Computational efficiency optimization through quantization, pruning, knowledge distillation, and dedicated hardware accelerators.</w:t>
      </w:r>
    </w:p>
    <w:p w14:paraId="083158A3"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3. Extension with additional sensor modalities (radar, ultrasound, magnetometers) and operational scenarios (multi-robot coordination, long-term missions, dynamic environments).</w:t>
      </w:r>
    </w:p>
    <w:p w14:paraId="083158A4"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4. Integration with language models for natural-language-guided navigation and high-level task understanding.</w:t>
      </w:r>
    </w:p>
    <w:p w14:paraId="083158A5"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5. Ablation studies of individual system components to identify key factors influencing performance.</w:t>
      </w:r>
    </w:p>
    <w:p w14:paraId="083158A6" w14:textId="77777777" w:rsidR="00C826F4" w:rsidRDefault="00C54218">
      <w:pPr>
        <w:spacing w:after="80" w:line="240" w:lineRule="auto"/>
        <w:ind w:left="360"/>
        <w:jc w:val="both"/>
        <w:rPr>
          <w:rFonts w:ascii="Times New Roman" w:hAnsi="Times New Roman" w:cs="Times New Roman"/>
          <w:sz w:val="24"/>
          <w:szCs w:val="24"/>
        </w:rPr>
      </w:pPr>
      <w:r>
        <w:rPr>
          <w:rFonts w:ascii="Times New Roman" w:eastAsia="Times New Roman" w:hAnsi="Times New Roman" w:cs="Times New Roman"/>
          <w:sz w:val="24"/>
          <w:szCs w:val="24"/>
        </w:rPr>
        <w:t>6. Validation under real operational conditions on UAV platforms in GNSS-degraded environments.</w:t>
      </w:r>
    </w:p>
    <w:p w14:paraId="083158A7"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proposed S4D-TAM system represents a step toward autonomous UAVs capable of navigating in complex, partially observable environments with limited GNSS signal availability, by exploiting persistent predictive spatial memory in place of repeated analysis of raw sensor streams.</w:t>
      </w:r>
    </w:p>
    <w:p w14:paraId="083158A8" w14:textId="77777777" w:rsidR="00C826F4" w:rsidRDefault="00C54218">
      <w:pPr>
        <w:spacing w:before="280" w:after="140" w:line="240" w:lineRule="auto"/>
        <w:rPr>
          <w:rFonts w:ascii="Times New Roman" w:hAnsi="Times New Roman" w:cs="Times New Roman"/>
          <w:b/>
          <w:bCs/>
          <w:sz w:val="28"/>
          <w:szCs w:val="28"/>
        </w:rPr>
      </w:pPr>
      <w:r>
        <w:rPr>
          <w:rFonts w:ascii="Times New Roman" w:eastAsia="Times New Roman" w:hAnsi="Times New Roman" w:cs="Times New Roman"/>
          <w:b/>
          <w:bCs/>
          <w:sz w:val="28"/>
          <w:szCs w:val="28"/>
        </w:rPr>
        <w:t>Acknowledgements</w:t>
      </w:r>
    </w:p>
    <w:p w14:paraId="083158A9" w14:textId="77777777" w:rsidR="00C826F4" w:rsidRDefault="00C54218">
      <w:pPr>
        <w:spacing w:after="12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The author thanks the reviewers for their valuable comments and the Department of Computer Science and Automation of Rzeszów University of Technology for research support.</w:t>
      </w:r>
    </w:p>
    <w:p w14:paraId="083158AA" w14:textId="77777777" w:rsidR="00C826F4" w:rsidRDefault="00C54218">
      <w:pPr>
        <w:spacing w:before="280" w:after="140" w:line="240" w:lineRule="auto"/>
        <w:rPr>
          <w:rFonts w:ascii="Times New Roman" w:hAnsi="Times New Roman" w:cs="Times New Roman"/>
          <w:b/>
          <w:bCs/>
          <w:sz w:val="28"/>
          <w:szCs w:val="28"/>
        </w:rPr>
      </w:pPr>
      <w:r>
        <w:rPr>
          <w:rFonts w:ascii="Times New Roman" w:eastAsia="Times New Roman" w:hAnsi="Times New Roman" w:cs="Times New Roman"/>
          <w:b/>
          <w:bCs/>
          <w:sz w:val="28"/>
          <w:szCs w:val="28"/>
        </w:rPr>
        <w:t>References</w:t>
      </w:r>
    </w:p>
    <w:p w14:paraId="083158AB" w14:textId="1B93F01C" w:rsidR="00C826F4" w:rsidRDefault="00C54218">
      <w:pPr>
        <w:spacing w:before="80" w:after="80" w:line="240" w:lineRule="auto"/>
        <w:ind w:left="360" w:right="360"/>
        <w:jc w:val="both"/>
        <w:rPr>
          <w:rFonts w:ascii="Times New Roman" w:eastAsia="Times New Roman" w:hAnsi="Times New Roman" w:cs="Times New Roman"/>
          <w:i/>
          <w:iCs/>
        </w:rPr>
      </w:pPr>
      <w:r>
        <w:rPr>
          <w:rFonts w:ascii="Times New Roman" w:eastAsia="Times New Roman" w:hAnsi="Times New Roman" w:cs="Times New Roman"/>
          <w:i/>
          <w:iCs/>
        </w:rPr>
        <w:t>Editorial note:</w:t>
      </w:r>
      <w:r w:rsidR="009C7D30">
        <w:rPr>
          <w:rFonts w:ascii="Times New Roman" w:eastAsia="Times New Roman" w:hAnsi="Times New Roman" w:cs="Times New Roman"/>
          <w:i/>
          <w:iCs/>
        </w:rPr>
        <w:t xml:space="preserve"> </w:t>
      </w:r>
      <w:r>
        <w:rPr>
          <w:rFonts w:ascii="Times New Roman" w:eastAsia="Times New Roman" w:hAnsi="Times New Roman" w:cs="Times New Roman"/>
          <w:i/>
          <w:iCs/>
        </w:rPr>
        <w:t xml:space="preserve">Numbers [12], [14], [16], [18] contain numbering conflicts (the same number used for two different works in different article sections) </w:t>
      </w:r>
      <w:r w:rsidR="00101FD4">
        <w:rPr>
          <w:rFonts w:ascii="Times New Roman" w:eastAsia="Times New Roman" w:hAnsi="Times New Roman" w:cs="Times New Roman"/>
          <w:i/>
          <w:iCs/>
        </w:rPr>
        <w:t>-</w:t>
      </w:r>
      <w:r>
        <w:rPr>
          <w:rFonts w:ascii="Times New Roman" w:eastAsia="Times New Roman" w:hAnsi="Times New Roman" w:cs="Times New Roman"/>
          <w:i/>
          <w:iCs/>
        </w:rPr>
        <w:t xml:space="preserve"> these require </w:t>
      </w:r>
      <w:r w:rsidR="009C7D30">
        <w:rPr>
          <w:rFonts w:ascii="Times New Roman" w:eastAsia="Times New Roman" w:hAnsi="Times New Roman" w:cs="Times New Roman"/>
          <w:i/>
          <w:iCs/>
        </w:rPr>
        <w:t xml:space="preserve">manual confirmation of full bibliographic data </w:t>
      </w:r>
      <w:r>
        <w:rPr>
          <w:rFonts w:ascii="Times New Roman" w:eastAsia="Times New Roman" w:hAnsi="Times New Roman" w:cs="Times New Roman"/>
          <w:i/>
          <w:iCs/>
        </w:rPr>
        <w:t>in the final version.</w:t>
      </w:r>
    </w:p>
    <w:p w14:paraId="156F1D4B" w14:textId="77777777" w:rsidR="003D4412" w:rsidRDefault="003D4412" w:rsidP="003D4412">
      <w:pPr>
        <w:spacing w:after="0" w:line="240" w:lineRule="auto"/>
        <w:ind w:right="360"/>
        <w:jc w:val="both"/>
        <w:rPr>
          <w:rFonts w:ascii="Times New Roman" w:hAnsi="Times New Roman" w:cs="Times New Roman"/>
          <w:bCs/>
          <w:i/>
        </w:rPr>
      </w:pPr>
    </w:p>
    <w:p w14:paraId="083158AD" w14:textId="09CFD366"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[2] Liu X., van der Lei J., Prabhu A., Tao Y., Spasojević I., "SlideSLAM: Sparse, Lightweight, Decentralized Metric-Semantic SLAM for Multi-Robot Navigation," arXiv:2406.17249, 2024.</w:t>
      </w:r>
    </w:p>
    <w:p w14:paraId="083158AE"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[3] Tao Y., Liu X., Spasojević I., Agarwal S., Kumar V., "3D Active Metric-Semantic SLAM," IEEE Robot. Autom. Lett., vol. 9, 2024. DOI: 10.1109/lra.2024.3363542.</w:t>
      </w:r>
    </w:p>
    <w:p w14:paraId="083158AF"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[4] Liu X., Nardari G.V., Ojeda F.C., Tao Y., Zhou A., Donnelly T., Qu C., Chen S.W., Taylor C.J., Kumar V., "Large-Scale Autonomous Flight With Real-Time Semantic SLAM Under Dense Forest Canopy," IEEE Robot. Autom. Lett., vol. 7, no. 2, 2022. DOI: 10.1109/lra.2022.3154047.</w:t>
      </w:r>
    </w:p>
    <w:p w14:paraId="083158B0"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[5] Li B., Cai Z., Wu C., Lin P., Zhang Y., Rezatofighi H., "Hi-SLAM: Scaling-up Semantics in SLAM with a Hierarchically Categorical Gaussian Splatting," arXiv:2409.12518, 2024.</w:t>
      </w:r>
    </w:p>
    <w:p w14:paraId="083158B1"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[6] Tian X., Deng Y., Tang Y., Wang J., Dang R., "SAME: Ground-Air Collaborative Semantic Active Mapping and Exploration," Proc. 2024 IEEE Int. Conf. Unmanned Systems (ICUS), 2024. DOI: 10.1109/icus61736.2024.10839908.</w:t>
      </w:r>
    </w:p>
    <w:p w14:paraId="083158B2"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lastRenderedPageBreak/>
        <w:t>[7] Xiang Z., Su J., "Towards Customizable Robotic Disinfection with Structure-Aware Semantic Mapping," IEEE Access, vol. 9, 2021. DOI: 10.1109/ACCESS.2021.3062043.</w:t>
      </w:r>
    </w:p>
    <w:p w14:paraId="083158B3"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[8] Yu Y., Mei J., Jiang X., Yang H., Xu Z., Luo Y., Wang Y., Yang Z., Li Z., "Drive-OccWorld: Vision-Centric 4D Occupancy Forecasting and Planning via World Models," Proc. AAAI Conf. Artificial Intelligence, vol. 39, no. 9, 2025. DOI: 10.1609/aaai.v39i9.33010.</w:t>
      </w:r>
    </w:p>
    <w:p w14:paraId="083158B4"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[9] Feng T., Wang W., Yang Y., "A Survey of World Models for Autonomous Driving," arXiv:2501.11260, 2025.</w:t>
      </w:r>
    </w:p>
    <w:p w14:paraId="083158B5"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[10] Mei J., Yu Y., Jiang X., Wang S., Li Z., "IR-WM: Vision-Centric 4D Occupancy Forecasting and Planning via Implicit Residual World Models," arXiv:2510.16729, 2025.</w:t>
      </w:r>
    </w:p>
    <w:p w14:paraId="083158B6"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[11] Cai Z., Rezatofighi H., Haffari G., Baktashmotlagh M., "NEUSIS: A Compositional Neuro-Symbolic Framework for Autonomous Perception, Reasoning, and Planning in Complex UAV Search Missions," arXiv:2409.10196, 2024.</w:t>
      </w:r>
    </w:p>
    <w:p w14:paraId="083158B7" w14:textId="1FDEF513"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 xml:space="preserve">[12] Rosen D.M., Carlone L., "Scene Representations for Robotic Spatial Perception," Annual Review of Control, Robotics, and Autonomous Systems, 2024. DOI: 10.1146/annurev-control-040423-030709. [Conflict: same number used for S2TPVFormer (Silva et al.) in §2.2 </w:t>
      </w:r>
      <w:r w:rsidR="00101FD4">
        <w:rPr>
          <w:rFonts w:ascii="Times New Roman" w:eastAsia="Times New Roman" w:hAnsi="Times New Roman" w:cs="Times New Roman"/>
        </w:rPr>
        <w:t>-</w:t>
      </w:r>
      <w:r w:rsidRPr="009C7D30">
        <w:rPr>
          <w:rFonts w:ascii="Times New Roman" w:eastAsia="Times New Roman" w:hAnsi="Times New Roman" w:cs="Times New Roman"/>
        </w:rPr>
        <w:t xml:space="preserve"> to be verified.]</w:t>
      </w:r>
    </w:p>
    <w:p w14:paraId="083158B8"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[13] Zhao J., Li C., Guo W., Zhao J., "Learning Visual Representation for Autonomous Drone Navigation via a Contrastive World Model," IEEE Trans. Artificial Intelligence, vol. 4, no. 6, 2023. DOI: 10.1109/tai.2023.3283488.</w:t>
      </w:r>
    </w:p>
    <w:p w14:paraId="083158B9" w14:textId="2E38A8B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 xml:space="preserve">[14] Chen M., Zhao D., Xu S., Chen Y., Xu C., Liu J., "DriveWorld: 4D Pre-Trained Scene Understanding via World Models for Autonomous Driving," arXiv:2405.04390, 2024. [Conflict: same number used for I2-World in §2.3 </w:t>
      </w:r>
      <w:r w:rsidR="00101FD4">
        <w:rPr>
          <w:rFonts w:ascii="Times New Roman" w:eastAsia="Times New Roman" w:hAnsi="Times New Roman" w:cs="Times New Roman"/>
        </w:rPr>
        <w:t>-</w:t>
      </w:r>
      <w:r w:rsidRPr="009C7D30">
        <w:rPr>
          <w:rFonts w:ascii="Times New Roman" w:eastAsia="Times New Roman" w:hAnsi="Times New Roman" w:cs="Times New Roman"/>
        </w:rPr>
        <w:t xml:space="preserve"> to be verified.]</w:t>
      </w:r>
    </w:p>
    <w:p w14:paraId="083158BA"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[15] Chen D., Han W., Fang J., Shen J., "AdaOcc: Adaptive Forward View Transformation and Flow Modeling for 3D Occupancy and Flow Prediction," arXiv preprint, 2024.</w:t>
      </w:r>
    </w:p>
    <w:p w14:paraId="083158BB" w14:textId="6A436A3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 xml:space="preserve">[16] Liao Z., Zhong F., Zhang Z., Fu Y., Sun J., Li X., Cheng X., "I2-World: Intra-Inter Tokenization for Efficient Dynamic 4D Scene Forecasting," arXiv:2507.09144, 2025. [Conflict: same number used for PCPNet in §2.2 </w:t>
      </w:r>
      <w:r w:rsidR="00101FD4">
        <w:rPr>
          <w:rFonts w:ascii="Times New Roman" w:eastAsia="Times New Roman" w:hAnsi="Times New Roman" w:cs="Times New Roman"/>
        </w:rPr>
        <w:t>-</w:t>
      </w:r>
      <w:r w:rsidRPr="009C7D30">
        <w:rPr>
          <w:rFonts w:ascii="Times New Roman" w:eastAsia="Times New Roman" w:hAnsi="Times New Roman" w:cs="Times New Roman"/>
        </w:rPr>
        <w:t xml:space="preserve"> to be verified.]</w:t>
      </w:r>
    </w:p>
    <w:p w14:paraId="083158BC"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[17] Zheng W., Zhou B., Liu Y., Wang J., "GaussianAD: Gaussian-Centric End-to-End Autonomous Driving," arXiv:2412.10371, 2024.</w:t>
      </w:r>
    </w:p>
    <w:p w14:paraId="083158BD" w14:textId="63075E8E"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 xml:space="preserve">[18] Zheng W., Chen Y., Huang Z., Zhong Y., Lei W., Sun Z., Zhan J., Liu Y., "OccWorld: Learning a 3D Occupancy World Model for Autonomous Driving," Proc. ECCV, Springer LNCS, 2024. [Conflict: same number used for DriveWorld in §2.4 </w:t>
      </w:r>
      <w:r w:rsidR="00101FD4">
        <w:rPr>
          <w:rFonts w:ascii="Times New Roman" w:eastAsia="Times New Roman" w:hAnsi="Times New Roman" w:cs="Times New Roman"/>
        </w:rPr>
        <w:t>-</w:t>
      </w:r>
      <w:r w:rsidRPr="009C7D30">
        <w:rPr>
          <w:rFonts w:ascii="Times New Roman" w:eastAsia="Times New Roman" w:hAnsi="Times New Roman" w:cs="Times New Roman"/>
        </w:rPr>
        <w:t xml:space="preserve"> to be verified.]</w:t>
      </w:r>
    </w:p>
    <w:p w14:paraId="083158BE"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[19] Yue W., Nie Y., Song X., Zhao Z., Wang J., Shang Z., "Air-Ground Collaborative Navigation for UAVs in Complex Urban Environments," Drones, vol. 9, no. 6, 2025. DOI: 10.3390/drones9060442.</w:t>
      </w:r>
    </w:p>
    <w:p w14:paraId="083158BF"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[20] Radwan N., Olivares-Mendez M.A., Voos H., Burgard W., "UAV-Assisted Visual SLAM with Scene Graphs for Outdoor Navigation," Proc. 2024 Int. Conf. Unmanned Aircraft Systems (ICUAS), 2024. DOI: 10.1109/icuas60882.2024.10556948.</w:t>
      </w:r>
    </w:p>
    <w:p w14:paraId="083158C0"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[21] Liu H., Zhao R., Ma Y., Liu X., Fu T., Zhao Z., Wang S., Chen S., Ye M., Chen X., "Hybrid-Prediction Integrated Planning for Autonomous Driving," IEEE Trans. Pattern Anal. Mach. Intell., 2025. DOI: 10.1109/tpami.2025.3526936.</w:t>
      </w:r>
    </w:p>
    <w:p w14:paraId="083158C1"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[22] Wang L., Zheng W., Huang Z., Chen Y., Chen B., Li H., "OccSora: 4D Occupancy Generation Models as World Simulators for Autonomous Driving," arXiv preprint, 2024.</w:t>
      </w:r>
    </w:p>
    <w:p w14:paraId="083158C2"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[23] Ma J., Chen X., Deschaud J.E., Marcotegui B., Goulette F., Hu X., "Cam4DOcc: Benchmark for Camera-Only 4D Occupancy Forecasting in Autonomous Driving Scenes," arXiv preprint, 2023.</w:t>
      </w:r>
    </w:p>
    <w:p w14:paraId="083158C3"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[24] Wang J., Gao P., Zhou X., Guo Z., "TartanAir: A Dataset to Push the Limits of Visual SLAM," Proc. IEEE/RSJ Int. Conf. Intelligent Robots and Systems (IROS), 2020.</w:t>
      </w:r>
    </w:p>
    <w:p w14:paraId="083158C4"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[25] Chen J., Wei Z., Ruan K., Yang J., Zhang C., "Risk Occupancy: A New and Efficient Paradigm through Vehicle-Road-Cloud Collaboration," arXiv:2408.07367, 2024.</w:t>
      </w:r>
    </w:p>
    <w:p w14:paraId="083158C5"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lastRenderedPageBreak/>
        <w:t>[26] Nieuwenhuisen M., Droeschel D., Stückler J., Behnke S., "Autonomous Navigation for Micro Aerial Vehicles in Complex GNSS-Denied Environments," Proc. IEEE Int. Symp. Safety, Security, and Rescue Robotics (SSRR), 2015. DOI: 10.1109/SSRR.2015.7443012.</w:t>
      </w:r>
    </w:p>
    <w:p w14:paraId="083158C6"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[27] Hu C., Liu N., Chen X., Lyu C., "SGS-SLAM: Semantic Gaussian Splatting for Neural Dense SLAM," arXiv:2402.03246, 2024.</w:t>
      </w:r>
    </w:p>
    <w:p w14:paraId="083158C7" w14:textId="5D6C51AE"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 xml:space="preserve">[28] Yugay V., Wang Y., Pollefeys M., Rezatofighi H., "GaussianSLAM: Photo-realistic Dense SLAM with Gaussian Splatting," arXiv:2312.10070, 2023. [to be verified </w:t>
      </w:r>
      <w:r w:rsidR="00101FD4">
        <w:rPr>
          <w:rFonts w:ascii="Times New Roman" w:eastAsia="Times New Roman" w:hAnsi="Times New Roman" w:cs="Times New Roman"/>
        </w:rPr>
        <w:t>-</w:t>
      </w:r>
      <w:r w:rsidRPr="009C7D30">
        <w:rPr>
          <w:rFonts w:ascii="Times New Roman" w:eastAsia="Times New Roman" w:hAnsi="Times New Roman" w:cs="Times New Roman"/>
        </w:rPr>
        <w:t xml:space="preserve"> cited in text as GS4; check association with this work.]</w:t>
      </w:r>
    </w:p>
    <w:p w14:paraId="083158C8"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[29] Zou Y., He Z., Xu B., Cheng H., "SemGauss-SLAM: Dense Semantic Gaussian Splatting SLAM," arXiv:2403.07494, 2024.</w:t>
      </w:r>
    </w:p>
    <w:p w14:paraId="083158C9" w14:textId="7FC0BBD3"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 xml:space="preserve">[30] Huang H., Li L., Cheng H., Yeung S.K., "Photo-SLAM: Real-time Simultaneous Localization And Photorealistic Mapping for Monocular, Stereo, and RGB-D Cameras," Proc. IEEE/CVF CVPR, 2024. [to be verified </w:t>
      </w:r>
      <w:r w:rsidR="00101FD4">
        <w:rPr>
          <w:rFonts w:ascii="Times New Roman" w:eastAsia="Times New Roman" w:hAnsi="Times New Roman" w:cs="Times New Roman"/>
        </w:rPr>
        <w:t>-</w:t>
      </w:r>
      <w:r w:rsidRPr="009C7D30">
        <w:rPr>
          <w:rFonts w:ascii="Times New Roman" w:eastAsia="Times New Roman" w:hAnsi="Times New Roman" w:cs="Times New Roman"/>
        </w:rPr>
        <w:t xml:space="preserve"> cited in text as SAP-SLAM; check association.]</w:t>
      </w:r>
    </w:p>
    <w:p w14:paraId="083158CA"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[31] Placed J.A., Strader J., Carrillo H., Atanasov N., Indelman V., Carlone L., Castellanos J.A., "A Survey on Active Simultaneous Localization and Mapping: State of the Art and New Frontiers," arXiv:2209.06428, 2022.</w:t>
      </w:r>
    </w:p>
    <w:p w14:paraId="083158CB" w14:textId="3458FD6A"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 xml:space="preserve">[32] Wu G., Yi T., Fang J., Xie L., Zhang C., Wei W., Liu W., Tian Q., "4D Gaussian Splatting for Real-Time Dynamic Scene Rendering," Proc. IEEE/CVF CVPR, 2024. [to be verified </w:t>
      </w:r>
      <w:r w:rsidR="00101FD4">
        <w:rPr>
          <w:rFonts w:ascii="Times New Roman" w:eastAsia="Times New Roman" w:hAnsi="Times New Roman" w:cs="Times New Roman"/>
        </w:rPr>
        <w:t>-</w:t>
      </w:r>
      <w:r w:rsidRPr="009C7D30">
        <w:rPr>
          <w:rFonts w:ascii="Times New Roman" w:eastAsia="Times New Roman" w:hAnsi="Times New Roman" w:cs="Times New Roman"/>
        </w:rPr>
        <w:t xml:space="preserve"> cited in text as DynaGS-SLAM; check association.]</w:t>
      </w:r>
    </w:p>
    <w:p w14:paraId="083158CC"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[33] Pan X., Shao W., Zhu Z., Wang Q., Wang T., "GSFF-SLAM: 3D Semantic Gaussian Splatting for Feature-Field SLAM," arXiv preprint, 2024. [to be verified]</w:t>
      </w:r>
    </w:p>
    <w:p w14:paraId="083158CD"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[34] Haghighi S., Huang J., Kim B., "OVO-SLAM: Open Vocabulary Online Simultaneous Localization and Mapping," arXiv preprint, 2024. [to be verified]</w:t>
      </w:r>
    </w:p>
    <w:p w14:paraId="083158CE"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[35] Li S., Xue T., Li J., He B., Wu H., "MSGS-SLAM: Multi-Session Gaussian Splatting SLAM," arXiv preprint, 2024. [to be verified]</w:t>
      </w:r>
    </w:p>
    <w:p w14:paraId="083158CF"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[36] Li X., Yuan C., Zheng L., Xie J., Zhang J., "NIS-SLAM: Neural Implicit Semantic RGB-D SLAM for 3D Consistent Scene Understanding," arXiv preprint, 2024. [to be verified]</w:t>
      </w:r>
    </w:p>
    <w:p w14:paraId="083158D0"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[37] Zhang C., Chen Y., Jian M., Hu G., "You Only Group Once: Efficient Point-Cloud Processing with Token Representation and Relation Inference Module," Proc. IEEE/RSJ Int. Conf. Intelligent Robots and Systems (IROS), 2021.</w:t>
      </w:r>
    </w:p>
    <w:p w14:paraId="083158D1"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[38] He M., Guo Y., Ma L., Chen L., Jiang S., "Efficient Point Transformer for Large-Scale 3D Scene Understanding," arXiv:2405.15827, 2024.</w:t>
      </w:r>
    </w:p>
    <w:p w14:paraId="083158D2"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[39] Guo M.H., Cai J.X., Liu Z.N., Mu T.J., Martin R.R., Hu S.M., "PCT: Point Cloud Transformer," Comput. Visual Media, vol. 7, no. 2, pp. 187–199, 2021. DOI: 10.1007/s41095-021-0229-5.</w:t>
      </w:r>
    </w:p>
    <w:p w14:paraId="083158D3"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[40] Ding Z., Yang B., Fan X., Zhou Z., Fan Z., Zhou B., "A Survey of World Models for Embodied Agents," arXiv:2510.16732, 2025.</w:t>
      </w:r>
    </w:p>
    <w:p w14:paraId="083158D4" w14:textId="46344EDC"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 xml:space="preserve">[41] Tordesillas J., Lopez B.T., How J.P., "FASTER: Fast and Safe Trajectory Planner for Navigation in Unknown Environments," IEEE Trans. Robot., vol. 38, no. 2, pp. 922–938, 2022. DOI: 10.1109/TRO.2021.3080623. [to be verified </w:t>
      </w:r>
      <w:r w:rsidR="00101FD4">
        <w:rPr>
          <w:rFonts w:ascii="Times New Roman" w:eastAsia="Times New Roman" w:hAnsi="Times New Roman" w:cs="Times New Roman"/>
        </w:rPr>
        <w:t>-</w:t>
      </w:r>
      <w:r w:rsidRPr="009C7D30">
        <w:rPr>
          <w:rFonts w:ascii="Times New Roman" w:eastAsia="Times New Roman" w:hAnsi="Times New Roman" w:cs="Times New Roman"/>
        </w:rPr>
        <w:t xml:space="preserve"> cited in context of risk-aware trajectory planning.]</w:t>
      </w:r>
    </w:p>
    <w:p w14:paraId="083158D5" w14:textId="374E0C12"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 xml:space="preserve">[42] Ji W., Li J., Bi Q., Liu W., Cheng L., "Point Attention Network for Semantic Segmentation of 3D Point Clouds," Pattern Recognition, vol. 107, 2020. [to be verified </w:t>
      </w:r>
      <w:r w:rsidR="00101FD4">
        <w:rPr>
          <w:rFonts w:ascii="Times New Roman" w:eastAsia="Times New Roman" w:hAnsi="Times New Roman" w:cs="Times New Roman"/>
        </w:rPr>
        <w:t>-</w:t>
      </w:r>
      <w:r w:rsidRPr="009C7D30">
        <w:rPr>
          <w:rFonts w:ascii="Times New Roman" w:eastAsia="Times New Roman" w:hAnsi="Times New Roman" w:cs="Times New Roman"/>
        </w:rPr>
        <w:t xml:space="preserve"> cited in text as SAT3D; check association.]</w:t>
      </w:r>
    </w:p>
    <w:p w14:paraId="083158D6"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[43] Yu X., Tang L., Rao Y., Huang T., Zhou J., Lu J., "Point-BERT: Pre-Training 3D Point Cloud Transformers with Masked Point Modeling," Proc. IEEE/CVF CVPR, 2022. DOI: 10.1109/CVPR52688.2022.01111.</w:t>
      </w:r>
    </w:p>
    <w:p w14:paraId="083158D7"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[44] Kong F., Liu Z., Zhang F., "MARSIM: A Light-weight Point-realistic Simulator for LiDAR-based UAVs," IEEE Robot. Autom. Lett., vol. 8, no. 5, 2023. DOI: 10.1109/LRA.2023.3264163.</w:t>
      </w:r>
    </w:p>
    <w:p w14:paraId="083158D8"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[45] Dai Y., Xu H., Ni S., Yin X., Chen B., "NEDS-SLAM: A Novel Neural Explicit Dense Semantic SLAM Framework Using 3D Gaussian Splatting," IEEE Robot. Autom. Lett., 2024. [to be verified]</w:t>
      </w:r>
    </w:p>
    <w:p w14:paraId="083158D9" w14:textId="3E843936"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lastRenderedPageBreak/>
        <w:t xml:space="preserve">[46] Keetha N., Karhade J., Jatavallabhula K.M., Yang G., Scherer S., Ramanan D., Marques J., "SplaTAM: Splat, Track &amp; Map 3D Gaussians for Dense RGB-D SLAM," Proc. IEEE/CVF CVPR, 2024. [to be verified </w:t>
      </w:r>
      <w:r w:rsidR="00101FD4">
        <w:rPr>
          <w:rFonts w:ascii="Times New Roman" w:eastAsia="Times New Roman" w:hAnsi="Times New Roman" w:cs="Times New Roman"/>
        </w:rPr>
        <w:t>-</w:t>
      </w:r>
      <w:r w:rsidRPr="009C7D30">
        <w:rPr>
          <w:rFonts w:ascii="Times New Roman" w:eastAsia="Times New Roman" w:hAnsi="Times New Roman" w:cs="Times New Roman"/>
        </w:rPr>
        <w:t xml:space="preserve"> cited in context of Hi-SLAM [5]; check association.]</w:t>
      </w:r>
    </w:p>
    <w:p w14:paraId="083158DA"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[47] Delmerico J., Scaramuzza D., "A Benchmark Comparison of Monocular Visual-Inertial Odometry Algorithms for Flying Robots," Proc. IEEE Int. Conf. Robotics and Automation (ICRA), 2018. DOI: 10.1109/ICRA.2018.8460664. [to be verified]</w:t>
      </w:r>
    </w:p>
    <w:p w14:paraId="083158DB"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[48] Qin T., Li P., Shen S., "VINS-Mono: A Robust and Versatile Monocular Visual-Inertial State Estimator," IEEE Trans. Robot., vol. 34, no. 4, pp. 1004–1020, 2018. DOI: 10.1109/TRO.2018.2853729.</w:t>
      </w:r>
    </w:p>
    <w:p w14:paraId="083158DC" w14:textId="48010CB4"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 xml:space="preserve">[49] Alcantarilla P.F., Nuevo J., Bartoli A., "Fast Explicit Diffusion for Accelerated Features in Nonlinear Scale Spaces," Proc. British Machine Vision Conference (BMVC), 2013. [to be verified </w:t>
      </w:r>
      <w:r w:rsidR="00101FD4">
        <w:rPr>
          <w:rFonts w:ascii="Times New Roman" w:eastAsia="Times New Roman" w:hAnsi="Times New Roman" w:cs="Times New Roman"/>
        </w:rPr>
        <w:t>-</w:t>
      </w:r>
      <w:r w:rsidRPr="009C7D30">
        <w:rPr>
          <w:rFonts w:ascii="Times New Roman" w:eastAsia="Times New Roman" w:hAnsi="Times New Roman" w:cs="Times New Roman"/>
        </w:rPr>
        <w:t xml:space="preserve"> cited in context of KAZE feature-based SLAM.]</w:t>
      </w:r>
    </w:p>
    <w:p w14:paraId="083158DD"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[50] Shan T., Englot B., Meyers D., Wang W., Ratti C., Rus D., "LIO-SAM: Tightly-Coupled Lidar Inertial Odometry via Smoothing and Mapping," Proc. IEEE/RSJ IROS, 2020. DOI: 10.1109/IROS45743.2020.9341176. [to be verified]</w:t>
      </w:r>
    </w:p>
    <w:p w14:paraId="083158DE"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[51] Zhang J., Singh S., "LOAM: Lidar Odometry and Mapping in Real-time," Proc. Robotics: Science and Systems (RSS), 2014. [to be verified]</w:t>
      </w:r>
    </w:p>
    <w:p w14:paraId="083158DF"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[52] Xu W., Cai Y., He D., Lin J., Zhang F., "Fast-LIO2: Fast Direct LiDAR-Inertial Odometry," IEEE Trans. Robot., vol. 38, no. 4, pp. 2053–2073, 2022. DOI: 10.1109/TRO.2022.3141876. [to be verified]</w:t>
      </w:r>
    </w:p>
    <w:p w14:paraId="083158E0"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[53] Nieuwenhuisen M., Droeschel D., Holz D., Behnke S., "Autonomous Navigation for Micro Aerial Vehicles in Complex GNSS-Denied Environments," J. Intell. Robot. Syst., vol. 84, no. 1–4, pp. 199–216, 2016. DOI: 10.1007/s10846-015-0274-3.</w:t>
      </w:r>
    </w:p>
    <w:p w14:paraId="083158E1"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[54] Yue W., Nie Y., Song X., Liu G., Wang J., "Semantic-Driven Visual Navigation for Unmanned Aerial Vehicles in Unknown Environments," IEEE Trans. Ind. Electron., vol. 71, no. 11, pp. 13780–13790, 2024. DOI: 10.1109/tie.2024.3363761.</w:t>
      </w:r>
    </w:p>
    <w:p w14:paraId="083158E2" w14:textId="231DCCA9"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 xml:space="preserve">[55] Delmerico J., Cieslewski T., Rebecq H., Faessler M., Scaramuzza D., "Are We Ready for Autonomous Drone Racing? The UZH-FPV Drone Racing Dataset," Proc. IEEE ICRA, 2019. [to be verified </w:t>
      </w:r>
      <w:r w:rsidR="00101FD4">
        <w:rPr>
          <w:rFonts w:ascii="Times New Roman" w:eastAsia="Times New Roman" w:hAnsi="Times New Roman" w:cs="Times New Roman"/>
        </w:rPr>
        <w:t>-</w:t>
      </w:r>
      <w:r w:rsidRPr="009C7D30">
        <w:rPr>
          <w:rFonts w:ascii="Times New Roman" w:eastAsia="Times New Roman" w:hAnsi="Times New Roman" w:cs="Times New Roman"/>
        </w:rPr>
        <w:t xml:space="preserve"> cited in context of UAV platforms for search-and-rescue missions; check association.]</w:t>
      </w:r>
    </w:p>
    <w:p w14:paraId="083158E3" w14:textId="6727E58A"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 xml:space="preserve">[56] Brossard M., Barrau A., Bonnabel S., "AI-IMU Dead-Reckoning," IEEE Trans. Intell. Veh., vol. 5, no. 4, pp. 585–595, 2020. DOI: 10.1109/TIV.2020.2980758. [to be verified </w:t>
      </w:r>
      <w:r w:rsidR="00101FD4">
        <w:rPr>
          <w:rFonts w:ascii="Times New Roman" w:eastAsia="Times New Roman" w:hAnsi="Times New Roman" w:cs="Times New Roman"/>
        </w:rPr>
        <w:t>-</w:t>
      </w:r>
      <w:r w:rsidRPr="009C7D30">
        <w:rPr>
          <w:rFonts w:ascii="Times New Roman" w:eastAsia="Times New Roman" w:hAnsi="Times New Roman" w:cs="Times New Roman"/>
        </w:rPr>
        <w:t xml:space="preserve"> cited in context of map-aided navigation and dead reckoning.]</w:t>
      </w:r>
    </w:p>
    <w:p w14:paraId="083158E4"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[57] Hu J., Ou J., Liu X., Xue B., "A Review of Vision-Based UAV Localization and Path Planning Based on Optimization for GPS-Denied Environments," Engineering Research Express, 2025. DOI: 10.1088/2631-8695/ae305b.</w:t>
      </w:r>
    </w:p>
    <w:p w14:paraId="083158E5" w14:textId="3EC52F02"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 xml:space="preserve">[58] Faessler M., Fontana F., Forster C., Scaramuzza D., "Automatic Re-Initialization and Failure Recovery for Aggressive Flight with a Monocular Vision-Based Quadrotor," Proc. IEEE ICRA, 2015. [to be verified </w:t>
      </w:r>
      <w:r w:rsidR="00101FD4">
        <w:rPr>
          <w:rFonts w:ascii="Times New Roman" w:eastAsia="Times New Roman" w:hAnsi="Times New Roman" w:cs="Times New Roman"/>
        </w:rPr>
        <w:t>-</w:t>
      </w:r>
      <w:r w:rsidRPr="009C7D30">
        <w:rPr>
          <w:rFonts w:ascii="Times New Roman" w:eastAsia="Times New Roman" w:hAnsi="Times New Roman" w:cs="Times New Roman"/>
        </w:rPr>
        <w:t xml:space="preserve"> cited in context of UAV GNSS-denied; check association.]</w:t>
      </w:r>
    </w:p>
    <w:p w14:paraId="083158E6" w14:textId="77777777" w:rsidR="00C826F4" w:rsidRPr="009C7D30" w:rsidRDefault="00C54218" w:rsidP="00ED2E40">
      <w:pPr>
        <w:spacing w:after="80" w:line="240" w:lineRule="auto"/>
        <w:rPr>
          <w:rFonts w:ascii="Times New Roman" w:hAnsi="Times New Roman" w:cs="Times New Roman"/>
        </w:rPr>
      </w:pPr>
      <w:r w:rsidRPr="009C7D30">
        <w:rPr>
          <w:rFonts w:ascii="Times New Roman" w:eastAsia="Times New Roman" w:hAnsi="Times New Roman" w:cs="Times New Roman"/>
        </w:rPr>
        <w:t>[59] Castano A., "Autonomous UAV Navigation in GPS-Denied Environments Using LiDAR Point Clouds for Localization and Mapping," Proc. AIAA AVIATION Forum, 2023. DOI: 10.2514/6.2023-3626.</w:t>
      </w:r>
    </w:p>
    <w:sectPr w:rsidR="00C826F4" w:rsidRPr="009C7D30">
      <w:footerReference w:type="default" r:id="rId7"/>
      <w:pgSz w:w="11906" w:h="16838"/>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3158E9" w14:textId="77777777" w:rsidR="00376743" w:rsidRDefault="00376743">
      <w:pPr>
        <w:spacing w:after="0" w:line="240" w:lineRule="auto"/>
      </w:pPr>
      <w:r>
        <w:separator/>
      </w:r>
    </w:p>
  </w:endnote>
  <w:endnote w:type="continuationSeparator" w:id="0">
    <w:p w14:paraId="083158EA" w14:textId="77777777" w:rsidR="00376743" w:rsidRDefault="00376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3158EB" w14:textId="2F4C0D48" w:rsidR="00376743" w:rsidRDefault="00376743">
    <w:pPr>
      <w:pStyle w:val="Stopka"/>
      <w:jc w:val="center"/>
      <w:rPr>
        <w:rFonts w:ascii="Times New Roman" w:hAnsi="Times New Roman" w:cs="Times New Roman"/>
        <w:sz w:val="20"/>
        <w:szCs w:val="20"/>
      </w:rPr>
    </w:pPr>
    <w:r>
      <w:fldChar w:fldCharType="begin"/>
    </w:r>
    <w:r>
      <w:instrText>PAGE \* MERGEFORMAT</w:instrText>
    </w:r>
    <w:r>
      <w:fldChar w:fldCharType="separate"/>
    </w:r>
    <w:r w:rsidR="00572775" w:rsidRPr="00572775">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3158E7" w14:textId="77777777" w:rsidR="00376743" w:rsidRDefault="00376743">
      <w:pPr>
        <w:spacing w:after="0" w:line="240" w:lineRule="auto"/>
      </w:pPr>
      <w:r>
        <w:separator/>
      </w:r>
    </w:p>
  </w:footnote>
  <w:footnote w:type="continuationSeparator" w:id="0">
    <w:p w14:paraId="083158E8" w14:textId="77777777" w:rsidR="00376743" w:rsidRDefault="003767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74048BE"/>
    <w:multiLevelType w:val="hybridMultilevel"/>
    <w:tmpl w:val="E202E4B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26F4"/>
    <w:rsid w:val="00101FD4"/>
    <w:rsid w:val="00180CB0"/>
    <w:rsid w:val="001D0FE0"/>
    <w:rsid w:val="00376743"/>
    <w:rsid w:val="003D4412"/>
    <w:rsid w:val="003E046A"/>
    <w:rsid w:val="004C1B78"/>
    <w:rsid w:val="00523079"/>
    <w:rsid w:val="00572775"/>
    <w:rsid w:val="00573571"/>
    <w:rsid w:val="0087329F"/>
    <w:rsid w:val="00887F0C"/>
    <w:rsid w:val="0094178B"/>
    <w:rsid w:val="0096313D"/>
    <w:rsid w:val="00964CEB"/>
    <w:rsid w:val="009C7D30"/>
    <w:rsid w:val="00AC4F44"/>
    <w:rsid w:val="00AE3E8F"/>
    <w:rsid w:val="00B6622D"/>
    <w:rsid w:val="00BF24D0"/>
    <w:rsid w:val="00C54218"/>
    <w:rsid w:val="00C70220"/>
    <w:rsid w:val="00C826F4"/>
    <w:rsid w:val="00CD6871"/>
    <w:rsid w:val="00CE5A86"/>
    <w:rsid w:val="00E02DAA"/>
    <w:rsid w:val="00E2060E"/>
    <w:rsid w:val="00E32465"/>
    <w:rsid w:val="00E66128"/>
    <w:rsid w:val="00ED2E40"/>
    <w:rsid w:val="00EE23EB"/>
    <w:rsid w:val="00EF1A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15651"/>
  <w15:docId w15:val="{8C70B31C-A101-42E0-A0E3-782157D6B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paragraph" w:styleId="Nagwek1">
    <w:name w:val="heading 1"/>
    <w:basedOn w:val="Normalny"/>
    <w:next w:val="Normalny"/>
    <w:link w:val="Nagwek1Znak"/>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Nagwek2">
    <w:name w:val="heading 2"/>
    <w:basedOn w:val="Normalny"/>
    <w:next w:val="Normalny"/>
    <w:link w:val="Nagwek2Znak"/>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Nagwek3">
    <w:name w:val="heading 3"/>
    <w:basedOn w:val="Normalny"/>
    <w:next w:val="Normalny"/>
    <w:link w:val="Nagwek3Znak"/>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Nagwek4">
    <w:name w:val="heading 4"/>
    <w:basedOn w:val="Normalny"/>
    <w:next w:val="Normalny"/>
    <w:link w:val="Nagwek4Znak"/>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Nagwek5">
    <w:name w:val="heading 5"/>
    <w:basedOn w:val="Normalny"/>
    <w:next w:val="Normalny"/>
    <w:link w:val="Nagwek5Znak"/>
    <w:uiPriority w:val="9"/>
    <w:unhideWhenUsed/>
    <w:qFormat/>
    <w:pPr>
      <w:keepNext/>
      <w:keepLines/>
      <w:spacing w:before="80" w:after="40"/>
      <w:outlineLvl w:val="4"/>
    </w:pPr>
    <w:rPr>
      <w:rFonts w:ascii="Arial" w:eastAsia="Arial" w:hAnsi="Arial" w:cs="Arial"/>
      <w:color w:val="2E74B5" w:themeColor="accent1" w:themeShade="BF"/>
    </w:rPr>
  </w:style>
  <w:style w:type="paragraph" w:styleId="Nagwek6">
    <w:name w:val="heading 6"/>
    <w:basedOn w:val="Normalny"/>
    <w:next w:val="Normalny"/>
    <w:link w:val="Nagwek6Znak"/>
    <w:uiPriority w:val="9"/>
    <w:unhideWhenUsed/>
    <w:qFormat/>
    <w:pPr>
      <w:keepNext/>
      <w:keepLines/>
      <w:spacing w:before="40" w:after="0"/>
      <w:outlineLvl w:val="5"/>
    </w:pPr>
    <w:rPr>
      <w:rFonts w:ascii="Arial" w:eastAsia="Arial" w:hAnsi="Arial" w:cs="Arial"/>
      <w:i/>
      <w:iCs/>
      <w:color w:val="595959" w:themeColor="text1" w:themeTint="A6"/>
    </w:rPr>
  </w:style>
  <w:style w:type="paragraph" w:styleId="Nagwek7">
    <w:name w:val="heading 7"/>
    <w:basedOn w:val="Normalny"/>
    <w:next w:val="Normalny"/>
    <w:link w:val="Nagwek7Znak"/>
    <w:uiPriority w:val="9"/>
    <w:unhideWhenUsed/>
    <w:qFormat/>
    <w:pPr>
      <w:keepNext/>
      <w:keepLines/>
      <w:spacing w:before="40" w:after="0"/>
      <w:outlineLvl w:val="6"/>
    </w:pPr>
    <w:rPr>
      <w:rFonts w:ascii="Arial" w:eastAsia="Arial" w:hAnsi="Arial" w:cs="Arial"/>
      <w:color w:val="595959" w:themeColor="text1" w:themeTint="A6"/>
    </w:rPr>
  </w:style>
  <w:style w:type="paragraph" w:styleId="Nagwek8">
    <w:name w:val="heading 8"/>
    <w:basedOn w:val="Normalny"/>
    <w:next w:val="Normalny"/>
    <w:link w:val="Nagwek8Znak"/>
    <w:uiPriority w:val="9"/>
    <w:unhideWhenUsed/>
    <w:qFormat/>
    <w:pPr>
      <w:keepNext/>
      <w:keepLines/>
      <w:spacing w:after="0"/>
      <w:outlineLvl w:val="7"/>
    </w:pPr>
    <w:rPr>
      <w:rFonts w:ascii="Arial" w:eastAsia="Arial" w:hAnsi="Arial" w:cs="Arial"/>
      <w:i/>
      <w:iCs/>
      <w:color w:val="272727" w:themeColor="text1" w:themeTint="D8"/>
    </w:rPr>
  </w:style>
  <w:style w:type="paragraph" w:styleId="Nagwek9">
    <w:name w:val="heading 9"/>
    <w:basedOn w:val="Normalny"/>
    <w:next w:val="Normalny"/>
    <w:link w:val="Nagwek9Znak"/>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Standardowy"/>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Zwykatabela1">
    <w:name w:val="Plain Table 1"/>
    <w:basedOn w:val="Standardowy"/>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Zwykatabela2">
    <w:name w:val="Plain Table 2"/>
    <w:basedOn w:val="Standardowy"/>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Zwykatabela3">
    <w:name w:val="Plain Table 3"/>
    <w:basedOn w:val="Standardowy"/>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Zwykatabela4">
    <w:name w:val="Plain Table 4"/>
    <w:basedOn w:val="Standardowy"/>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Zwykatabela5">
    <w:name w:val="Plain Table 5"/>
    <w:basedOn w:val="Standardowy"/>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atki1jasna">
    <w:name w:val="Grid Table 1 Light"/>
    <w:basedOn w:val="Standardowy"/>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Standardowy"/>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Standardowy"/>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Standardowy"/>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Standardowy"/>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Standardowy"/>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Standardowy"/>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siatki2">
    <w:name w:val="Grid Table 2"/>
    <w:basedOn w:val="Standardowy"/>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Standardowy"/>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Standardowy"/>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Standardowy"/>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Standardowy"/>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Standardowy"/>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Standardowy"/>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siatki3">
    <w:name w:val="Grid Table 3"/>
    <w:basedOn w:val="Standardowy"/>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Standardowy"/>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Standardowy"/>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Standardowy"/>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Standardowy"/>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Standardowy"/>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Standardowy"/>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siatki4">
    <w:name w:val="Grid Table 4"/>
    <w:basedOn w:val="Standardowy"/>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Standardowy"/>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Standardowy"/>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Standardowy"/>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Standardowy"/>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Standardowy"/>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Standardowy"/>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siatki5ciemna">
    <w:name w:val="Grid Table 5 Dark"/>
    <w:basedOn w:val="Standardowy"/>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Standardowy"/>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Standardowy"/>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Standardowy"/>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Standardowy"/>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Standardowy"/>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Standardowy"/>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siatki6kolorowa">
    <w:name w:val="Grid Table 6 Colorful"/>
    <w:basedOn w:val="Standardowy"/>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Standardowy"/>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Standardowy"/>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Standardowy"/>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Standardowy"/>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Standardowy"/>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Standardowy"/>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siatki7kolorowa">
    <w:name w:val="Grid Table 7 Colorful"/>
    <w:basedOn w:val="Standardowy"/>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Standardowy"/>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Standardowy"/>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Standardowy"/>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Standardowy"/>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Standardowy"/>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Standardowy"/>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listy1jasna">
    <w:name w:val="List Table 1 Light"/>
    <w:basedOn w:val="Standardowy"/>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Standardowy"/>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Standardowy"/>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Standardowy"/>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Standardowy"/>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Standardowy"/>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Standardowy"/>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listy2">
    <w:name w:val="List Table 2"/>
    <w:basedOn w:val="Standardowy"/>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Standardowy"/>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Standardowy"/>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Standardowy"/>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Standardowy"/>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Standardowy"/>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Standardowy"/>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listy3">
    <w:name w:val="List Table 3"/>
    <w:basedOn w:val="Standardowy"/>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Standardowy"/>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Standardowy"/>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Standardowy"/>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Standardowy"/>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Standardowy"/>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Standardowy"/>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listy4">
    <w:name w:val="List Table 4"/>
    <w:basedOn w:val="Standardowy"/>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Standardowy"/>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Standardowy"/>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Standardowy"/>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Standardowy"/>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Standardowy"/>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Standardowy"/>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listy5ciemna">
    <w:name w:val="List Table 5 Dark"/>
    <w:basedOn w:val="Standardowy"/>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Standardowy"/>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Standardowy"/>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Standardowy"/>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Standardowy"/>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Standardowy"/>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Standardowy"/>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listy6kolorowa">
    <w:name w:val="List Table 6 Colorful"/>
    <w:basedOn w:val="Standardowy"/>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Standardowy"/>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Standardowy"/>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Standardowy"/>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Standardowy"/>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Standardowy"/>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Standardowy"/>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listy7kolorowa">
    <w:name w:val="List Table 7 Colorful"/>
    <w:basedOn w:val="Standardowy"/>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Standardowy"/>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Standardowy"/>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Standardowy"/>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Standardowy"/>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Standardowy"/>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Standardowy"/>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Standardowy"/>
    <w:uiPriority w:val="99"/>
    <w:pPr>
      <w:spacing w:after="0" w:line="240" w:lineRule="auto"/>
    </w:pPr>
    <w:rPr>
      <w:color w:val="404040"/>
      <w:sz w:val="20"/>
      <w:szCs w:val="20"/>
      <w:lang w:val="pl-PL" w:eastAsia="pl-PL"/>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Standardowy"/>
    <w:uiPriority w:val="99"/>
    <w:pPr>
      <w:spacing w:after="0" w:line="240" w:lineRule="auto"/>
    </w:pPr>
    <w:rPr>
      <w:color w:val="404040"/>
      <w:sz w:val="20"/>
      <w:szCs w:val="20"/>
      <w:lang w:val="pl-PL" w:eastAsia="pl-PL"/>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Standardowy"/>
    <w:uiPriority w:val="99"/>
    <w:pPr>
      <w:spacing w:after="0" w:line="240" w:lineRule="auto"/>
    </w:pPr>
    <w:rPr>
      <w:color w:val="404040"/>
      <w:sz w:val="20"/>
      <w:szCs w:val="20"/>
      <w:lang w:val="pl-PL" w:eastAsia="pl-PL"/>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Standardowy"/>
    <w:uiPriority w:val="99"/>
    <w:pPr>
      <w:spacing w:after="0" w:line="240" w:lineRule="auto"/>
    </w:pPr>
    <w:rPr>
      <w:color w:val="404040"/>
      <w:sz w:val="20"/>
      <w:szCs w:val="20"/>
      <w:lang w:val="pl-PL" w:eastAsia="pl-PL"/>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Standardowy"/>
    <w:uiPriority w:val="99"/>
    <w:pPr>
      <w:spacing w:after="0" w:line="240" w:lineRule="auto"/>
    </w:pPr>
    <w:rPr>
      <w:color w:val="404040"/>
      <w:sz w:val="20"/>
      <w:szCs w:val="20"/>
      <w:lang w:val="pl-PL" w:eastAsia="pl-PL"/>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Standardowy"/>
    <w:uiPriority w:val="99"/>
    <w:pPr>
      <w:spacing w:after="0" w:line="240" w:lineRule="auto"/>
    </w:pPr>
    <w:rPr>
      <w:color w:val="404040"/>
      <w:sz w:val="20"/>
      <w:szCs w:val="20"/>
      <w:lang w:val="pl-PL" w:eastAsia="pl-PL"/>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Standardowy"/>
    <w:uiPriority w:val="99"/>
    <w:pPr>
      <w:spacing w:after="0" w:line="240" w:lineRule="auto"/>
    </w:pPr>
    <w:rPr>
      <w:color w:val="404040"/>
      <w:sz w:val="20"/>
      <w:szCs w:val="20"/>
      <w:lang w:val="pl-PL" w:eastAsia="pl-PL"/>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Standardowy"/>
    <w:uiPriority w:val="99"/>
    <w:pPr>
      <w:spacing w:after="0" w:line="240" w:lineRule="auto"/>
    </w:pPr>
    <w:rPr>
      <w:color w:val="404040"/>
      <w:sz w:val="20"/>
      <w:szCs w:val="20"/>
      <w:lang w:val="pl-PL" w:eastAsia="pl-PL"/>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Standardowy"/>
    <w:uiPriority w:val="99"/>
    <w:pPr>
      <w:spacing w:after="0" w:line="240" w:lineRule="auto"/>
    </w:pPr>
    <w:rPr>
      <w:color w:val="404040"/>
      <w:sz w:val="20"/>
      <w:szCs w:val="20"/>
      <w:lang w:val="pl-PL" w:eastAsia="pl-PL"/>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Standardowy"/>
    <w:uiPriority w:val="99"/>
    <w:pPr>
      <w:spacing w:after="0" w:line="240" w:lineRule="auto"/>
    </w:pPr>
    <w:rPr>
      <w:color w:val="404040"/>
      <w:sz w:val="20"/>
      <w:szCs w:val="20"/>
      <w:lang w:val="pl-PL" w:eastAsia="pl-PL"/>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Standardowy"/>
    <w:uiPriority w:val="99"/>
    <w:pPr>
      <w:spacing w:after="0" w:line="240" w:lineRule="auto"/>
    </w:pPr>
    <w:rPr>
      <w:color w:val="404040"/>
      <w:sz w:val="20"/>
      <w:szCs w:val="20"/>
      <w:lang w:val="pl-PL" w:eastAsia="pl-PL"/>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Standardowy"/>
    <w:uiPriority w:val="99"/>
    <w:pPr>
      <w:spacing w:after="0" w:line="240" w:lineRule="auto"/>
    </w:pPr>
    <w:rPr>
      <w:color w:val="404040"/>
      <w:sz w:val="20"/>
      <w:szCs w:val="20"/>
      <w:lang w:val="pl-PL" w:eastAsia="pl-PL"/>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Standardowy"/>
    <w:uiPriority w:val="99"/>
    <w:pPr>
      <w:spacing w:after="0" w:line="240" w:lineRule="auto"/>
    </w:pPr>
    <w:rPr>
      <w:color w:val="404040"/>
      <w:sz w:val="20"/>
      <w:szCs w:val="20"/>
      <w:lang w:val="pl-PL" w:eastAsia="pl-PL"/>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Standardowy"/>
    <w:uiPriority w:val="99"/>
    <w:pPr>
      <w:spacing w:after="0" w:line="240" w:lineRule="auto"/>
    </w:pPr>
    <w:rPr>
      <w:color w:val="404040"/>
      <w:sz w:val="20"/>
      <w:szCs w:val="20"/>
      <w:lang w:val="pl-PL" w:eastAsia="pl-PL"/>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Standardowy"/>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Standardowy"/>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Standardowy"/>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Standardowy"/>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Standardowy"/>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Standardowy"/>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Standardowy"/>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Nagwek1Znak">
    <w:name w:val="Nagłówek 1 Znak"/>
    <w:basedOn w:val="Domylnaczcionkaakapitu"/>
    <w:link w:val="Nagwek1"/>
    <w:uiPriority w:val="9"/>
    <w:rPr>
      <w:rFonts w:ascii="Arial" w:eastAsia="Arial" w:hAnsi="Arial" w:cs="Arial"/>
      <w:color w:val="2E74B5" w:themeColor="accent1" w:themeShade="BF"/>
      <w:sz w:val="40"/>
      <w:szCs w:val="40"/>
    </w:rPr>
  </w:style>
  <w:style w:type="character" w:customStyle="1" w:styleId="Nagwek2Znak">
    <w:name w:val="Nagłówek 2 Znak"/>
    <w:basedOn w:val="Domylnaczcionkaakapitu"/>
    <w:link w:val="Nagwek2"/>
    <w:uiPriority w:val="9"/>
    <w:rPr>
      <w:rFonts w:ascii="Arial" w:eastAsia="Arial" w:hAnsi="Arial" w:cs="Arial"/>
      <w:color w:val="2E74B5" w:themeColor="accent1" w:themeShade="BF"/>
      <w:sz w:val="32"/>
      <w:szCs w:val="32"/>
    </w:rPr>
  </w:style>
  <w:style w:type="character" w:customStyle="1" w:styleId="Nagwek3Znak">
    <w:name w:val="Nagłówek 3 Znak"/>
    <w:basedOn w:val="Domylnaczcionkaakapitu"/>
    <w:link w:val="Nagwek3"/>
    <w:uiPriority w:val="9"/>
    <w:rPr>
      <w:rFonts w:ascii="Arial" w:eastAsia="Arial" w:hAnsi="Arial" w:cs="Arial"/>
      <w:color w:val="2E74B5" w:themeColor="accent1" w:themeShade="BF"/>
      <w:sz w:val="28"/>
      <w:szCs w:val="28"/>
    </w:rPr>
  </w:style>
  <w:style w:type="character" w:customStyle="1" w:styleId="Nagwek4Znak">
    <w:name w:val="Nagłówek 4 Znak"/>
    <w:basedOn w:val="Domylnaczcionkaakapitu"/>
    <w:link w:val="Nagwek4"/>
    <w:uiPriority w:val="9"/>
    <w:rPr>
      <w:rFonts w:ascii="Arial" w:eastAsia="Arial" w:hAnsi="Arial" w:cs="Arial"/>
      <w:i/>
      <w:iCs/>
      <w:color w:val="2E74B5" w:themeColor="accent1" w:themeShade="BF"/>
    </w:rPr>
  </w:style>
  <w:style w:type="character" w:customStyle="1" w:styleId="Nagwek5Znak">
    <w:name w:val="Nagłówek 5 Znak"/>
    <w:basedOn w:val="Domylnaczcionkaakapitu"/>
    <w:link w:val="Nagwek5"/>
    <w:uiPriority w:val="9"/>
    <w:rPr>
      <w:rFonts w:ascii="Arial" w:eastAsia="Arial" w:hAnsi="Arial" w:cs="Arial"/>
      <w:color w:val="2E74B5" w:themeColor="accent1" w:themeShade="BF"/>
    </w:rPr>
  </w:style>
  <w:style w:type="character" w:customStyle="1" w:styleId="Nagwek6Znak">
    <w:name w:val="Nagłówek 6 Znak"/>
    <w:basedOn w:val="Domylnaczcionkaakapitu"/>
    <w:link w:val="Nagwek6"/>
    <w:uiPriority w:val="9"/>
    <w:rPr>
      <w:rFonts w:ascii="Arial" w:eastAsia="Arial" w:hAnsi="Arial" w:cs="Arial"/>
      <w:i/>
      <w:iCs/>
      <w:color w:val="595959" w:themeColor="text1" w:themeTint="A6"/>
    </w:rPr>
  </w:style>
  <w:style w:type="character" w:customStyle="1" w:styleId="Nagwek7Znak">
    <w:name w:val="Nagłówek 7 Znak"/>
    <w:basedOn w:val="Domylnaczcionkaakapitu"/>
    <w:link w:val="Nagwek7"/>
    <w:uiPriority w:val="9"/>
    <w:rPr>
      <w:rFonts w:ascii="Arial" w:eastAsia="Arial" w:hAnsi="Arial" w:cs="Arial"/>
      <w:color w:val="595959" w:themeColor="text1" w:themeTint="A6"/>
    </w:rPr>
  </w:style>
  <w:style w:type="character" w:customStyle="1" w:styleId="Nagwek8Znak">
    <w:name w:val="Nagłówek 8 Znak"/>
    <w:basedOn w:val="Domylnaczcionkaakapitu"/>
    <w:link w:val="Nagwek8"/>
    <w:uiPriority w:val="9"/>
    <w:rPr>
      <w:rFonts w:ascii="Arial" w:eastAsia="Arial" w:hAnsi="Arial" w:cs="Arial"/>
      <w:i/>
      <w:iCs/>
      <w:color w:val="272727" w:themeColor="text1" w:themeTint="D8"/>
    </w:rPr>
  </w:style>
  <w:style w:type="character" w:customStyle="1" w:styleId="Nagwek9Znak">
    <w:name w:val="Nagłówek 9 Znak"/>
    <w:basedOn w:val="Domylnaczcionkaakapitu"/>
    <w:link w:val="Nagwek9"/>
    <w:uiPriority w:val="9"/>
    <w:rPr>
      <w:rFonts w:ascii="Arial" w:eastAsia="Arial" w:hAnsi="Arial" w:cs="Arial"/>
      <w:i/>
      <w:iCs/>
      <w:color w:val="272727" w:themeColor="text1" w:themeTint="D8"/>
    </w:rPr>
  </w:style>
  <w:style w:type="paragraph" w:styleId="Tytu">
    <w:name w:val="Title"/>
    <w:basedOn w:val="Normalny"/>
    <w:next w:val="Normalny"/>
    <w:link w:val="TytuZnak"/>
    <w:uiPriority w:val="10"/>
    <w:qFormat/>
    <w:pPr>
      <w:spacing w:after="80" w:line="240" w:lineRule="auto"/>
      <w:contextualSpacing/>
    </w:pPr>
    <w:rPr>
      <w:rFonts w:ascii="Arial" w:eastAsia="Arial" w:hAnsi="Arial" w:cs="Arial"/>
      <w:spacing w:val="-10"/>
      <w:sz w:val="56"/>
      <w:szCs w:val="56"/>
    </w:rPr>
  </w:style>
  <w:style w:type="character" w:customStyle="1" w:styleId="TytuZnak">
    <w:name w:val="Tytuł Znak"/>
    <w:basedOn w:val="Domylnaczcionkaakapitu"/>
    <w:link w:val="Tytu"/>
    <w:uiPriority w:val="10"/>
    <w:rPr>
      <w:rFonts w:ascii="Arial" w:eastAsia="Arial" w:hAnsi="Arial" w:cs="Arial"/>
      <w:spacing w:val="-10"/>
      <w:sz w:val="56"/>
      <w:szCs w:val="56"/>
    </w:rPr>
  </w:style>
  <w:style w:type="paragraph" w:styleId="Podtytu">
    <w:name w:val="Subtitle"/>
    <w:basedOn w:val="Normalny"/>
    <w:next w:val="Normalny"/>
    <w:link w:val="PodtytuZnak"/>
    <w:uiPriority w:val="11"/>
    <w:qFormat/>
    <w:pPr>
      <w:numPr>
        <w:ilvl w:val="1"/>
      </w:numPr>
    </w:pPr>
    <w:rPr>
      <w:color w:val="595959" w:themeColor="text1" w:themeTint="A6"/>
      <w:spacing w:val="15"/>
      <w:sz w:val="28"/>
      <w:szCs w:val="28"/>
    </w:rPr>
  </w:style>
  <w:style w:type="character" w:customStyle="1" w:styleId="PodtytuZnak">
    <w:name w:val="Podtytuł Znak"/>
    <w:basedOn w:val="Domylnaczcionkaakapitu"/>
    <w:link w:val="Podtytu"/>
    <w:uiPriority w:val="11"/>
    <w:rPr>
      <w:color w:val="595959" w:themeColor="text1" w:themeTint="A6"/>
      <w:spacing w:val="15"/>
      <w:sz w:val="28"/>
      <w:szCs w:val="28"/>
    </w:rPr>
  </w:style>
  <w:style w:type="paragraph" w:styleId="Cytat">
    <w:name w:val="Quote"/>
    <w:basedOn w:val="Normalny"/>
    <w:next w:val="Normalny"/>
    <w:link w:val="CytatZnak"/>
    <w:uiPriority w:val="29"/>
    <w:qFormat/>
    <w:pPr>
      <w:spacing w:before="160"/>
      <w:jc w:val="center"/>
    </w:pPr>
    <w:rPr>
      <w:i/>
      <w:iCs/>
      <w:color w:val="404040" w:themeColor="text1" w:themeTint="BF"/>
    </w:rPr>
  </w:style>
  <w:style w:type="character" w:customStyle="1" w:styleId="CytatZnak">
    <w:name w:val="Cytat Znak"/>
    <w:basedOn w:val="Domylnaczcionkaakapitu"/>
    <w:link w:val="Cytat"/>
    <w:uiPriority w:val="29"/>
    <w:rPr>
      <w:i/>
      <w:iCs/>
      <w:color w:val="404040" w:themeColor="text1" w:themeTint="BF"/>
    </w:rPr>
  </w:style>
  <w:style w:type="character" w:styleId="Wyrnienieintensywne">
    <w:name w:val="Intense Emphasis"/>
    <w:basedOn w:val="Domylnaczcionkaakapitu"/>
    <w:uiPriority w:val="21"/>
    <w:qFormat/>
    <w:rPr>
      <w:i/>
      <w:iCs/>
      <w:color w:val="2E74B5" w:themeColor="accent1" w:themeShade="BF"/>
    </w:rPr>
  </w:style>
  <w:style w:type="paragraph" w:styleId="Cytatintensywny">
    <w:name w:val="Intense Quote"/>
    <w:basedOn w:val="Normalny"/>
    <w:next w:val="Normalny"/>
    <w:link w:val="CytatintensywnyZnak"/>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ytatintensywnyZnak">
    <w:name w:val="Cytat intensywny Znak"/>
    <w:basedOn w:val="Domylnaczcionkaakapitu"/>
    <w:link w:val="Cytatintensywny"/>
    <w:uiPriority w:val="30"/>
    <w:rPr>
      <w:i/>
      <w:iCs/>
      <w:color w:val="2E74B5" w:themeColor="accent1" w:themeShade="BF"/>
    </w:rPr>
  </w:style>
  <w:style w:type="character" w:styleId="Odwoanieintensywne">
    <w:name w:val="Intense Reference"/>
    <w:basedOn w:val="Domylnaczcionkaakapitu"/>
    <w:uiPriority w:val="32"/>
    <w:qFormat/>
    <w:rPr>
      <w:b/>
      <w:bCs/>
      <w:smallCaps/>
      <w:color w:val="2E74B5" w:themeColor="accent1" w:themeShade="BF"/>
      <w:spacing w:val="5"/>
    </w:rPr>
  </w:style>
  <w:style w:type="character" w:styleId="Wyrnieniedelikatne">
    <w:name w:val="Subtle Emphasis"/>
    <w:basedOn w:val="Domylnaczcionkaakapitu"/>
    <w:uiPriority w:val="19"/>
    <w:qFormat/>
    <w:rPr>
      <w:i/>
      <w:iCs/>
      <w:color w:val="404040" w:themeColor="text1" w:themeTint="BF"/>
    </w:rPr>
  </w:style>
  <w:style w:type="character" w:styleId="Uwydatnienie">
    <w:name w:val="Emphasis"/>
    <w:basedOn w:val="Domylnaczcionkaakapitu"/>
    <w:uiPriority w:val="20"/>
    <w:qFormat/>
    <w:rPr>
      <w:i/>
      <w:iCs/>
    </w:rPr>
  </w:style>
  <w:style w:type="character" w:styleId="Pogrubienie">
    <w:name w:val="Strong"/>
    <w:basedOn w:val="Domylnaczcionkaakapitu"/>
    <w:uiPriority w:val="22"/>
    <w:qFormat/>
    <w:rPr>
      <w:b/>
      <w:bCs/>
    </w:rPr>
  </w:style>
  <w:style w:type="character" w:styleId="Odwoaniedelikatne">
    <w:name w:val="Subtle Reference"/>
    <w:basedOn w:val="Domylnaczcionkaakapitu"/>
    <w:uiPriority w:val="31"/>
    <w:qFormat/>
    <w:rPr>
      <w:smallCaps/>
      <w:color w:val="5A5A5A" w:themeColor="text1" w:themeTint="A5"/>
    </w:rPr>
  </w:style>
  <w:style w:type="character" w:styleId="Tytuksiki">
    <w:name w:val="Book Title"/>
    <w:basedOn w:val="Domylnaczcionkaakapitu"/>
    <w:uiPriority w:val="33"/>
    <w:qFormat/>
    <w:rPr>
      <w:b/>
      <w:bCs/>
      <w:i/>
      <w:iCs/>
      <w:spacing w:val="5"/>
    </w:rPr>
  </w:style>
  <w:style w:type="paragraph" w:styleId="Nagwek">
    <w:name w:val="header"/>
    <w:basedOn w:val="Normalny"/>
    <w:link w:val="NagwekZnak"/>
    <w:uiPriority w:val="99"/>
    <w:unhideWhenUsed/>
    <w:pPr>
      <w:tabs>
        <w:tab w:val="center" w:pos="4844"/>
        <w:tab w:val="right" w:pos="9689"/>
      </w:tabs>
      <w:spacing w:after="0" w:line="240" w:lineRule="auto"/>
    </w:pPr>
  </w:style>
  <w:style w:type="character" w:customStyle="1" w:styleId="NagwekZnak">
    <w:name w:val="Nagłówek Znak"/>
    <w:basedOn w:val="Domylnaczcionkaakapitu"/>
    <w:link w:val="Nagwek"/>
    <w:uiPriority w:val="99"/>
  </w:style>
  <w:style w:type="paragraph" w:styleId="Stopka">
    <w:name w:val="footer"/>
    <w:basedOn w:val="Normalny"/>
    <w:link w:val="StopkaZnak"/>
    <w:uiPriority w:val="99"/>
    <w:unhideWhenUsed/>
    <w:pPr>
      <w:tabs>
        <w:tab w:val="center" w:pos="4844"/>
        <w:tab w:val="right" w:pos="9689"/>
      </w:tabs>
      <w:spacing w:after="0" w:line="240" w:lineRule="auto"/>
    </w:pPr>
  </w:style>
  <w:style w:type="character" w:customStyle="1" w:styleId="StopkaZnak">
    <w:name w:val="Stopka Znak"/>
    <w:basedOn w:val="Domylnaczcionkaakapitu"/>
    <w:link w:val="Stopka"/>
    <w:uiPriority w:val="99"/>
  </w:style>
  <w:style w:type="paragraph" w:styleId="Legenda">
    <w:name w:val="caption"/>
    <w:basedOn w:val="Normalny"/>
    <w:next w:val="Normalny"/>
    <w:uiPriority w:val="35"/>
    <w:unhideWhenUsed/>
    <w:qFormat/>
    <w:pPr>
      <w:spacing w:line="240" w:lineRule="auto"/>
    </w:pPr>
    <w:rPr>
      <w:i/>
      <w:iCs/>
      <w:color w:val="44546A" w:themeColor="text2"/>
      <w:sz w:val="18"/>
      <w:szCs w:val="18"/>
    </w:rPr>
  </w:style>
  <w:style w:type="paragraph" w:styleId="Tekstprzypisudolnego">
    <w:name w:val="footnote text"/>
    <w:basedOn w:val="Normalny"/>
    <w:link w:val="TekstprzypisudolnegoZnak"/>
    <w:uiPriority w:val="99"/>
    <w:semiHidden/>
    <w:unhideWhenUsed/>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Pr>
      <w:sz w:val="20"/>
      <w:szCs w:val="20"/>
    </w:rPr>
  </w:style>
  <w:style w:type="character" w:styleId="Odwoanieprzypisudolnego">
    <w:name w:val="footnote reference"/>
    <w:basedOn w:val="Domylnaczcionkaakapitu"/>
    <w:uiPriority w:val="99"/>
    <w:semiHidden/>
    <w:unhideWhenUsed/>
    <w:rPr>
      <w:vertAlign w:val="superscript"/>
    </w:rPr>
  </w:style>
  <w:style w:type="paragraph" w:styleId="Tekstprzypisukocowego">
    <w:name w:val="endnote text"/>
    <w:basedOn w:val="Normalny"/>
    <w:link w:val="TekstprzypisukocowegoZnak"/>
    <w:uiPriority w:val="99"/>
    <w:semiHidden/>
    <w:unhideWhenUsed/>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Pr>
      <w:sz w:val="20"/>
      <w:szCs w:val="20"/>
    </w:rPr>
  </w:style>
  <w:style w:type="character" w:styleId="Odwoanieprzypisukocowego">
    <w:name w:val="endnote reference"/>
    <w:basedOn w:val="Domylnaczcionkaakapitu"/>
    <w:uiPriority w:val="99"/>
    <w:semiHidden/>
    <w:unhideWhenUsed/>
    <w:rPr>
      <w:vertAlign w:val="superscript"/>
    </w:rPr>
  </w:style>
  <w:style w:type="character" w:styleId="Hipercze">
    <w:name w:val="Hyperlink"/>
    <w:basedOn w:val="Domylnaczcionkaakapitu"/>
    <w:uiPriority w:val="99"/>
    <w:unhideWhenUsed/>
    <w:rPr>
      <w:color w:val="0563C1" w:themeColor="hyperlink"/>
      <w:u w:val="single"/>
    </w:rPr>
  </w:style>
  <w:style w:type="character" w:styleId="UyteHipercze">
    <w:name w:val="FollowedHyperlink"/>
    <w:basedOn w:val="Domylnaczcionkaakapitu"/>
    <w:uiPriority w:val="99"/>
    <w:semiHidden/>
    <w:unhideWhenUsed/>
    <w:rPr>
      <w:color w:val="954F72" w:themeColor="followedHyperlink"/>
      <w:u w:val="single"/>
    </w:rPr>
  </w:style>
  <w:style w:type="paragraph" w:styleId="Spistreci1">
    <w:name w:val="toc 1"/>
    <w:basedOn w:val="Normalny"/>
    <w:next w:val="Normalny"/>
    <w:uiPriority w:val="39"/>
    <w:unhideWhenUsed/>
    <w:pPr>
      <w:spacing w:after="100"/>
    </w:pPr>
  </w:style>
  <w:style w:type="paragraph" w:styleId="Spistreci2">
    <w:name w:val="toc 2"/>
    <w:basedOn w:val="Normalny"/>
    <w:next w:val="Normalny"/>
    <w:uiPriority w:val="39"/>
    <w:unhideWhenUsed/>
    <w:pPr>
      <w:spacing w:after="100"/>
      <w:ind w:left="220"/>
    </w:pPr>
  </w:style>
  <w:style w:type="paragraph" w:styleId="Spistreci3">
    <w:name w:val="toc 3"/>
    <w:basedOn w:val="Normalny"/>
    <w:next w:val="Normalny"/>
    <w:uiPriority w:val="39"/>
    <w:unhideWhenUsed/>
    <w:pPr>
      <w:spacing w:after="100"/>
      <w:ind w:left="440"/>
    </w:pPr>
  </w:style>
  <w:style w:type="paragraph" w:styleId="Spistreci4">
    <w:name w:val="toc 4"/>
    <w:basedOn w:val="Normalny"/>
    <w:next w:val="Normalny"/>
    <w:uiPriority w:val="39"/>
    <w:unhideWhenUsed/>
    <w:pPr>
      <w:spacing w:after="100"/>
      <w:ind w:left="660"/>
    </w:pPr>
  </w:style>
  <w:style w:type="paragraph" w:styleId="Spistreci5">
    <w:name w:val="toc 5"/>
    <w:basedOn w:val="Normalny"/>
    <w:next w:val="Normalny"/>
    <w:uiPriority w:val="39"/>
    <w:unhideWhenUsed/>
    <w:pPr>
      <w:spacing w:after="100"/>
      <w:ind w:left="880"/>
    </w:pPr>
  </w:style>
  <w:style w:type="paragraph" w:styleId="Spistreci6">
    <w:name w:val="toc 6"/>
    <w:basedOn w:val="Normalny"/>
    <w:next w:val="Normalny"/>
    <w:uiPriority w:val="39"/>
    <w:unhideWhenUsed/>
    <w:pPr>
      <w:spacing w:after="100"/>
      <w:ind w:left="1100"/>
    </w:pPr>
  </w:style>
  <w:style w:type="paragraph" w:styleId="Spistreci7">
    <w:name w:val="toc 7"/>
    <w:basedOn w:val="Normalny"/>
    <w:next w:val="Normalny"/>
    <w:uiPriority w:val="39"/>
    <w:unhideWhenUsed/>
    <w:pPr>
      <w:spacing w:after="100"/>
      <w:ind w:left="1320"/>
    </w:pPr>
  </w:style>
  <w:style w:type="paragraph" w:styleId="Spistreci8">
    <w:name w:val="toc 8"/>
    <w:basedOn w:val="Normalny"/>
    <w:next w:val="Normalny"/>
    <w:uiPriority w:val="39"/>
    <w:unhideWhenUsed/>
    <w:pPr>
      <w:spacing w:after="100"/>
      <w:ind w:left="1540"/>
    </w:pPr>
  </w:style>
  <w:style w:type="paragraph" w:styleId="Spistreci9">
    <w:name w:val="toc 9"/>
    <w:basedOn w:val="Normalny"/>
    <w:next w:val="Normalny"/>
    <w:uiPriority w:val="39"/>
    <w:unhideWhenUsed/>
    <w:pPr>
      <w:spacing w:after="100"/>
      <w:ind w:left="1760"/>
    </w:pPr>
  </w:style>
  <w:style w:type="character" w:styleId="Tekstzastpczy">
    <w:name w:val="Placeholder Text"/>
    <w:basedOn w:val="Domylnaczcionkaakapitu"/>
    <w:uiPriority w:val="99"/>
    <w:semiHidden/>
    <w:rPr>
      <w:color w:val="666666"/>
    </w:rPr>
  </w:style>
  <w:style w:type="paragraph" w:styleId="Nagwekspisutreci">
    <w:name w:val="TOC Heading"/>
    <w:uiPriority w:val="39"/>
    <w:unhideWhenUsed/>
  </w:style>
  <w:style w:type="paragraph" w:styleId="Spisilustracji">
    <w:name w:val="table of figures"/>
    <w:basedOn w:val="Normalny"/>
    <w:next w:val="Normalny"/>
    <w:uiPriority w:val="99"/>
    <w:unhideWhenUsed/>
    <w:pPr>
      <w:spacing w:after="0"/>
    </w:pPr>
  </w:style>
  <w:style w:type="paragraph" w:styleId="Bezodstpw">
    <w:name w:val="No Spacing"/>
    <w:basedOn w:val="Normalny"/>
    <w:uiPriority w:val="1"/>
    <w:qFormat/>
    <w:pPr>
      <w:spacing w:after="0" w:line="240" w:lineRule="auto"/>
    </w:pPr>
  </w:style>
  <w:style w:type="paragraph" w:styleId="Akapitzlist">
    <w:name w:val="List Paragraph"/>
    <w:basedOn w:val="Normalny"/>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10593</Words>
  <Characters>63564</Characters>
  <Application>Microsoft Office Word</Application>
  <DocSecurity>0</DocSecurity>
  <Lines>529</Lines>
  <Paragraphs>148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Andromeda</dc:creator>
  <cp:lastModifiedBy>Mateusz Pomianek</cp:lastModifiedBy>
  <cp:revision>30</cp:revision>
  <cp:lastPrinted>2026-08-30T09:46:00Z</cp:lastPrinted>
  <dcterms:created xsi:type="dcterms:W3CDTF">2026-08-29T06:37:00Z</dcterms:created>
  <dcterms:modified xsi:type="dcterms:W3CDTF">2026-08-30T09:48:00Z</dcterms:modified>
</cp:coreProperties>
</file>