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026" w:rsidRPr="00217026" w:rsidRDefault="00217026" w:rsidP="009F7CEB">
      <w:pPr>
        <w:spacing w:before="100" w:beforeAutospacing="1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Specyfikacja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t</w:t>
      </w:r>
      <w:r w:rsidRPr="00217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echniczna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a</w:t>
      </w:r>
      <w:r w:rsidRPr="00217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rchitektury VGG-Transformer w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a</w:t>
      </w:r>
      <w:r w:rsidRPr="00217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nalizie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b</w:t>
      </w:r>
      <w:r w:rsidRPr="00217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ehawioralnej</w:t>
      </w:r>
    </w:p>
    <w:p w:rsidR="00217026" w:rsidRPr="00217026" w:rsidRDefault="00217026" w:rsidP="009F7CEB">
      <w:pPr>
        <w:pStyle w:val="Nagwek2"/>
        <w:spacing w:after="120"/>
      </w:pPr>
      <w:r w:rsidRPr="00217026">
        <w:t>1. Wstęp i Strategiczne Założenia Systemu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Współczesna diagnostyka kliniczna stoi przed wyzwaniem obiektywizacji oceny stanów psychofizycznych w obliczu globalnego kryzysu zdrowia psychicznego, pogłębionego przez pandemię COVID-19. Zaburzenia te, dotykające blisko 450 milionów ludzi, naruszają biologiczną homeostazę organizmu, objawiając się w subtelnych sygnałach behawioralnych. Prezentowana architektura hybrydowa stanowi odpowiedź na potrzebę precyzyjnej, nieinwazyjnej detekcji wzorców mowy ciała i mimiki, łącząc rygor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konwolucyjnych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sieci neuronowych (CNN) z elastycznością modeli Transformer.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transformacji ("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?"):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Integracja warstw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Attention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 modelem VGG-16 jest kluczowa dla modelowania długodystansowych zależności w danych wideo. Podczas gdy standardowe warstwy CNN (wykorzystujące małe filt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ry konwolucyjne – milowy krok w 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architekturze VGG) doskonale radzą sobie z lokalną ekstrakcją cech wizualnych, mechanizm Multi-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Head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Attention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systemowi na zr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ozumienie kontekstu czasowego i 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"wyostrzenie" uwagi na kluczowych markerach diagnostycznych. Zapewnia to stabilność wyników, eliminując szum tła i skupiając moc obliczeniową 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mikroruchach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twarzy i gestach</w:t>
      </w:r>
      <w:bookmarkStart w:id="0" w:name="_GoBack"/>
      <w:bookmarkEnd w:id="0"/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217026" w:rsidRPr="00217026" w:rsidRDefault="00217026" w:rsidP="009F7CEB">
      <w:pPr>
        <w:pStyle w:val="Nagwek2"/>
      </w:pPr>
      <w:r w:rsidRPr="00217026">
        <w:t>2. Inżynieria danych i potok przetwarzania wstępnego (RAF-DB)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Fundamentem systemu jest zbiór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RAF-DB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ceniony za reali</w:t>
      </w:r>
      <w:r w:rsidR="009F7CE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styczne przedstawienie emocji z 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uwzględnieniem głębi i koloru. Potok przetwarzania został zaprojektowany tak, aby zapewnić najwyższą czystość sygnału wejściowego dla architektury hybrydowej.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Parametry potoku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Preprocessing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Pipeline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:rsidR="00217026" w:rsidRPr="00217026" w:rsidRDefault="00217026" w:rsidP="009F7CE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Skalowanie i normalizacja: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Piksele skalowane są do zakresu [0, 1] przy użyciu mnożnika </w:t>
      </w:r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1./255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17026" w:rsidRPr="00217026" w:rsidRDefault="00217026" w:rsidP="009F7CE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Resizing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Obrazy są standaryzowane do formatu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100x100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px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17026" w:rsidRPr="00217026" w:rsidRDefault="00217026" w:rsidP="009F7CE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Augmentacja (tylko zbiór treningowy):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Wprowadzenie zoomu (0.3) oraz poziomego przerzucania obrazu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horizontal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flip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celu zwiększenia generalizacji.</w:t>
      </w:r>
    </w:p>
    <w:p w:rsidR="00217026" w:rsidRPr="00217026" w:rsidRDefault="00217026" w:rsidP="009F7CE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Zbiór testowy: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Poddawany identycznej normalizacji i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resizingowi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lecz bez augmentacji, co zapewnia rygorystyczną ocenę kliniczną.</w:t>
      </w:r>
    </w:p>
    <w:p w:rsidR="00217026" w:rsidRPr="00217026" w:rsidRDefault="00217026" w:rsidP="009F7CEB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Kodowanie: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Etykiety dla 7 klas emocji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Surprise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Fear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Disgust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Happy, Sad,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Angry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Neutral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przetwarzane są metodą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one-hot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encoding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Zastosowanie funkcji </w:t>
      </w:r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keras.applications.vgg16.preprocess_input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pełną synergię ze wstępnie wyuczonymi wagami modelu bazowego przy zachowaniu wielkości pakietu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batch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size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na poziomie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64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217026" w:rsidRPr="00217026" w:rsidRDefault="00217026" w:rsidP="009F7CEB">
      <w:pPr>
        <w:pStyle w:val="Nagwek2"/>
        <w:spacing w:after="120"/>
      </w:pPr>
      <w:r w:rsidRPr="00217026">
        <w:t xml:space="preserve">3. Architektura Hybrydowa: </w:t>
      </w:r>
      <w:r>
        <w:t>i</w:t>
      </w:r>
      <w:r w:rsidRPr="00217026">
        <w:t xml:space="preserve">ntegracja VGG-16 z </w:t>
      </w:r>
      <w:r>
        <w:t>m</w:t>
      </w:r>
      <w:r w:rsidRPr="00217026">
        <w:t xml:space="preserve">echanizmami </w:t>
      </w:r>
      <w:proofErr w:type="spellStart"/>
      <w:r w:rsidRPr="00217026">
        <w:t>Attention</w:t>
      </w:r>
      <w:proofErr w:type="spellEnd"/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System wykorzystuje model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VGG-16 jako ekstraktor cech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korzystając z zamrożonych wag (non-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trainable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wyuczonych na zbiorze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ImageNet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Pozwala to na zachowanie potężnych reprezentacji wizualnych przy jednoczesnym skupieniu treningu na warstwach hybrydowych.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Specyfikacja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TransformerBlock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0"/>
        <w:gridCol w:w="1476"/>
      </w:tblGrid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Parametr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Wartość</w:t>
            </w:r>
          </w:p>
        </w:tc>
      </w:tr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Wymiar osadzenia (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Embedding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Dimension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512</w:t>
            </w:r>
          </w:p>
        </w:tc>
      </w:tr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</w:pP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>Liczba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 xml:space="preserve"> 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>głowic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 xml:space="preserve"> 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>uwagi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 xml:space="preserve"> (Attention Heads)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4</w:t>
            </w:r>
          </w:p>
        </w:tc>
      </w:tr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Wymiar sieci 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Feed-Forward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512</w:t>
            </w:r>
          </w:p>
        </w:tc>
      </w:tr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Dropout</w:t>
            </w:r>
            <w:proofErr w:type="spellEnd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0.1</w:t>
            </w:r>
          </w:p>
        </w:tc>
      </w:tr>
      <w:tr w:rsidR="00217026" w:rsidRPr="00217026" w:rsidTr="002170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Funkcja Aktywacji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17026" w:rsidRPr="00217026" w:rsidRDefault="00217026" w:rsidP="009F7CEB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2170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ReLU</w:t>
            </w:r>
            <w:proofErr w:type="spellEnd"/>
          </w:p>
        </w:tc>
      </w:tr>
    </w:tbl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strukturalna ("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?"):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 bloku transformera wdrożono dodatkową warstwę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Multi-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Head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Attention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key_dim</w:t>
      </w:r>
      <w:proofErr w:type="spellEnd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=512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która wyostrza detekcję najbardziej finezyjnych wzorców mimicznych. Istotnym elementem architektury jest warstwa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Global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Average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Pooling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(GAP)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która przekształca wyrafinowane cechy w wektor o stałym rozmiarze. Następnie sygnał przechodzi przez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dwie w pełni połączone warstwy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Dense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każda po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4096 jednostek</w:t>
      </w:r>
      <w:r w:rsidR="009F7CE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 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zastosowaniem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dropoutu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0.5 w celu przeciwdziałania przeuczeniu. Proces kończy warstwa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Softmax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zwracająca prawdopodobieństwo dla 7 klas docelowych. Takie podejście łączy "pamięć" wizualną VGG z dynamiczną hierarchią ważności cech oferowaną przez Transformery.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217026" w:rsidRPr="009F7CEB" w:rsidRDefault="00217026" w:rsidP="009F7CEB">
      <w:pPr>
        <w:pStyle w:val="Nagwek2"/>
      </w:pPr>
      <w:r w:rsidRPr="00217026">
        <w:t xml:space="preserve">4. Specjalistyczne </w:t>
      </w:r>
      <w:r w:rsidR="009F7CEB">
        <w:t>m</w:t>
      </w:r>
      <w:r w:rsidRPr="00217026">
        <w:t xml:space="preserve">oduły </w:t>
      </w:r>
      <w:r w:rsidR="009F7CEB">
        <w:t>d</w:t>
      </w:r>
      <w:r w:rsidRPr="00217026">
        <w:t xml:space="preserve">etekcji: </w:t>
      </w:r>
      <w:proofErr w:type="spellStart"/>
      <w:r w:rsidRPr="00217026">
        <w:t>DeepFace</w:t>
      </w:r>
      <w:proofErr w:type="spellEnd"/>
      <w:r w:rsidRPr="00217026">
        <w:t xml:space="preserve"> i </w:t>
      </w:r>
      <w:proofErr w:type="spellStart"/>
      <w:r w:rsidRPr="00217026">
        <w:t>MediaPipe</w:t>
      </w:r>
      <w:proofErr w:type="spellEnd"/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Synergia modelu bazowego z bibliotekami zewnętrznymi umożliwia wielowymiarowe mapowanie behawioralne w czasie rzeczywistym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klatkowanie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co 30 klatek dla wideo 30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fps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217026" w:rsidRPr="00217026" w:rsidRDefault="00217026" w:rsidP="009F7CEB">
      <w:pPr>
        <w:spacing w:before="100" w:beforeAutospacing="1" w:after="12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DeepFace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: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naliza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mocjonalna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Wykorzystuje wagowany model VGG do precyzyjnej klasyfikacji 7 stanów emocjonalnych. Funkcja </w:t>
      </w:r>
      <w:proofErr w:type="spellStart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DeepFace.analyze</w:t>
      </w:r>
      <w:proofErr w:type="spellEnd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()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zwraca sumę prawdopodobieństw, co pozwala na ilościową ocenę intensywności afektu (np. identyfikacja "płaskiego afektu" w depresji).</w:t>
      </w:r>
    </w:p>
    <w:p w:rsidR="00217026" w:rsidRPr="00217026" w:rsidRDefault="00217026" w:rsidP="009F7CEB">
      <w:pPr>
        <w:spacing w:before="100" w:beforeAutospacing="1" w:after="12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MediaPipe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: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iomarkery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liniczne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Moduł Hand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Tracking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śledzi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21 punktów charakterystycznych dłoni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(precyzja &gt;95%). Kluczowe wskaźniki obliczane przez system to:</w:t>
      </w:r>
    </w:p>
    <w:p w:rsidR="00217026" w:rsidRPr="00217026" w:rsidRDefault="00217026" w:rsidP="009F7CEB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EAR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Eye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Aspect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Ratio):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Marker lęku (częstotliwość mrugania &gt;20/min) lub depresji i zmęczenia (EAR &lt; 0.2 przez ponad 0.5 s).</w:t>
      </w:r>
    </w:p>
    <w:p w:rsidR="00217026" w:rsidRPr="00217026" w:rsidRDefault="00217026" w:rsidP="009F7CEB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MAR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Mouth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Aspect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Ratio):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Wykrywanie ziewania (zmęczenie) lub nadmiernego otwarcia ust jako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biomarkera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hiperwygilancji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PTSD.</w:t>
      </w:r>
    </w:p>
    <w:p w:rsidR="00217026" w:rsidRPr="00217026" w:rsidRDefault="00217026" w:rsidP="009F7CEB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HPE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Head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Pose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Estimation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Estymacja kątów rotacji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Yaw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Pitch,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Roll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do mierzenia zaangażowania społecznego w terapii ASD.</w:t>
      </w:r>
    </w:p>
    <w:p w:rsidR="00217026" w:rsidRPr="00217026" w:rsidRDefault="00217026" w:rsidP="009F7CEB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Wykrywanie RRP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Restricted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Repetitive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Patterns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Automatyczna identyfikacja ruchów stereotypowych, takich jak "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arm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flapping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 (machanie rękami) czy kołysanie się, poprzez analizę współrzędnych X-Y nadgarstków i stawów.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217026" w:rsidRPr="00217026" w:rsidRDefault="00217026" w:rsidP="009F7CEB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5. Parametry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reningowe i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etryki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ydajności</w:t>
      </w:r>
    </w:p>
    <w:p w:rsidR="00217026" w:rsidRPr="00217026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Proces uczenia wykorzystuje optymalizator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Adam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(LR=0.0001) oraz funkcję straty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categorical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cross-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entropy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. Zastosowano rygorystyczne mechanizmy kontrolne: </w:t>
      </w:r>
      <w:proofErr w:type="spellStart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EarlyStopping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(zatrzymanie po 3 epokach bez poprawy i 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przywrócenie najlepszych wag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oraz </w:t>
      </w:r>
      <w:proofErr w:type="spellStart"/>
      <w:r w:rsidRPr="00217026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ReduceLROnPlateau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(redukcja LR o współczynnik 0.2).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Zestawienie wyników:</w:t>
      </w:r>
    </w:p>
    <w:p w:rsidR="00217026" w:rsidRPr="00217026" w:rsidRDefault="00217026" w:rsidP="009F7CEB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Training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94.33%</w:t>
      </w:r>
    </w:p>
    <w:p w:rsidR="00217026" w:rsidRPr="00217026" w:rsidRDefault="00217026" w:rsidP="009F7CEB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Validation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 95.76%</w:t>
      </w:r>
    </w:p>
    <w:p w:rsidR="00217026" w:rsidRPr="00217026" w:rsidRDefault="00217026" w:rsidP="009F7CEB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Analiza </w:t>
      </w:r>
      <w:r w:rsidR="009F7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orównawcza (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:rsidR="00217026" w:rsidRPr="00217026" w:rsidRDefault="00217026" w:rsidP="009F7CEB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Model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Hybrydowy</w:t>
      </w:r>
      <w:proofErr w:type="spellEnd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VGG-Transformer (RAF-DB): 95.76%</w:t>
      </w:r>
    </w:p>
    <w:p w:rsidR="00217026" w:rsidRPr="00217026" w:rsidRDefault="00217026" w:rsidP="009F7CEB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VGG16 (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ImageNet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): 92.7% (</w:t>
      </w:r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Top-5 </w:t>
      </w:r>
      <w:proofErr w:type="spellStart"/>
      <w:r w:rsidRPr="002170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</w:t>
      </w:r>
    </w:p>
    <w:p w:rsidR="00217026" w:rsidRPr="00217026" w:rsidRDefault="00217026" w:rsidP="009F7CEB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SE-</w:t>
      </w: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Resnet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(RAF-DB): 83.37%</w:t>
      </w:r>
    </w:p>
    <w:p w:rsidR="00217026" w:rsidRPr="00217026" w:rsidRDefault="00217026" w:rsidP="009F7CEB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Transformers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YOLOv8: 81%</w:t>
      </w:r>
    </w:p>
    <w:p w:rsidR="00217026" w:rsidRPr="00217026" w:rsidRDefault="00217026" w:rsidP="009F7CEB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MediaPipe</w:t>
      </w:r>
      <w:proofErr w:type="spellEnd"/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(ruch w czasie rzeczywistym): 97.67%</w:t>
      </w:r>
    </w:p>
    <w:p w:rsidR="002B0DD0" w:rsidRPr="009F7CEB" w:rsidRDefault="00217026" w:rsidP="009F7CEB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170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Wysokie wyniki walidacyjne potwierdzają, że model nie tylko uczy się wzorców, ale wykazuje wysoką zdolność generalizacji, co jest niezbędne w klinicznym wspieraniu decyzji.</w:t>
      </w:r>
    </w:p>
    <w:sectPr w:rsidR="002B0DD0" w:rsidRPr="009F7CEB" w:rsidSect="00217026">
      <w:footerReference w:type="default" r:id="rId7"/>
      <w:pgSz w:w="11906" w:h="16838"/>
      <w:pgMar w:top="851" w:right="1417" w:bottom="993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FA4" w:rsidRDefault="00184FA4" w:rsidP="00217026">
      <w:pPr>
        <w:spacing w:after="0" w:line="240" w:lineRule="auto"/>
      </w:pPr>
      <w:r>
        <w:separator/>
      </w:r>
    </w:p>
  </w:endnote>
  <w:endnote w:type="continuationSeparator" w:id="0">
    <w:p w:rsidR="00184FA4" w:rsidRDefault="00184FA4" w:rsidP="00217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6970861"/>
      <w:docPartObj>
        <w:docPartGallery w:val="Page Numbers (Bottom of Page)"/>
        <w:docPartUnique/>
      </w:docPartObj>
    </w:sdtPr>
    <w:sdtContent>
      <w:p w:rsidR="00217026" w:rsidRDefault="00217026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7CEB">
          <w:rPr>
            <w:noProof/>
          </w:rPr>
          <w:t>3</w:t>
        </w:r>
        <w:r>
          <w:fldChar w:fldCharType="end"/>
        </w:r>
      </w:p>
    </w:sdtContent>
  </w:sdt>
  <w:p w:rsidR="00217026" w:rsidRDefault="0021702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FA4" w:rsidRDefault="00184FA4" w:rsidP="00217026">
      <w:pPr>
        <w:spacing w:after="0" w:line="240" w:lineRule="auto"/>
      </w:pPr>
      <w:r>
        <w:separator/>
      </w:r>
    </w:p>
  </w:footnote>
  <w:footnote w:type="continuationSeparator" w:id="0">
    <w:p w:rsidR="00184FA4" w:rsidRDefault="00184FA4" w:rsidP="00217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E17C8"/>
    <w:multiLevelType w:val="multilevel"/>
    <w:tmpl w:val="044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6D7E"/>
    <w:multiLevelType w:val="multilevel"/>
    <w:tmpl w:val="85A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93550"/>
    <w:multiLevelType w:val="multilevel"/>
    <w:tmpl w:val="057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72ADF"/>
    <w:multiLevelType w:val="multilevel"/>
    <w:tmpl w:val="B68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A4E6D"/>
    <w:multiLevelType w:val="multilevel"/>
    <w:tmpl w:val="E472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C30"/>
    <w:rsid w:val="000F7B1C"/>
    <w:rsid w:val="00184FA4"/>
    <w:rsid w:val="00217026"/>
    <w:rsid w:val="002B0DD0"/>
    <w:rsid w:val="00320C30"/>
    <w:rsid w:val="00514A8E"/>
    <w:rsid w:val="007D2599"/>
    <w:rsid w:val="009B3166"/>
    <w:rsid w:val="009F7CEB"/>
    <w:rsid w:val="00D3603C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B160F"/>
  <w14:defaultImageDpi w14:val="330"/>
  <w15:chartTrackingRefBased/>
  <w15:docId w15:val="{FEB53B9D-9208-4BF2-9932-63CCB39C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next w:val="Normalny"/>
    <w:link w:val="Nagwek2Znak"/>
    <w:autoRedefine/>
    <w:uiPriority w:val="9"/>
    <w:unhideWhenUsed/>
    <w:qFormat/>
    <w:rsid w:val="009F7CEB"/>
    <w:pPr>
      <w:spacing w:before="360" w:after="240" w:line="276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7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217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agwek4">
    <w:name w:val="heading 4"/>
    <w:basedOn w:val="Normalny"/>
    <w:link w:val="Nagwek4Znak"/>
    <w:uiPriority w:val="9"/>
    <w:qFormat/>
    <w:rsid w:val="002170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217026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rsid w:val="00217026"/>
    <w:rPr>
      <w:rFonts w:ascii="Times New Roman" w:eastAsia="Times New Roman" w:hAnsi="Times New Roman" w:cs="Times New Roman"/>
      <w:b/>
      <w:bCs/>
      <w:kern w:val="0"/>
      <w:sz w:val="24"/>
      <w:szCs w:val="24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217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217026"/>
    <w:rPr>
      <w:rFonts w:ascii="Courier New" w:eastAsia="Times New Roman" w:hAnsi="Courier New" w:cs="Courier New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217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17026"/>
  </w:style>
  <w:style w:type="paragraph" w:styleId="Stopka">
    <w:name w:val="footer"/>
    <w:basedOn w:val="Normalny"/>
    <w:link w:val="StopkaZnak"/>
    <w:uiPriority w:val="99"/>
    <w:unhideWhenUsed/>
    <w:rsid w:val="00217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17026"/>
  </w:style>
  <w:style w:type="character" w:customStyle="1" w:styleId="Nagwek2Znak">
    <w:name w:val="Nagłówek 2 Znak"/>
    <w:basedOn w:val="Domylnaczcionkaakapitu"/>
    <w:link w:val="Nagwek2"/>
    <w:uiPriority w:val="9"/>
    <w:rsid w:val="009F7CEB"/>
    <w:rPr>
      <w:rFonts w:ascii="Times New Roman" w:eastAsia="Times New Roman" w:hAnsi="Times New Roman" w:cs="Times New Roman"/>
      <w:b/>
      <w:bCs/>
      <w:kern w:val="0"/>
      <w:sz w:val="28"/>
      <w:szCs w:val="27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3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857</Words>
  <Characters>5146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3</cp:revision>
  <dcterms:created xsi:type="dcterms:W3CDTF">2026-02-22T17:44:00Z</dcterms:created>
  <dcterms:modified xsi:type="dcterms:W3CDTF">2026-02-22T17:49:00Z</dcterms:modified>
</cp:coreProperties>
</file>