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648" w:rsidRDefault="002158A6">
      <w:pPr>
        <w:spacing w:before="1100"/>
      </w:pPr>
      <w:r>
        <w:rPr>
          <w:b/>
          <w:color w:val="0B7184"/>
          <w:sz w:val="22"/>
        </w:rPr>
        <w:t>RAPORT NAUKOWY   |   2026</w:t>
      </w:r>
    </w:p>
    <w:p w:rsidR="00FE4648" w:rsidRDefault="00667DDD">
      <w:pPr>
        <w:pStyle w:val="Tytu"/>
      </w:pPr>
      <w:r>
        <w:t>Elektroencefalografia, qEEG</w:t>
      </w:r>
      <w:r w:rsidR="00EC1CA4">
        <w:t xml:space="preserve"> i </w:t>
      </w:r>
      <w:r w:rsidR="002158A6">
        <w:t xml:space="preserve">potencjały </w:t>
      </w:r>
      <w:r w:rsidR="002158A6">
        <w:t>(ERP)</w:t>
      </w:r>
    </w:p>
    <w:p w:rsidR="00FE4648" w:rsidRPr="00667DDD" w:rsidRDefault="002158A6">
      <w:pPr>
        <w:rPr>
          <w:sz w:val="16"/>
        </w:rPr>
      </w:pPr>
      <w:r w:rsidRPr="00667DDD">
        <w:rPr>
          <w:color w:val="536574"/>
          <w:sz w:val="24"/>
        </w:rPr>
        <w:t>Podstawy neurofizjologiczne, metody analizy</w:t>
      </w:r>
      <w:r w:rsidR="00EC1CA4">
        <w:rPr>
          <w:color w:val="536574"/>
          <w:sz w:val="24"/>
        </w:rPr>
        <w:t xml:space="preserve"> </w:t>
      </w:r>
      <w:r w:rsidR="00EC1CA4" w:rsidRPr="00667DDD">
        <w:rPr>
          <w:color w:val="536574"/>
          <w:sz w:val="24"/>
        </w:rPr>
        <w:t>i</w:t>
      </w:r>
      <w:r w:rsidR="00EC1CA4">
        <w:rPr>
          <w:color w:val="536574"/>
          <w:sz w:val="24"/>
        </w:rPr>
        <w:t> </w:t>
      </w:r>
      <w:r w:rsidRPr="00667DDD">
        <w:rPr>
          <w:color w:val="536574"/>
          <w:sz w:val="24"/>
        </w:rPr>
        <w:t>wartość diagnostyczna</w:t>
      </w:r>
      <w:r w:rsidR="00EC1CA4">
        <w:rPr>
          <w:color w:val="536574"/>
          <w:sz w:val="24"/>
        </w:rPr>
        <w:t xml:space="preserve"> </w:t>
      </w:r>
      <w:r w:rsidR="00EC1CA4" w:rsidRPr="00667DDD">
        <w:rPr>
          <w:color w:val="536574"/>
          <w:sz w:val="24"/>
        </w:rPr>
        <w:t>w</w:t>
      </w:r>
      <w:r w:rsidR="00EC1CA4">
        <w:rPr>
          <w:color w:val="536574"/>
          <w:sz w:val="24"/>
        </w:rPr>
        <w:t> </w:t>
      </w:r>
      <w:r w:rsidRPr="00667DDD">
        <w:rPr>
          <w:color w:val="536574"/>
          <w:sz w:val="24"/>
        </w:rPr>
        <w:t>neurologii, psychiatrii oraz neuropsychologii</w:t>
      </w:r>
    </w:p>
    <w:p w:rsidR="00FE4648" w:rsidRDefault="002158A6">
      <w:pPr>
        <w:pStyle w:val="Nagwek1"/>
      </w:pPr>
      <w:r>
        <w:t>Streszczenie</w:t>
      </w:r>
    </w:p>
    <w:p w:rsidR="00FE4648" w:rsidRDefault="00DA14FD" w:rsidP="00667DDD">
      <w:pPr>
        <w:jc w:val="both"/>
      </w:pPr>
      <w:r>
        <w:t>K</w:t>
      </w:r>
      <w:r w:rsidR="002158A6">
        <w:t>rytyczne ujęcie elektroencefalografii (EEG),</w:t>
      </w:r>
      <w:r w:rsidR="002158A6">
        <w:t xml:space="preserve"> analizy ilościowej EEG (qEEG) oraz potencjałów wywołanych</w:t>
      </w:r>
      <w:r w:rsidR="00EC1CA4">
        <w:t xml:space="preserve"> i </w:t>
      </w:r>
      <w:r w:rsidR="002158A6">
        <w:t>związanych</w:t>
      </w:r>
      <w:r w:rsidR="00EC1CA4">
        <w:t xml:space="preserve"> ze </w:t>
      </w:r>
      <w:r w:rsidR="002158A6">
        <w:t>zdarzeniem (EP/ERP), łączące podstawy</w:t>
      </w:r>
      <w:bookmarkStart w:id="0" w:name="_GoBack"/>
      <w:bookmarkEnd w:id="0"/>
      <w:r w:rsidR="002158A6">
        <w:t xml:space="preserve"> neurofizjologiczne, metodykę eksperymentalną</w:t>
      </w:r>
      <w:r w:rsidR="00EC1CA4">
        <w:t xml:space="preserve"> i </w:t>
      </w:r>
      <w:r w:rsidR="002158A6">
        <w:t>ocenę przydatności klinicznej.</w:t>
      </w:r>
      <w:r w:rsidR="00667DDD">
        <w:t xml:space="preserve"> </w:t>
      </w:r>
      <w:r w:rsidR="002158A6" w:rsidRPr="00667DDD">
        <w:t>Dokonano syntezy narracyjnej trzech dostarczon</w:t>
      </w:r>
      <w:r w:rsidR="002158A6" w:rsidRPr="00667DDD">
        <w:t>ych dokumentów: obszernego kompendium EEG/ERP, jego skróconej wersji oraz raportu dotyczącego EEG/qEEG</w:t>
      </w:r>
      <w:r w:rsidR="00EC1CA4">
        <w:t xml:space="preserve"> </w:t>
      </w:r>
      <w:r w:rsidR="00EC1CA4" w:rsidRPr="00667DDD">
        <w:t>w</w:t>
      </w:r>
      <w:r w:rsidR="00EC1CA4">
        <w:t> </w:t>
      </w:r>
      <w:r w:rsidR="002158A6" w:rsidRPr="00667DDD">
        <w:t>diagnostyce klinicznej. Usunięto powtórzenia</w:t>
      </w:r>
      <w:r w:rsidR="00EC1CA4">
        <w:t xml:space="preserve"> </w:t>
      </w:r>
      <w:r w:rsidR="00EC1CA4" w:rsidRPr="00667DDD">
        <w:t>i</w:t>
      </w:r>
      <w:r w:rsidR="00EC1CA4">
        <w:t> </w:t>
      </w:r>
      <w:r w:rsidR="002158A6" w:rsidRPr="00667DDD">
        <w:t>błędy redakcyjne. Wybrane źródła pierwotne, zalecenia towarzystw</w:t>
      </w:r>
      <w:r w:rsidR="00EC1CA4">
        <w:t xml:space="preserve"> </w:t>
      </w:r>
      <w:r w:rsidR="00EC1CA4" w:rsidRPr="00667DDD">
        <w:t>i</w:t>
      </w:r>
      <w:r w:rsidR="00EC1CA4">
        <w:t> </w:t>
      </w:r>
      <w:r w:rsidR="002158A6" w:rsidRPr="00667DDD">
        <w:t>metaanalizy zweryfikowano</w:t>
      </w:r>
      <w:r w:rsidR="00EC1CA4">
        <w:t xml:space="preserve"> </w:t>
      </w:r>
      <w:r w:rsidR="00EC1CA4" w:rsidRPr="00667DDD">
        <w:t>w</w:t>
      </w:r>
      <w:r w:rsidR="00EC1CA4">
        <w:t> </w:t>
      </w:r>
      <w:r w:rsidR="002158A6" w:rsidRPr="00667DDD">
        <w:t>publikacj</w:t>
      </w:r>
      <w:r w:rsidR="002158A6" w:rsidRPr="00667DDD">
        <w:t>ach oryginalnych. Nie przeprowadzono nowej systematycznej kwerendy ani własnej metaanalizy.</w:t>
      </w:r>
      <w:r w:rsidR="00667DDD">
        <w:t xml:space="preserve"> </w:t>
      </w:r>
      <w:r w:rsidR="002158A6" w:rsidRPr="00667DDD">
        <w:t>Kluczowym atutem EEG/ERP jest rozdzielczość czasowa rzędu milisekund. Rytmy spektralne, topografie, wskaźniki łączności, mikrostany</w:t>
      </w:r>
      <w:r w:rsidR="00EC1CA4">
        <w:t xml:space="preserve"> </w:t>
      </w:r>
      <w:r w:rsidR="00EC1CA4" w:rsidRPr="00667DDD">
        <w:t>i</w:t>
      </w:r>
      <w:r w:rsidR="00EC1CA4">
        <w:t> </w:t>
      </w:r>
      <w:r w:rsidR="002158A6" w:rsidRPr="00667DDD">
        <w:t>komponenty ERP opisują</w:t>
      </w:r>
      <w:r w:rsidR="002158A6" w:rsidRPr="00667DDD">
        <w:t xml:space="preserve"> procesy neurofizjologiczne, lecz</w:t>
      </w:r>
      <w:r w:rsidR="00EC1CA4">
        <w:t xml:space="preserve"> </w:t>
      </w:r>
      <w:r w:rsidR="00EC1CA4" w:rsidRPr="00667DDD">
        <w:t>są</w:t>
      </w:r>
      <w:r w:rsidR="00EC1CA4">
        <w:t> </w:t>
      </w:r>
      <w:r w:rsidR="002158A6" w:rsidRPr="00667DDD">
        <w:t>podatne</w:t>
      </w:r>
      <w:r w:rsidR="00EC1CA4">
        <w:t xml:space="preserve"> </w:t>
      </w:r>
      <w:r w:rsidR="00EC1CA4" w:rsidRPr="00667DDD">
        <w:t>na</w:t>
      </w:r>
      <w:r w:rsidR="00EC1CA4">
        <w:t> </w:t>
      </w:r>
      <w:r w:rsidR="002158A6" w:rsidRPr="00667DDD">
        <w:t>artefakty, stan czuwania, dobór referencji</w:t>
      </w:r>
      <w:r w:rsidR="00EC1CA4">
        <w:t xml:space="preserve"> </w:t>
      </w:r>
      <w:r w:rsidR="00EC1CA4" w:rsidRPr="00667DDD">
        <w:t>i</w:t>
      </w:r>
      <w:r w:rsidR="00EC1CA4">
        <w:t> </w:t>
      </w:r>
      <w:r w:rsidR="002158A6" w:rsidRPr="00667DDD">
        <w:t>heterogeniczność kliniczną.</w:t>
      </w:r>
      <w:r w:rsidR="00EC1CA4">
        <w:t xml:space="preserve"> </w:t>
      </w:r>
      <w:r w:rsidR="00EC1CA4" w:rsidRPr="00667DDD">
        <w:t>W</w:t>
      </w:r>
      <w:r w:rsidR="00EC1CA4">
        <w:t> </w:t>
      </w:r>
      <w:r w:rsidR="002158A6" w:rsidRPr="00667DDD">
        <w:t>padaczce, wybranych encefalopatiach oraz diagnostyce snu EEG pełni istotną rolę pomocniczą.</w:t>
      </w:r>
      <w:r w:rsidR="00EC1CA4">
        <w:t xml:space="preserve"> </w:t>
      </w:r>
      <w:r w:rsidR="00EC1CA4" w:rsidRPr="00667DDD">
        <w:t>W</w:t>
      </w:r>
      <w:r w:rsidR="00EC1CA4">
        <w:t> </w:t>
      </w:r>
      <w:r w:rsidR="002158A6" w:rsidRPr="00667DDD">
        <w:t>ADHD, ASD, depresji, schizofrenii, zabu</w:t>
      </w:r>
      <w:r w:rsidR="002158A6" w:rsidRPr="00667DDD">
        <w:t>rzeniach lękowych, chorobie afektywnej dwubiegunowej</w:t>
      </w:r>
      <w:r w:rsidR="00EC1CA4">
        <w:t xml:space="preserve"> </w:t>
      </w:r>
      <w:r w:rsidR="00EC1CA4" w:rsidRPr="00667DDD">
        <w:t>i</w:t>
      </w:r>
      <w:r w:rsidR="00EC1CA4">
        <w:t> </w:t>
      </w:r>
      <w:r w:rsidR="002158A6" w:rsidRPr="00667DDD">
        <w:t>PTSD cechy qEEG/ERP</w:t>
      </w:r>
      <w:r w:rsidR="00EC1CA4">
        <w:t xml:space="preserve"> </w:t>
      </w:r>
      <w:r w:rsidR="00EC1CA4" w:rsidRPr="00667DDD">
        <w:t>są</w:t>
      </w:r>
      <w:r w:rsidR="00EC1CA4">
        <w:t> </w:t>
      </w:r>
      <w:r w:rsidR="002158A6" w:rsidRPr="00667DDD">
        <w:t>przede wszystkim markerami grupowymi. Nieliczne korzystne wyniki klasyfikatorów</w:t>
      </w:r>
      <w:r w:rsidR="00EC1CA4">
        <w:t xml:space="preserve"> </w:t>
      </w:r>
      <w:r w:rsidR="00EC1CA4" w:rsidRPr="00667DDD">
        <w:t>AI</w:t>
      </w:r>
      <w:r w:rsidR="00EC1CA4">
        <w:t> </w:t>
      </w:r>
      <w:r w:rsidR="002158A6" w:rsidRPr="00667DDD">
        <w:t>nie stanowią walidacji klinicznej bez niezależnego testu</w:t>
      </w:r>
      <w:r w:rsidR="00EC1CA4">
        <w:t xml:space="preserve"> </w:t>
      </w:r>
      <w:r w:rsidR="00EC1CA4" w:rsidRPr="00667DDD">
        <w:t>na</w:t>
      </w:r>
      <w:r w:rsidR="00EC1CA4">
        <w:t> </w:t>
      </w:r>
      <w:r w:rsidR="002158A6" w:rsidRPr="00667DDD">
        <w:t>nowych pacjentach.</w:t>
      </w:r>
      <w:r w:rsidR="00EC1CA4">
        <w:t xml:space="preserve"> W </w:t>
      </w:r>
      <w:r w:rsidR="002158A6">
        <w:t>prakt</w:t>
      </w:r>
      <w:r w:rsidR="002158A6">
        <w:t>yce należy rozróżniać wskazanie</w:t>
      </w:r>
      <w:r w:rsidR="00EC1CA4">
        <w:t xml:space="preserve"> do </w:t>
      </w:r>
      <w:r w:rsidR="002158A6">
        <w:t>rejestracji klinicznego EEG, ilościową charakterystykę zapisu oraz użycie biomarkera</w:t>
      </w:r>
      <w:r w:rsidR="00EC1CA4">
        <w:t xml:space="preserve"> do </w:t>
      </w:r>
      <w:r w:rsidR="002158A6">
        <w:t>rozpoznawania choroby. Proponuje się jednolity schemat akwizycji, kontroli jakości, analizy statystycznej</w:t>
      </w:r>
      <w:r w:rsidR="00EC1CA4">
        <w:t xml:space="preserve"> i </w:t>
      </w:r>
      <w:r w:rsidR="002158A6">
        <w:t>raportowania,</w:t>
      </w:r>
      <w:r w:rsidR="00EC1CA4">
        <w:t xml:space="preserve"> z </w:t>
      </w:r>
      <w:r w:rsidR="002158A6">
        <w:t>priorytet</w:t>
      </w:r>
      <w:r w:rsidR="002158A6">
        <w:t>em dla walidacji zewnętrznej</w:t>
      </w:r>
      <w:r w:rsidR="00EC1CA4">
        <w:t xml:space="preserve"> i </w:t>
      </w:r>
      <w:r w:rsidR="002158A6">
        <w:t>ostrożnej komunikacji wyników.</w:t>
      </w:r>
    </w:p>
    <w:p w:rsidR="00FE4648" w:rsidRDefault="002158A6">
      <w:r>
        <w:rPr>
          <w:i/>
        </w:rPr>
        <w:t>Słowa kluczowe: EEG; qEEG; ERP; P300; N200; MMN; VEP; biomarkery; neuropsychologia; walidacja kliniczna.</w:t>
      </w:r>
    </w:p>
    <w:p w:rsidR="00FE4648" w:rsidRDefault="002158A6">
      <w:pPr>
        <w:pStyle w:val="Nagwek2"/>
      </w:pPr>
      <w:r>
        <w:t>Układ raportu</w:t>
      </w:r>
    </w:p>
    <w:p w:rsidR="00FE4648" w:rsidRDefault="002158A6">
      <w:pPr>
        <w:pStyle w:val="Source"/>
        <w:spacing w:after="40"/>
      </w:pPr>
      <w:r>
        <w:t>1. Zakres</w:t>
      </w:r>
      <w:r w:rsidR="00EC1CA4">
        <w:t xml:space="preserve"> i </w:t>
      </w:r>
      <w:r>
        <w:t>metodologia syntezy    2. Neurofizjologiczne podstawy EEG</w:t>
      </w:r>
    </w:p>
    <w:p w:rsidR="00FE4648" w:rsidRDefault="002158A6">
      <w:pPr>
        <w:pStyle w:val="Source"/>
        <w:spacing w:after="40"/>
      </w:pPr>
      <w:r>
        <w:t>3. qE</w:t>
      </w:r>
      <w:r>
        <w:t>EG</w:t>
      </w:r>
      <w:r w:rsidR="00EC1CA4">
        <w:t xml:space="preserve"> i </w:t>
      </w:r>
      <w:r>
        <w:t>ilościowe cechy sygnału    4. Potencjały wywołane</w:t>
      </w:r>
      <w:r w:rsidR="00EC1CA4">
        <w:t xml:space="preserve"> i </w:t>
      </w:r>
      <w:r>
        <w:t>ERP</w:t>
      </w:r>
    </w:p>
    <w:p w:rsidR="00FE4648" w:rsidRDefault="002158A6">
      <w:pPr>
        <w:pStyle w:val="Source"/>
        <w:spacing w:after="40"/>
      </w:pPr>
      <w:r>
        <w:t>5. Metodologia badań ERP    6. Zastosowania kliniczne EEG</w:t>
      </w:r>
    </w:p>
    <w:p w:rsidR="00FE4648" w:rsidRDefault="002158A6">
      <w:pPr>
        <w:pStyle w:val="Source"/>
        <w:spacing w:after="40"/>
      </w:pPr>
      <w:r>
        <w:t>7. Biomarkery psychiatryczne    8. Pozostałe wskazania</w:t>
      </w:r>
      <w:r w:rsidR="00EC1CA4">
        <w:t xml:space="preserve"> i </w:t>
      </w:r>
      <w:r>
        <w:t>diagnostyka różnicowa</w:t>
      </w:r>
    </w:p>
    <w:p w:rsidR="00FE4648" w:rsidRDefault="002158A6">
      <w:pPr>
        <w:pStyle w:val="Source"/>
        <w:spacing w:after="40"/>
      </w:pPr>
      <w:r>
        <w:t>9. Macierz dowodów    10. Standard akwizycji</w:t>
      </w:r>
      <w:r w:rsidR="00EC1CA4">
        <w:t xml:space="preserve"> i </w:t>
      </w:r>
      <w:r>
        <w:t>analizy</w:t>
      </w:r>
    </w:p>
    <w:p w:rsidR="00FE4648" w:rsidRDefault="002158A6">
      <w:pPr>
        <w:pStyle w:val="Source"/>
        <w:spacing w:after="40"/>
      </w:pPr>
      <w:r>
        <w:t>11.</w:t>
      </w:r>
      <w:r w:rsidR="00EC1CA4">
        <w:t xml:space="preserve"> AI i </w:t>
      </w:r>
      <w:r>
        <w:t>walidacja    12. Decyzje kliniczne</w:t>
      </w:r>
      <w:r w:rsidR="00EC1CA4">
        <w:t xml:space="preserve"> i </w:t>
      </w:r>
      <w:r>
        <w:t>etyka    13. Program badań</w:t>
      </w:r>
    </w:p>
    <w:p w:rsidR="00FE4648" w:rsidRDefault="002158A6">
      <w:pPr>
        <w:pStyle w:val="Source"/>
        <w:spacing w:after="40"/>
      </w:pPr>
      <w:r>
        <w:t>14. Wnioski    Bibliografia    Aneks źródłowy</w:t>
      </w:r>
    </w:p>
    <w:p w:rsidR="00FE4648" w:rsidRDefault="00FE4648"/>
    <w:p w:rsidR="00FE4648" w:rsidRDefault="002158A6">
      <w:pPr>
        <w:pStyle w:val="Nagwek1"/>
      </w:pPr>
      <w:r>
        <w:t>1. Zakres</w:t>
      </w:r>
      <w:r w:rsidR="00EC1CA4">
        <w:t xml:space="preserve"> i </w:t>
      </w:r>
      <w:r>
        <w:t>metodologia syntezy</w:t>
      </w:r>
    </w:p>
    <w:p w:rsidR="00FE4648" w:rsidRDefault="002158A6" w:rsidP="00DA14FD">
      <w:pPr>
        <w:jc w:val="both"/>
      </w:pPr>
      <w:r>
        <w:t>Przedmiotem raportu jest nieinwazyjny pomiar aktywności elektrycznej mózgu oraz jego interpretacja</w:t>
      </w:r>
      <w:r w:rsidR="00EC1CA4">
        <w:t xml:space="preserve"> w </w:t>
      </w:r>
      <w:r>
        <w:t>dwóch</w:t>
      </w:r>
      <w:r>
        <w:t xml:space="preserve"> porządkach: (1) neurofizjologicznym</w:t>
      </w:r>
      <w:r w:rsidR="00EC1CA4">
        <w:t xml:space="preserve"> i </w:t>
      </w:r>
      <w:r>
        <w:t>eksperymentalnym oraz (2) diagnostyczno-klinicznym. Materiały „eeg.docx”</w:t>
      </w:r>
      <w:r w:rsidR="00EC1CA4">
        <w:t xml:space="preserve"> i </w:t>
      </w:r>
      <w:r>
        <w:t>„eeg mini.docx”</w:t>
      </w:r>
      <w:r w:rsidR="00EC1CA4">
        <w:t xml:space="preserve"> w </w:t>
      </w:r>
      <w:r>
        <w:t>znacznej części powielają fragmenty omówienia potencjałów wywołanych</w:t>
      </w:r>
      <w:r w:rsidR="00EC1CA4">
        <w:t xml:space="preserve"> i </w:t>
      </w:r>
      <w:r>
        <w:t>przeglądów komponentów N200/P300. Dokument „EEG</w:t>
      </w:r>
      <w:r w:rsidR="00EC1CA4">
        <w:t xml:space="preserve"> i </w:t>
      </w:r>
      <w:r>
        <w:t>qEE</w:t>
      </w:r>
      <w:r>
        <w:t>G</w:t>
      </w:r>
      <w:r w:rsidR="00EC1CA4">
        <w:t xml:space="preserve"> w </w:t>
      </w:r>
      <w:r>
        <w:t>diagnostyce klinicznej.docx” wnosi odrębną ocenę dowodów</w:t>
      </w:r>
      <w:r w:rsidR="00EC1CA4">
        <w:t xml:space="preserve"> w </w:t>
      </w:r>
      <w:r>
        <w:t xml:space="preserve">poszczególnych zaburzeniach, tabelę markerów oraz </w:t>
      </w:r>
      <w:r>
        <w:lastRenderedPageBreak/>
        <w:t>standardy techniczne. Fragmenty współdzielone ujęto jeden raz,</w:t>
      </w:r>
      <w:r w:rsidR="00EC1CA4">
        <w:t xml:space="preserve"> a </w:t>
      </w:r>
      <w:r>
        <w:t>materiał kliniczny zachowano jako podstawę krytycznej oceny zastosowań.</w:t>
      </w:r>
    </w:p>
    <w:p w:rsidR="00FE4648" w:rsidRDefault="002158A6">
      <w:pPr>
        <w:pStyle w:val="Nagwek2"/>
      </w:pPr>
      <w:r>
        <w:t>1.1. Poziomy interpretacji</w:t>
      </w:r>
    </w:p>
    <w:tbl>
      <w:tblPr>
        <w:tblStyle w:val="Tabela-Siatk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891"/>
        <w:gridCol w:w="5159"/>
      </w:tblGrid>
      <w:tr w:rsidR="00FE4648">
        <w:trPr>
          <w:tblHeader/>
          <w:jc w:val="center"/>
        </w:trPr>
        <w:tc>
          <w:tcPr>
            <w:tcW w:w="1474" w:type="dxa"/>
            <w:shd w:val="clear" w:color="auto" w:fill="183047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FE4648" w:rsidRDefault="002158A6">
            <w:pPr>
              <w:spacing w:after="0"/>
            </w:pPr>
            <w:r>
              <w:rPr>
                <w:b/>
                <w:color w:val="FFFFFF"/>
                <w:sz w:val="17"/>
              </w:rPr>
              <w:t>Poziom</w:t>
            </w:r>
          </w:p>
        </w:tc>
        <w:tc>
          <w:tcPr>
            <w:tcW w:w="2891" w:type="dxa"/>
            <w:shd w:val="clear" w:color="auto" w:fill="183047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FE4648" w:rsidRDefault="002158A6">
            <w:pPr>
              <w:spacing w:after="0"/>
            </w:pPr>
            <w:r>
              <w:rPr>
                <w:b/>
                <w:color w:val="FFFFFF"/>
                <w:sz w:val="17"/>
              </w:rPr>
              <w:t>Pytanie</w:t>
            </w:r>
          </w:p>
        </w:tc>
        <w:tc>
          <w:tcPr>
            <w:tcW w:w="5159" w:type="dxa"/>
            <w:shd w:val="clear" w:color="auto" w:fill="183047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FE4648" w:rsidRDefault="002158A6">
            <w:pPr>
              <w:spacing w:after="0"/>
            </w:pPr>
            <w:r>
              <w:rPr>
                <w:b/>
                <w:color w:val="FFFFFF"/>
                <w:sz w:val="17"/>
              </w:rPr>
              <w:t>Uprawniony wniosek</w:t>
            </w:r>
          </w:p>
        </w:tc>
      </w:tr>
      <w:tr w:rsidR="00FE4648">
        <w:trPr>
          <w:jc w:val="center"/>
        </w:trPr>
        <w:tc>
          <w:tcPr>
            <w:tcW w:w="1474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Obserwacja</w:t>
            </w:r>
          </w:p>
        </w:tc>
        <w:tc>
          <w:tcPr>
            <w:tcW w:w="2891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Co występuje</w:t>
            </w:r>
            <w:r w:rsidR="00EC1CA4">
              <w:rPr>
                <w:sz w:val="17"/>
              </w:rPr>
              <w:t xml:space="preserve"> w </w:t>
            </w:r>
            <w:r>
              <w:rPr>
                <w:sz w:val="17"/>
              </w:rPr>
              <w:t>zapisie?</w:t>
            </w:r>
          </w:p>
        </w:tc>
        <w:tc>
          <w:tcPr>
            <w:tcW w:w="5159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Obecność rytmu, wyładowania, komponentu ERP albo określonej cechy ilościowej.</w:t>
            </w:r>
          </w:p>
        </w:tc>
      </w:tr>
      <w:tr w:rsidR="00FE4648">
        <w:trPr>
          <w:jc w:val="center"/>
        </w:trPr>
        <w:tc>
          <w:tcPr>
            <w:tcW w:w="1474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Asocjacja</w:t>
            </w:r>
          </w:p>
        </w:tc>
        <w:tc>
          <w:tcPr>
            <w:tcW w:w="2891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Czy cecha różnicuje grupy?</w:t>
            </w:r>
          </w:p>
        </w:tc>
        <w:tc>
          <w:tcPr>
            <w:tcW w:w="5159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Statystyczna różnica między populacjami, niekoniecznie test diagnostyczny.</w:t>
            </w:r>
          </w:p>
        </w:tc>
      </w:tr>
      <w:tr w:rsidR="00FE4648">
        <w:trPr>
          <w:jc w:val="center"/>
        </w:trPr>
        <w:tc>
          <w:tcPr>
            <w:tcW w:w="1474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Predykcja</w:t>
            </w:r>
          </w:p>
        </w:tc>
        <w:tc>
          <w:tcPr>
            <w:tcW w:w="2891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Czy cecha działa</w:t>
            </w:r>
            <w:r w:rsidR="00EC1CA4">
              <w:rPr>
                <w:sz w:val="17"/>
              </w:rPr>
              <w:t xml:space="preserve"> na </w:t>
            </w:r>
            <w:r>
              <w:rPr>
                <w:sz w:val="17"/>
              </w:rPr>
              <w:t>nowym pacjencie?</w:t>
            </w:r>
          </w:p>
        </w:tc>
        <w:tc>
          <w:tcPr>
            <w:tcW w:w="5159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 xml:space="preserve">Miary </w:t>
            </w:r>
            <w:r>
              <w:rPr>
                <w:sz w:val="17"/>
              </w:rPr>
              <w:t>Se/Sp, kalibracja</w:t>
            </w:r>
            <w:r w:rsidR="00EC1CA4">
              <w:rPr>
                <w:sz w:val="17"/>
              </w:rPr>
              <w:t xml:space="preserve"> i </w:t>
            </w:r>
            <w:r>
              <w:rPr>
                <w:sz w:val="17"/>
              </w:rPr>
              <w:t>użyteczność</w:t>
            </w:r>
            <w:r w:rsidR="00EC1CA4">
              <w:rPr>
                <w:sz w:val="17"/>
              </w:rPr>
              <w:t xml:space="preserve"> na </w:t>
            </w:r>
            <w:r>
              <w:rPr>
                <w:sz w:val="17"/>
              </w:rPr>
              <w:t>niezależnej próbie.</w:t>
            </w:r>
          </w:p>
        </w:tc>
      </w:tr>
      <w:tr w:rsidR="00FE4648">
        <w:trPr>
          <w:jc w:val="center"/>
        </w:trPr>
        <w:tc>
          <w:tcPr>
            <w:tcW w:w="1474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Decyzja kliniczna</w:t>
            </w:r>
          </w:p>
        </w:tc>
        <w:tc>
          <w:tcPr>
            <w:tcW w:w="2891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Czy wynik zmienia postępowanie?</w:t>
            </w:r>
          </w:p>
        </w:tc>
        <w:tc>
          <w:tcPr>
            <w:tcW w:w="5159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Wartość dodana ponad wywiad, badanie neurologiczne</w:t>
            </w:r>
            <w:r w:rsidR="00EC1CA4">
              <w:rPr>
                <w:sz w:val="17"/>
              </w:rPr>
              <w:t xml:space="preserve"> i </w:t>
            </w:r>
            <w:r>
              <w:rPr>
                <w:sz w:val="17"/>
              </w:rPr>
              <w:t>standard diagnostyczny.</w:t>
            </w:r>
          </w:p>
        </w:tc>
      </w:tr>
    </w:tbl>
    <w:p w:rsidR="00FE4648" w:rsidRDefault="00FE4648">
      <w:pPr>
        <w:spacing w:after="0"/>
      </w:pPr>
    </w:p>
    <w:p w:rsidR="00FE4648" w:rsidRDefault="002158A6">
      <w:pPr>
        <w:pStyle w:val="Nagwek1"/>
      </w:pPr>
      <w:r>
        <w:t>2. Neurofizjologiczne podstawy EEG</w:t>
      </w:r>
    </w:p>
    <w:p w:rsidR="00FE4648" w:rsidRDefault="002158A6" w:rsidP="00DA14FD">
      <w:pPr>
        <w:jc w:val="both"/>
      </w:pPr>
      <w:r>
        <w:t xml:space="preserve">EEG mierzy różnice potencjału </w:t>
      </w:r>
      <w:r>
        <w:t>elektrycznego pomiędzy elektrodami</w:t>
      </w:r>
      <w:r w:rsidR="00EC1CA4">
        <w:t xml:space="preserve"> na </w:t>
      </w:r>
      <w:r>
        <w:t>skórze głowy. Główny udział</w:t>
      </w:r>
      <w:r w:rsidR="00EC1CA4">
        <w:t xml:space="preserve"> w </w:t>
      </w:r>
      <w:r>
        <w:t>sygnale powierzchniowym mają przestrzennie uporządkowane</w:t>
      </w:r>
      <w:r w:rsidR="00EC1CA4">
        <w:t xml:space="preserve"> i </w:t>
      </w:r>
      <w:r>
        <w:t>względnie zsynchronizowane prądy postsynaptyczne dużych populacji neuronów, zwłaszcza korowych komórek piramidowych; nie jest</w:t>
      </w:r>
      <w:r w:rsidR="00EC1CA4">
        <w:t xml:space="preserve"> to </w:t>
      </w:r>
      <w:r>
        <w:t>prosty pomiar sumy potencjałów czynnościowych pojedynczych neuronów. Czaszka</w:t>
      </w:r>
      <w:r w:rsidR="00EC1CA4">
        <w:t xml:space="preserve"> i </w:t>
      </w:r>
      <w:r>
        <w:t>tkanki przewodzące prowadzą</w:t>
      </w:r>
      <w:r w:rsidR="00EC1CA4">
        <w:t xml:space="preserve"> do </w:t>
      </w:r>
      <w:r>
        <w:t>rozmycia przestrzennego oraz nakładania się pól wielu generatorów. Stąd wysoka rozdzielczość czasowa współistnieje</w:t>
      </w:r>
      <w:r w:rsidR="00EC1CA4">
        <w:t xml:space="preserve"> z </w:t>
      </w:r>
      <w:r>
        <w:t>ograniczoną swoistością anato</w:t>
      </w:r>
      <w:r>
        <w:t>miczną [2, 3].</w:t>
      </w:r>
    </w:p>
    <w:p w:rsidR="00FE4648" w:rsidRDefault="002158A6" w:rsidP="00DA14FD">
      <w:pPr>
        <w:jc w:val="both"/>
      </w:pPr>
      <w:r>
        <w:t>EEG można analizować jako zapis spontaniczny,</w:t>
      </w:r>
      <w:r w:rsidR="00EC1CA4">
        <w:t xml:space="preserve"> z </w:t>
      </w:r>
      <w:r>
        <w:t>rejestracją zdarzeń klinicznych, podczas snu lub</w:t>
      </w:r>
      <w:r w:rsidR="00EC1CA4">
        <w:t xml:space="preserve"> w </w:t>
      </w:r>
      <w:r>
        <w:t>odpowiedzi</w:t>
      </w:r>
      <w:r w:rsidR="00EC1CA4">
        <w:t xml:space="preserve"> na </w:t>
      </w:r>
      <w:r>
        <w:t>bodziec. Trzeba odróżnić amplitudę</w:t>
      </w:r>
      <w:r w:rsidR="00EC1CA4">
        <w:t xml:space="preserve"> w </w:t>
      </w:r>
      <w:r>
        <w:t>mikrovoltach, częstotliwość</w:t>
      </w:r>
      <w:r w:rsidR="00EC1CA4">
        <w:t xml:space="preserve"> w </w:t>
      </w:r>
      <w:r>
        <w:t>hercach, morfologię przebiegu, rozkład topograficzny</w:t>
      </w:r>
      <w:r w:rsidR="00EC1CA4">
        <w:t xml:space="preserve"> i </w:t>
      </w:r>
      <w:r>
        <w:t>zmienn</w:t>
      </w:r>
      <w:r>
        <w:t>ość</w:t>
      </w:r>
      <w:r w:rsidR="00EC1CA4">
        <w:t xml:space="preserve"> w </w:t>
      </w:r>
      <w:r>
        <w:t>czasie. Odniesienie elektrodowe nie jest neutralnym punktem „zero”; zmiana referencji może istotnie zmienić obserwowaną amplitudę, mapę rozkładu potencjału</w:t>
      </w:r>
      <w:r w:rsidR="00EC1CA4">
        <w:t xml:space="preserve"> i </w:t>
      </w:r>
      <w:r>
        <w:t>wybrane miary łączności.</w:t>
      </w:r>
    </w:p>
    <w:p w:rsidR="00FE4648" w:rsidRDefault="002158A6">
      <w:pPr>
        <w:pStyle w:val="Nagwek2"/>
      </w:pPr>
      <w:r>
        <w:t>2.1. Rytmy</w:t>
      </w:r>
      <w:r w:rsidR="00EC1CA4">
        <w:t xml:space="preserve"> i </w:t>
      </w:r>
      <w:r>
        <w:t>ich ograniczenia</w:t>
      </w:r>
    </w:p>
    <w:tbl>
      <w:tblPr>
        <w:tblStyle w:val="Tabela-Siatk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1531"/>
        <w:gridCol w:w="6803"/>
      </w:tblGrid>
      <w:tr w:rsidR="00FE4648">
        <w:trPr>
          <w:tblHeader/>
          <w:jc w:val="center"/>
        </w:trPr>
        <w:tc>
          <w:tcPr>
            <w:tcW w:w="1191" w:type="dxa"/>
            <w:shd w:val="clear" w:color="auto" w:fill="183047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FE4648" w:rsidRDefault="002158A6">
            <w:pPr>
              <w:spacing w:after="0"/>
            </w:pPr>
            <w:r>
              <w:rPr>
                <w:b/>
                <w:color w:val="FFFFFF"/>
                <w:sz w:val="17"/>
              </w:rPr>
              <w:t>Pasmo</w:t>
            </w:r>
          </w:p>
        </w:tc>
        <w:tc>
          <w:tcPr>
            <w:tcW w:w="1531" w:type="dxa"/>
            <w:shd w:val="clear" w:color="auto" w:fill="183047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FE4648" w:rsidRDefault="002158A6">
            <w:pPr>
              <w:spacing w:after="0"/>
            </w:pPr>
            <w:r>
              <w:rPr>
                <w:b/>
                <w:color w:val="FFFFFF"/>
                <w:sz w:val="17"/>
              </w:rPr>
              <w:t>Zakres orientacyjny</w:t>
            </w:r>
          </w:p>
        </w:tc>
        <w:tc>
          <w:tcPr>
            <w:tcW w:w="6803" w:type="dxa"/>
            <w:shd w:val="clear" w:color="auto" w:fill="183047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FE4648" w:rsidRDefault="002158A6">
            <w:pPr>
              <w:spacing w:after="0"/>
            </w:pPr>
            <w:r>
              <w:rPr>
                <w:b/>
                <w:color w:val="FFFFFF"/>
                <w:sz w:val="17"/>
              </w:rPr>
              <w:t>Znaczenie</w:t>
            </w:r>
            <w:r w:rsidR="00EC1CA4">
              <w:rPr>
                <w:b/>
                <w:color w:val="FFFFFF"/>
                <w:sz w:val="17"/>
              </w:rPr>
              <w:t xml:space="preserve"> i </w:t>
            </w:r>
            <w:r>
              <w:rPr>
                <w:b/>
                <w:color w:val="FFFFFF"/>
                <w:sz w:val="17"/>
              </w:rPr>
              <w:t>uwaga interpretacyjna</w:t>
            </w:r>
          </w:p>
        </w:tc>
      </w:tr>
      <w:tr w:rsidR="00FE4648">
        <w:trPr>
          <w:jc w:val="center"/>
        </w:trPr>
        <w:tc>
          <w:tcPr>
            <w:tcW w:w="1191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Delta</w:t>
            </w:r>
          </w:p>
        </w:tc>
        <w:tc>
          <w:tcPr>
            <w:tcW w:w="1531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&lt; 4 Hz</w:t>
            </w:r>
          </w:p>
        </w:tc>
        <w:tc>
          <w:tcPr>
            <w:tcW w:w="6803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Wolna aktywność zależna m.in.</w:t>
            </w:r>
            <w:r w:rsidR="00EC1CA4">
              <w:rPr>
                <w:sz w:val="17"/>
              </w:rPr>
              <w:t xml:space="preserve"> od </w:t>
            </w:r>
            <w:r>
              <w:rPr>
                <w:sz w:val="17"/>
              </w:rPr>
              <w:t>snu, wieku</w:t>
            </w:r>
            <w:r w:rsidR="00EC1CA4">
              <w:rPr>
                <w:sz w:val="17"/>
              </w:rPr>
              <w:t xml:space="preserve"> i </w:t>
            </w:r>
            <w:r>
              <w:rPr>
                <w:sz w:val="17"/>
              </w:rPr>
              <w:t>dysfunkcji mózgu; lokalne lub rozlane zwolnienie wymaga oceny klinicznej.</w:t>
            </w:r>
          </w:p>
        </w:tc>
      </w:tr>
      <w:tr w:rsidR="00FE4648">
        <w:trPr>
          <w:jc w:val="center"/>
        </w:trPr>
        <w:tc>
          <w:tcPr>
            <w:tcW w:w="1191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Theta</w:t>
            </w:r>
          </w:p>
        </w:tc>
        <w:tc>
          <w:tcPr>
            <w:tcW w:w="1531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4–8 Hz</w:t>
            </w:r>
          </w:p>
        </w:tc>
        <w:tc>
          <w:tcPr>
            <w:tcW w:w="6803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 xml:space="preserve">Senność, pamięć, funkcje poznawcze, zmienność rozwojowa; nie jest swoista dla ADHD </w:t>
            </w:r>
            <w:r>
              <w:rPr>
                <w:sz w:val="17"/>
              </w:rPr>
              <w:t>ani otępień.</w:t>
            </w:r>
          </w:p>
        </w:tc>
      </w:tr>
      <w:tr w:rsidR="00FE4648">
        <w:trPr>
          <w:jc w:val="center"/>
        </w:trPr>
        <w:tc>
          <w:tcPr>
            <w:tcW w:w="1191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Alfa</w:t>
            </w:r>
          </w:p>
        </w:tc>
        <w:tc>
          <w:tcPr>
            <w:tcW w:w="1531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8–13 Hz</w:t>
            </w:r>
          </w:p>
        </w:tc>
        <w:tc>
          <w:tcPr>
            <w:tcW w:w="6803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Typowo wyraźna</w:t>
            </w:r>
            <w:r w:rsidR="00EC1CA4">
              <w:rPr>
                <w:sz w:val="17"/>
              </w:rPr>
              <w:t xml:space="preserve"> w </w:t>
            </w:r>
            <w:r>
              <w:rPr>
                <w:sz w:val="17"/>
              </w:rPr>
              <w:t>okolicach tylnych przy zamkniętych oczach; zależy</w:t>
            </w:r>
            <w:r w:rsidR="00EC1CA4">
              <w:rPr>
                <w:sz w:val="17"/>
              </w:rPr>
              <w:t xml:space="preserve"> od </w:t>
            </w:r>
            <w:r>
              <w:rPr>
                <w:sz w:val="17"/>
              </w:rPr>
              <w:t>reaktywności, wieku</w:t>
            </w:r>
            <w:r w:rsidR="00EC1CA4">
              <w:rPr>
                <w:sz w:val="17"/>
              </w:rPr>
              <w:t xml:space="preserve"> i </w:t>
            </w:r>
            <w:r>
              <w:rPr>
                <w:sz w:val="17"/>
              </w:rPr>
              <w:t>stanu badanego.</w:t>
            </w:r>
          </w:p>
        </w:tc>
      </w:tr>
      <w:tr w:rsidR="00FE4648">
        <w:trPr>
          <w:jc w:val="center"/>
        </w:trPr>
        <w:tc>
          <w:tcPr>
            <w:tcW w:w="1191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Beta</w:t>
            </w:r>
          </w:p>
        </w:tc>
        <w:tc>
          <w:tcPr>
            <w:tcW w:w="1531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13–30 Hz</w:t>
            </w:r>
          </w:p>
        </w:tc>
        <w:tc>
          <w:tcPr>
            <w:tcW w:w="6803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Zależna</w:t>
            </w:r>
            <w:r w:rsidR="00EC1CA4">
              <w:rPr>
                <w:sz w:val="17"/>
              </w:rPr>
              <w:t xml:space="preserve"> od </w:t>
            </w:r>
            <w:r>
              <w:rPr>
                <w:sz w:val="17"/>
              </w:rPr>
              <w:t>aktywności korowej, leków oraz napięcia mięśniowego; EMG może istotnie zawyżać moc.</w:t>
            </w:r>
          </w:p>
        </w:tc>
      </w:tr>
      <w:tr w:rsidR="00FE4648">
        <w:trPr>
          <w:jc w:val="center"/>
        </w:trPr>
        <w:tc>
          <w:tcPr>
            <w:tcW w:w="1191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Gamma</w:t>
            </w:r>
          </w:p>
        </w:tc>
        <w:tc>
          <w:tcPr>
            <w:tcW w:w="1531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&gt; 30</w:t>
            </w:r>
            <w:r>
              <w:rPr>
                <w:sz w:val="17"/>
              </w:rPr>
              <w:t xml:space="preserve"> Hz</w:t>
            </w:r>
          </w:p>
        </w:tc>
        <w:tc>
          <w:tcPr>
            <w:tcW w:w="6803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7"/>
              </w:rPr>
              <w:t>Analizy poznawcze</w:t>
            </w:r>
            <w:r w:rsidR="00EC1CA4">
              <w:rPr>
                <w:sz w:val="17"/>
              </w:rPr>
              <w:t xml:space="preserve"> i </w:t>
            </w:r>
            <w:r>
              <w:rPr>
                <w:sz w:val="17"/>
              </w:rPr>
              <w:t>sieciowe; szczególnie podatna</w:t>
            </w:r>
            <w:r w:rsidR="00EC1CA4">
              <w:rPr>
                <w:sz w:val="17"/>
              </w:rPr>
              <w:t xml:space="preserve"> na </w:t>
            </w:r>
            <w:r>
              <w:rPr>
                <w:sz w:val="17"/>
              </w:rPr>
              <w:t>artefakty mięśni</w:t>
            </w:r>
            <w:r w:rsidR="00EC1CA4">
              <w:rPr>
                <w:sz w:val="17"/>
              </w:rPr>
              <w:t xml:space="preserve"> i </w:t>
            </w:r>
            <w:r>
              <w:rPr>
                <w:sz w:val="17"/>
              </w:rPr>
              <w:t>aparatury.</w:t>
            </w:r>
          </w:p>
        </w:tc>
      </w:tr>
    </w:tbl>
    <w:p w:rsidR="00FE4648" w:rsidRDefault="00FE4648">
      <w:pPr>
        <w:spacing w:after="0"/>
      </w:pPr>
    </w:p>
    <w:p w:rsidR="00FE4648" w:rsidRDefault="002158A6" w:rsidP="00DA14FD">
      <w:pPr>
        <w:jc w:val="both"/>
      </w:pPr>
      <w:r>
        <w:t>Powyższe granice pasm</w:t>
      </w:r>
      <w:r w:rsidR="00EC1CA4">
        <w:t xml:space="preserve"> są </w:t>
      </w:r>
      <w:r>
        <w:t>konwencją operacyjną,</w:t>
      </w:r>
      <w:r w:rsidR="00EC1CA4">
        <w:t xml:space="preserve"> a </w:t>
      </w:r>
      <w:r>
        <w:t>nie biologicznie sztywnymi granicami.</w:t>
      </w:r>
      <w:r w:rsidR="00EC1CA4">
        <w:t xml:space="preserve"> W </w:t>
      </w:r>
      <w:r>
        <w:t>badaniach wymagających porównywalności należy podać</w:t>
      </w:r>
      <w:r w:rsidR="00EC1CA4">
        <w:t xml:space="preserve"> z </w:t>
      </w:r>
      <w:r>
        <w:t>góry przyjęte przedziały</w:t>
      </w:r>
      <w:r>
        <w:t>, częstotliwość szczytu alfa</w:t>
      </w:r>
      <w:r w:rsidR="00EC1CA4">
        <w:t xml:space="preserve"> i </w:t>
      </w:r>
      <w:r>
        <w:t>sposób normalizacji mocy. Analiza widmowa bez oceny stanu czuwania</w:t>
      </w:r>
      <w:r w:rsidR="00EC1CA4">
        <w:t xml:space="preserve"> i </w:t>
      </w:r>
      <w:r>
        <w:t>artefaktów może prowadzić</w:t>
      </w:r>
      <w:r w:rsidR="00EC1CA4">
        <w:t xml:space="preserve"> do </w:t>
      </w:r>
      <w:r>
        <w:t>błędnych wniosków.</w:t>
      </w:r>
    </w:p>
    <w:p w:rsidR="00FE4648" w:rsidRDefault="002158A6">
      <w:pPr>
        <w:pStyle w:val="Nagwek1"/>
      </w:pPr>
      <w:r>
        <w:t>3. qEEG:</w:t>
      </w:r>
      <w:r w:rsidR="00EC1CA4">
        <w:t xml:space="preserve"> od </w:t>
      </w:r>
      <w:r>
        <w:t>sygnału</w:t>
      </w:r>
      <w:r w:rsidR="00EC1CA4">
        <w:t xml:space="preserve"> do </w:t>
      </w:r>
      <w:r>
        <w:t>cech ilościowych</w:t>
      </w:r>
    </w:p>
    <w:p w:rsidR="00FE4648" w:rsidRDefault="002158A6" w:rsidP="00DA14FD">
      <w:pPr>
        <w:jc w:val="both"/>
      </w:pPr>
      <w:r>
        <w:t>qEEG (quantitative EEG) jest rodziną metod przetwarzania danych EEG,</w:t>
      </w:r>
      <w:r w:rsidR="00EC1CA4">
        <w:t xml:space="preserve"> a </w:t>
      </w:r>
      <w:r>
        <w:t>nie oddzielnym badaniem fizjologicznym. Obejmuje estymację widmowej gęstości mocy, mocy względnej</w:t>
      </w:r>
      <w:r w:rsidR="00EC1CA4">
        <w:t xml:space="preserve"> i </w:t>
      </w:r>
      <w:r>
        <w:t>bezwzględnej, stosunków pasm (np. theta/beta ratio, TBR), częstotliwości szczytowej, asymetrii półkulowych, koherencji</w:t>
      </w:r>
      <w:r w:rsidR="00EC1CA4">
        <w:t xml:space="preserve"> i </w:t>
      </w:r>
      <w:r>
        <w:t>innych miar łączności, złożonośc</w:t>
      </w:r>
      <w:r>
        <w:t>i, entropii, dynamiki mikrostanów oraz modelowania źródeł. Częściową zaletą metod ilościowych jest możliwość powtarzalnego opisu cech, jednak ich znaczenie zależy</w:t>
      </w:r>
      <w:r w:rsidR="00EC1CA4">
        <w:t xml:space="preserve"> od </w:t>
      </w:r>
      <w:r>
        <w:t>jakości danych</w:t>
      </w:r>
      <w:r w:rsidR="00EC1CA4">
        <w:t xml:space="preserve"> i </w:t>
      </w:r>
      <w:r>
        <w:t>kontroli confounderów.</w:t>
      </w:r>
    </w:p>
    <w:p w:rsidR="00FE4648" w:rsidRDefault="002158A6" w:rsidP="00DA14FD">
      <w:pPr>
        <w:jc w:val="both"/>
      </w:pPr>
      <w:r>
        <w:t>Mapowanie topograficzne qEEG ilustruje przestrzenn</w:t>
      </w:r>
      <w:r>
        <w:t>y rozkład estymowanej cechy</w:t>
      </w:r>
      <w:r w:rsidR="00EC1CA4">
        <w:t xml:space="preserve"> na </w:t>
      </w:r>
      <w:r>
        <w:t>skórze głowy. Kolorowa mapa nie jest przekrojem mózgu ani bezpośrednią lokalizacją zaburzenia. Szczególnie ostrożnie należy traktować mapy z-score obliczane względem komercyjnych baz normatywnych, jeśli nie ujawniono populacj</w:t>
      </w:r>
      <w:r>
        <w:t>i referencyjnej, protokołu, aparatury, referencji</w:t>
      </w:r>
      <w:r w:rsidR="00EC1CA4">
        <w:t xml:space="preserve"> i </w:t>
      </w:r>
      <w:r>
        <w:t>preprocessing. Rozwiązanie odwrotne, np. LORETA lub beamforming,</w:t>
      </w:r>
      <w:r w:rsidR="00EC1CA4">
        <w:t xml:space="preserve"> ma </w:t>
      </w:r>
      <w:r>
        <w:t>charakter modelowy</w:t>
      </w:r>
      <w:r w:rsidR="00EC1CA4">
        <w:t xml:space="preserve"> i </w:t>
      </w:r>
      <w:r>
        <w:t>wymaga jawnego opisania modelu głowy, regularizacji oraz niepewności lokalizacji [8].</w:t>
      </w:r>
    </w:p>
    <w:p w:rsidR="00FE4648" w:rsidRDefault="002158A6">
      <w:pPr>
        <w:pStyle w:val="Nagwek2"/>
      </w:pPr>
      <w:r>
        <w:t>3.1. Mikrostany, łączność</w:t>
      </w:r>
      <w:r w:rsidR="00EC1CA4">
        <w:t xml:space="preserve"> i </w:t>
      </w:r>
      <w:r>
        <w:t>s</w:t>
      </w:r>
      <w:r>
        <w:t>ygnał aperiodyczny</w:t>
      </w:r>
    </w:p>
    <w:p w:rsidR="00FE4648" w:rsidRDefault="002158A6" w:rsidP="00DA14FD">
      <w:pPr>
        <w:jc w:val="both"/>
      </w:pPr>
      <w:r>
        <w:t>Mikrostany opisują krótkotrwałe, quasi-stabilne wzorce topografii potencjału; często stosuje się umowne klasy A–D. Parametry duration, occurrence, coverage</w:t>
      </w:r>
      <w:r w:rsidR="00EC1CA4">
        <w:t xml:space="preserve"> i </w:t>
      </w:r>
      <w:r>
        <w:t>transition probability zależą</w:t>
      </w:r>
      <w:r w:rsidR="00EC1CA4">
        <w:t xml:space="preserve"> od </w:t>
      </w:r>
      <w:r>
        <w:t>filtracji, GFP, liczby klas, gęstości elektrod</w:t>
      </w:r>
      <w:r w:rsidR="00EC1CA4">
        <w:t xml:space="preserve"> i </w:t>
      </w:r>
      <w:r>
        <w:t>klasteryzacji. Zmiany klas mikrostanów opisane np.</w:t>
      </w:r>
      <w:r w:rsidR="00EC1CA4">
        <w:t xml:space="preserve"> w </w:t>
      </w:r>
      <w:r>
        <w:t>schizofrenii mają znaczenie grupowe, lecz nie stanowią wystandaryzowanego testu rozpoznawczego [10].</w:t>
      </w:r>
    </w:p>
    <w:p w:rsidR="00FE4648" w:rsidRDefault="002158A6" w:rsidP="00DA14FD">
      <w:pPr>
        <w:jc w:val="both"/>
      </w:pPr>
      <w:r>
        <w:t>Klasyczna koherencja może być zawyżana przez przewodzenie objętościowe</w:t>
      </w:r>
      <w:r w:rsidR="00EC1CA4">
        <w:t xml:space="preserve"> i </w:t>
      </w:r>
      <w:r>
        <w:t>wspólną referencję. Wskaza</w:t>
      </w:r>
      <w:r>
        <w:t>ne jest raportowanie typu miary (np. PLI, wPLI, imaginary coherence), zakresu częstotliwości</w:t>
      </w:r>
      <w:r w:rsidR="00EC1CA4">
        <w:t xml:space="preserve"> i </w:t>
      </w:r>
      <w:r>
        <w:t>procedury eliminowania połączeń pozornych. Oddzielenie komponentu oscylacyjnego</w:t>
      </w:r>
      <w:r w:rsidR="00EC1CA4">
        <w:t xml:space="preserve"> od </w:t>
      </w:r>
      <w:r>
        <w:t>tła aperiodycznego 1/f pozwala uniknąć interpretowania każdej zmiany nachyleni</w:t>
      </w:r>
      <w:r>
        <w:t>a widma jako zmiany konkretnego rytmu.</w:t>
      </w:r>
    </w:p>
    <w:p w:rsidR="00FE4648" w:rsidRDefault="002158A6">
      <w:pPr>
        <w:pStyle w:val="Nagwek1"/>
      </w:pPr>
      <w:r>
        <w:t>4. Potencjały wywołane</w:t>
      </w:r>
      <w:r w:rsidR="00EC1CA4">
        <w:t xml:space="preserve"> i </w:t>
      </w:r>
      <w:r>
        <w:t>związane</w:t>
      </w:r>
      <w:r w:rsidR="00EC1CA4">
        <w:t xml:space="preserve"> ze </w:t>
      </w:r>
      <w:r>
        <w:t>zdarzeniem</w:t>
      </w:r>
    </w:p>
    <w:p w:rsidR="00FE4648" w:rsidRDefault="002158A6" w:rsidP="00DA14FD">
      <w:pPr>
        <w:jc w:val="both"/>
      </w:pPr>
      <w:r>
        <w:t>Potencjały wywołane (EP)</w:t>
      </w:r>
      <w:r w:rsidR="00EC1CA4">
        <w:t xml:space="preserve"> i </w:t>
      </w:r>
      <w:r>
        <w:t>potencjały związane</w:t>
      </w:r>
      <w:r w:rsidR="00EC1CA4">
        <w:t xml:space="preserve"> ze </w:t>
      </w:r>
      <w:r>
        <w:t>zdarzeniem (ERP)</w:t>
      </w:r>
      <w:r w:rsidR="00EC1CA4">
        <w:t xml:space="preserve"> są </w:t>
      </w:r>
      <w:r>
        <w:t>zmianami elektrycznymi pozostającymi</w:t>
      </w:r>
      <w:r w:rsidR="00EC1CA4">
        <w:t xml:space="preserve"> w </w:t>
      </w:r>
      <w:r>
        <w:t>związku czasowym</w:t>
      </w:r>
      <w:r w:rsidR="00EC1CA4">
        <w:t xml:space="preserve"> z </w:t>
      </w:r>
      <w:r>
        <w:t>bodźcem, zdarzeniem lub reakcją.</w:t>
      </w:r>
      <w:r w:rsidR="00EC1CA4">
        <w:t xml:space="preserve"> W </w:t>
      </w:r>
      <w:r>
        <w:t>prakty</w:t>
      </w:r>
      <w:r>
        <w:t>ce terminy częściowo się nakładają, lecz</w:t>
      </w:r>
      <w:r w:rsidR="00EC1CA4">
        <w:t xml:space="preserve"> w </w:t>
      </w:r>
      <w:r>
        <w:t>zastosowaniach klinicznych</w:t>
      </w:r>
      <w:r w:rsidR="00EC1CA4">
        <w:t xml:space="preserve"> EP </w:t>
      </w:r>
      <w:r>
        <w:t>często oznaczają odpowiedzi sensoryczne,</w:t>
      </w:r>
      <w:r w:rsidR="00EC1CA4">
        <w:t xml:space="preserve"> a </w:t>
      </w:r>
      <w:r>
        <w:t>ERP obejmują również procesy uwagowe, pamięciowe</w:t>
      </w:r>
      <w:r w:rsidR="00EC1CA4">
        <w:t xml:space="preserve"> i </w:t>
      </w:r>
      <w:r>
        <w:t>decyzyjne. Niska amplituda odpowiedzi względem spontanicznego EEG uzasadnia uśrednianie o</w:t>
      </w:r>
      <w:r>
        <w:t>dpowiedzi</w:t>
      </w:r>
      <w:r w:rsidR="00EC1CA4">
        <w:t xml:space="preserve"> po </w:t>
      </w:r>
      <w:r>
        <w:t>wielu próbach; uśrednianie zmniejsza niezwiązaną fazowo zmienność, ale może utracić informację</w:t>
      </w:r>
      <w:r w:rsidR="00EC1CA4">
        <w:t xml:space="preserve"> o </w:t>
      </w:r>
      <w:r>
        <w:t>zmienności pojedynczych prób [2, 3].</w:t>
      </w:r>
    </w:p>
    <w:p w:rsidR="00FE4648" w:rsidRDefault="002158A6" w:rsidP="00DA14FD">
      <w:pPr>
        <w:jc w:val="both"/>
      </w:pPr>
      <w:r>
        <w:t>Nazwa komponentu (np. N170 lub P300) nie oznacza pojedynczego, jednoznacznie zlokalizowanego mechanizmu. Komp</w:t>
      </w:r>
      <w:r>
        <w:t>onent określa się poprzez polaryzację, typową latencję, topografię</w:t>
      </w:r>
      <w:r w:rsidR="00EC1CA4">
        <w:t xml:space="preserve"> i </w:t>
      </w:r>
      <w:r>
        <w:t>zależność</w:t>
      </w:r>
      <w:r w:rsidR="00EC1CA4">
        <w:t xml:space="preserve"> od </w:t>
      </w:r>
      <w:r>
        <w:t>zadania. Interpretacja wymaga rozróżnienia</w:t>
      </w:r>
      <w:r w:rsidR="00EC1CA4">
        <w:t xml:space="preserve"> od </w:t>
      </w:r>
      <w:r>
        <w:t>reakcji sąsiednich, artefaktów oraz różnic</w:t>
      </w:r>
      <w:r w:rsidR="00EC1CA4">
        <w:t xml:space="preserve"> w </w:t>
      </w:r>
      <w:r>
        <w:t>parametrach bodźca.</w:t>
      </w:r>
    </w:p>
    <w:p w:rsidR="00FE4648" w:rsidRDefault="002158A6">
      <w:pPr>
        <w:pStyle w:val="Nagwek2"/>
      </w:pPr>
      <w:r>
        <w:t>4.1. Charakterystyka głównych komponentów</w:t>
      </w:r>
    </w:p>
    <w:tbl>
      <w:tblPr>
        <w:tblStyle w:val="Tabela-Siatk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381"/>
        <w:gridCol w:w="5726"/>
      </w:tblGrid>
      <w:tr w:rsidR="00FE4648">
        <w:trPr>
          <w:tblHeader/>
          <w:jc w:val="center"/>
        </w:trPr>
        <w:tc>
          <w:tcPr>
            <w:tcW w:w="1417" w:type="dxa"/>
            <w:shd w:val="clear" w:color="auto" w:fill="183047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FE4648" w:rsidRDefault="002158A6">
            <w:pPr>
              <w:spacing w:after="0"/>
            </w:pPr>
            <w:r>
              <w:rPr>
                <w:b/>
                <w:color w:val="FFFFFF"/>
                <w:sz w:val="16"/>
              </w:rPr>
              <w:t>Komponent</w:t>
            </w:r>
          </w:p>
        </w:tc>
        <w:tc>
          <w:tcPr>
            <w:tcW w:w="2381" w:type="dxa"/>
            <w:shd w:val="clear" w:color="auto" w:fill="183047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FE4648" w:rsidRDefault="002158A6"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Paradygmat </w:t>
            </w:r>
            <w:r>
              <w:rPr>
                <w:b/>
                <w:color w:val="FFFFFF"/>
                <w:sz w:val="16"/>
              </w:rPr>
              <w:t>/ orientacyjny czas</w:t>
            </w:r>
          </w:p>
        </w:tc>
        <w:tc>
          <w:tcPr>
            <w:tcW w:w="5726" w:type="dxa"/>
            <w:shd w:val="clear" w:color="auto" w:fill="183047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FE4648" w:rsidRDefault="002158A6">
            <w:pPr>
              <w:spacing w:after="0"/>
            </w:pPr>
            <w:r>
              <w:rPr>
                <w:b/>
                <w:color w:val="FFFFFF"/>
                <w:sz w:val="16"/>
              </w:rPr>
              <w:t>Interpretacja</w:t>
            </w:r>
            <w:r w:rsidR="00EC1CA4">
              <w:rPr>
                <w:b/>
                <w:color w:val="FFFFFF"/>
                <w:sz w:val="16"/>
              </w:rPr>
              <w:t xml:space="preserve"> i </w:t>
            </w:r>
            <w:r>
              <w:rPr>
                <w:b/>
                <w:color w:val="FFFFFF"/>
                <w:sz w:val="16"/>
              </w:rPr>
              <w:t>ograniczenie</w:t>
            </w:r>
          </w:p>
        </w:tc>
      </w:tr>
      <w:tr w:rsidR="00FE4648">
        <w:trPr>
          <w:jc w:val="center"/>
        </w:trPr>
        <w:tc>
          <w:tcPr>
            <w:tcW w:w="1417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VEP P100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Odwrócenie wzorca szachownicy; około 100 ms</w:t>
            </w:r>
          </w:p>
        </w:tc>
        <w:tc>
          <w:tcPr>
            <w:tcW w:w="5726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Przewodzenie</w:t>
            </w:r>
            <w:r w:rsidR="00EC1CA4">
              <w:rPr>
                <w:sz w:val="16"/>
              </w:rPr>
              <w:t xml:space="preserve"> w </w:t>
            </w:r>
            <w:r>
              <w:rPr>
                <w:sz w:val="16"/>
              </w:rPr>
              <w:t>drodze wzrokowej; użyteczne klinicznie przy określonych podejrzeniach neurologicznych, wynik zależy też</w:t>
            </w:r>
            <w:r w:rsidR="00EC1CA4">
              <w:rPr>
                <w:sz w:val="16"/>
              </w:rPr>
              <w:t xml:space="preserve"> od </w:t>
            </w:r>
            <w:r>
              <w:rPr>
                <w:sz w:val="16"/>
              </w:rPr>
              <w:t>ostrości wzroku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 xml:space="preserve">parametrów </w:t>
            </w:r>
            <w:r>
              <w:rPr>
                <w:sz w:val="16"/>
              </w:rPr>
              <w:t>stymulacji.</w:t>
            </w:r>
          </w:p>
        </w:tc>
      </w:tr>
      <w:tr w:rsidR="00FE4648">
        <w:trPr>
          <w:jc w:val="center"/>
        </w:trPr>
        <w:tc>
          <w:tcPr>
            <w:tcW w:w="1417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MMN / N2a</w:t>
            </w:r>
          </w:p>
        </w:tc>
        <w:tc>
          <w:tcPr>
            <w:tcW w:w="2381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Pasywny oddball słuchowy; zwykle ~100–250 ms</w:t>
            </w:r>
          </w:p>
        </w:tc>
        <w:tc>
          <w:tcPr>
            <w:tcW w:w="5726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Detekcja rozbieżności bodźców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>przetwarzanie predykcyjne; badawczo m.in.</w:t>
            </w:r>
            <w:r w:rsidR="00EC1CA4">
              <w:rPr>
                <w:sz w:val="16"/>
              </w:rPr>
              <w:t xml:space="preserve"> w </w:t>
            </w:r>
            <w:r>
              <w:rPr>
                <w:sz w:val="16"/>
              </w:rPr>
              <w:t>schizofrenii, bez samodzielnego progu diagnostycznego.</w:t>
            </w:r>
          </w:p>
        </w:tc>
      </w:tr>
      <w:tr w:rsidR="00FE4648">
        <w:trPr>
          <w:jc w:val="center"/>
        </w:trPr>
        <w:tc>
          <w:tcPr>
            <w:tcW w:w="1417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N2b / N2c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Aktywne wykrywanie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>klasyfikacja; ~180–325 ms</w:t>
            </w:r>
          </w:p>
        </w:tc>
        <w:tc>
          <w:tcPr>
            <w:tcW w:w="5726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Selekcja bodźca, kategoryzacja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>kontrola uwagi; silna zależność</w:t>
            </w:r>
            <w:r w:rsidR="00EC1CA4">
              <w:rPr>
                <w:sz w:val="16"/>
              </w:rPr>
              <w:t xml:space="preserve"> od </w:t>
            </w:r>
            <w:r>
              <w:rPr>
                <w:sz w:val="16"/>
              </w:rPr>
              <w:t>zadania.</w:t>
            </w:r>
          </w:p>
        </w:tc>
      </w:tr>
      <w:tr w:rsidR="00FE4648">
        <w:trPr>
          <w:jc w:val="center"/>
        </w:trPr>
        <w:tc>
          <w:tcPr>
            <w:tcW w:w="1417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N2pc</w:t>
            </w:r>
          </w:p>
        </w:tc>
        <w:tc>
          <w:tcPr>
            <w:tcW w:w="2381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Wzrokowe poszukiwanie celu; około 180–300 ms</w:t>
            </w:r>
          </w:p>
        </w:tc>
        <w:tc>
          <w:tcPr>
            <w:tcW w:w="5726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Przestrzenne ukierunkowanie uwagi względem strony bodźca.</w:t>
            </w:r>
          </w:p>
        </w:tc>
      </w:tr>
      <w:tr w:rsidR="00FE4648">
        <w:trPr>
          <w:jc w:val="center"/>
        </w:trPr>
        <w:tc>
          <w:tcPr>
            <w:tcW w:w="1417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P3a / P3b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Nowość/oddball; zwykle ~250–500 ms, szeroka zmienność</w:t>
            </w:r>
          </w:p>
        </w:tc>
        <w:tc>
          <w:tcPr>
            <w:tcW w:w="5726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P3a:</w:t>
            </w:r>
            <w:r>
              <w:rPr>
                <w:sz w:val="16"/>
              </w:rPr>
              <w:t xml:space="preserve"> orientacja</w:t>
            </w:r>
            <w:r w:rsidR="00EC1CA4">
              <w:rPr>
                <w:sz w:val="16"/>
              </w:rPr>
              <w:t xml:space="preserve"> na </w:t>
            </w:r>
            <w:r>
              <w:rPr>
                <w:sz w:val="16"/>
              </w:rPr>
              <w:t>nowość; P3b: ocena zadaniowa/aktualizacja kontekstu. Latencja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>amplituda nie</w:t>
            </w:r>
            <w:r w:rsidR="00EC1CA4">
              <w:rPr>
                <w:sz w:val="16"/>
              </w:rPr>
              <w:t xml:space="preserve"> są </w:t>
            </w:r>
            <w:r>
              <w:rPr>
                <w:sz w:val="16"/>
              </w:rPr>
              <w:t>swoiste dla pojedynczej choroby.</w:t>
            </w:r>
          </w:p>
        </w:tc>
      </w:tr>
      <w:tr w:rsidR="00FE4648">
        <w:trPr>
          <w:jc w:val="center"/>
        </w:trPr>
        <w:tc>
          <w:tcPr>
            <w:tcW w:w="1417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N170</w:t>
            </w:r>
          </w:p>
        </w:tc>
        <w:tc>
          <w:tcPr>
            <w:tcW w:w="2381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Obrazy twarzy; około 170 ms</w:t>
            </w:r>
          </w:p>
        </w:tc>
        <w:tc>
          <w:tcPr>
            <w:tcW w:w="5726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Percepcyjne przetwarzanie twarzy; opisywane różnice grupowe</w:t>
            </w:r>
            <w:r w:rsidR="00EC1CA4">
              <w:rPr>
                <w:sz w:val="16"/>
              </w:rPr>
              <w:t xml:space="preserve"> w </w:t>
            </w:r>
            <w:r>
              <w:rPr>
                <w:sz w:val="16"/>
              </w:rPr>
              <w:t xml:space="preserve">ASD nie umożliwiają </w:t>
            </w:r>
            <w:r>
              <w:rPr>
                <w:sz w:val="16"/>
              </w:rPr>
              <w:t>pojedynczego rozpoznania.</w:t>
            </w:r>
          </w:p>
        </w:tc>
      </w:tr>
      <w:tr w:rsidR="00FE4648">
        <w:trPr>
          <w:jc w:val="center"/>
        </w:trPr>
        <w:tc>
          <w:tcPr>
            <w:tcW w:w="1417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ERN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Zdarzenie błędu odpowiedzi; krótko</w:t>
            </w:r>
            <w:r w:rsidR="00EC1CA4">
              <w:rPr>
                <w:sz w:val="16"/>
              </w:rPr>
              <w:t xml:space="preserve"> po </w:t>
            </w:r>
            <w:r>
              <w:rPr>
                <w:sz w:val="16"/>
              </w:rPr>
              <w:t>błędzie</w:t>
            </w:r>
          </w:p>
        </w:tc>
        <w:tc>
          <w:tcPr>
            <w:tcW w:w="5726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Monitorowanie błędów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>kontroli poznawczej; badawczo związana</w:t>
            </w:r>
            <w:r w:rsidR="00EC1CA4">
              <w:rPr>
                <w:sz w:val="16"/>
              </w:rPr>
              <w:t xml:space="preserve"> z </w:t>
            </w:r>
            <w:r>
              <w:rPr>
                <w:sz w:val="16"/>
              </w:rPr>
              <w:t>lękiem/OCD.</w:t>
            </w:r>
          </w:p>
        </w:tc>
      </w:tr>
    </w:tbl>
    <w:p w:rsidR="00FE4648" w:rsidRDefault="00FE4648">
      <w:pPr>
        <w:spacing w:after="0"/>
      </w:pPr>
    </w:p>
    <w:p w:rsidR="00FE4648" w:rsidRDefault="002158A6">
      <w:pPr>
        <w:pStyle w:val="Nagwek2"/>
      </w:pPr>
      <w:r>
        <w:t>4.2. P300</w:t>
      </w:r>
      <w:r w:rsidR="00EC1CA4">
        <w:t xml:space="preserve"> i </w:t>
      </w:r>
      <w:r>
        <w:t>N200</w:t>
      </w:r>
      <w:r w:rsidR="00EC1CA4">
        <w:t xml:space="preserve"> w </w:t>
      </w:r>
      <w:r>
        <w:t>badaniach uwagi</w:t>
      </w:r>
    </w:p>
    <w:p w:rsidR="00FE4648" w:rsidRDefault="002158A6" w:rsidP="00DA14FD">
      <w:pPr>
        <w:spacing w:after="120" w:line="276" w:lineRule="auto"/>
      </w:pPr>
      <w:r>
        <w:t>P300 (zwłaszcza P3b) jest klasycznie analizowany</w:t>
      </w:r>
      <w:r w:rsidR="00EC1CA4">
        <w:t xml:space="preserve"> w </w:t>
      </w:r>
      <w:r>
        <w:t>paradygmacie od</w:t>
      </w:r>
      <w:r>
        <w:t>dball, gdy rzadkie bodźce wymagają rozróżnienia lub określonej reakcji. Wpływ mają prawdopodobieństwo celu, znaczenie bodźca, uwaga, obciążenie pamięci roboczej, wiek</w:t>
      </w:r>
      <w:r w:rsidR="00EC1CA4">
        <w:t xml:space="preserve"> i </w:t>
      </w:r>
      <w:r>
        <w:t>sposób wykonania zadania. P3a</w:t>
      </w:r>
      <w:r w:rsidR="00EC1CA4">
        <w:t xml:space="preserve"> i </w:t>
      </w:r>
      <w:r>
        <w:t>P3b różnią się topografią oraz związkiem</w:t>
      </w:r>
      <w:r w:rsidR="00EC1CA4">
        <w:t xml:space="preserve"> z </w:t>
      </w:r>
      <w:r>
        <w:t>procesami or</w:t>
      </w:r>
      <w:r>
        <w:t>ientacji</w:t>
      </w:r>
      <w:r w:rsidR="00EC1CA4">
        <w:t xml:space="preserve"> i </w:t>
      </w:r>
      <w:r>
        <w:t>selekcji. Historycznie P300 łączono</w:t>
      </w:r>
      <w:r w:rsidR="00EC1CA4">
        <w:t xml:space="preserve"> z </w:t>
      </w:r>
      <w:r>
        <w:t>„aktualizacją kontekstu”, ale nie należy utożsamiać samego piku</w:t>
      </w:r>
      <w:r w:rsidR="00EC1CA4">
        <w:t xml:space="preserve"> z </w:t>
      </w:r>
      <w:r>
        <w:t>pojedynczym aktem decyzyjnym [3].</w:t>
      </w:r>
    </w:p>
    <w:p w:rsidR="00FE4648" w:rsidRDefault="002158A6" w:rsidP="00DA14FD">
      <w:pPr>
        <w:spacing w:line="276" w:lineRule="auto"/>
        <w:jc w:val="both"/>
      </w:pPr>
      <w:r>
        <w:t>Rodzina N200 obejmuje procesy odmienne funkcjonalnie: MMN może występować bez celowego kierowania uwagi</w:t>
      </w:r>
      <w:r w:rsidR="00EC1CA4">
        <w:t xml:space="preserve"> na </w:t>
      </w:r>
      <w:r>
        <w:t>bodźce, natomiast N2b wiąże się</w:t>
      </w:r>
      <w:r w:rsidR="00EC1CA4">
        <w:t xml:space="preserve"> z </w:t>
      </w:r>
      <w:r>
        <w:t>aktywną selekcją.</w:t>
      </w:r>
      <w:r w:rsidR="00EC1CA4">
        <w:t xml:space="preserve"> Z </w:t>
      </w:r>
      <w:r>
        <w:t>kolei N2pc indeksuje lateralizowaną selekcję wzrokową.</w:t>
      </w:r>
      <w:r w:rsidR="00EC1CA4">
        <w:t xml:space="preserve"> W </w:t>
      </w:r>
      <w:r>
        <w:t>części zadań Go/No-Go bardziej przedni N2 wiąże się</w:t>
      </w:r>
      <w:r w:rsidR="00EC1CA4">
        <w:t xml:space="preserve"> z </w:t>
      </w:r>
      <w:r>
        <w:t>hamowaniem odpowiedzi. Łączna analiza N2</w:t>
      </w:r>
      <w:r w:rsidR="00EC1CA4">
        <w:t xml:space="preserve"> i </w:t>
      </w:r>
      <w:r>
        <w:t>P3 może informować</w:t>
      </w:r>
      <w:r w:rsidR="00EC1CA4">
        <w:t xml:space="preserve"> o </w:t>
      </w:r>
      <w:r>
        <w:t>kolejnych etapach przetwarz</w:t>
      </w:r>
      <w:r>
        <w:t>ania, jednak wymaga jawnego zdefiniowania hipotez</w:t>
      </w:r>
      <w:r w:rsidR="00EC1CA4">
        <w:t xml:space="preserve"> i </w:t>
      </w:r>
      <w:r>
        <w:t>przedziałów czasowych.</w:t>
      </w:r>
    </w:p>
    <w:p w:rsidR="00FE4648" w:rsidRDefault="002158A6">
      <w:pPr>
        <w:pStyle w:val="Nagwek2"/>
      </w:pPr>
      <w:r>
        <w:t>4.3. Znaczenie kliniczne</w:t>
      </w:r>
      <w:r w:rsidR="00EC1CA4">
        <w:t xml:space="preserve"> i </w:t>
      </w:r>
      <w:r>
        <w:t>interfejsy mózg–komputer</w:t>
      </w:r>
    </w:p>
    <w:p w:rsidR="00FE4648" w:rsidRDefault="002158A6" w:rsidP="00DA14FD">
      <w:pPr>
        <w:jc w:val="both"/>
      </w:pPr>
      <w:r>
        <w:t>Wzrokowe potencjały wywołane,</w:t>
      </w:r>
      <w:r w:rsidR="00EC1CA4">
        <w:t xml:space="preserve"> w </w:t>
      </w:r>
      <w:r>
        <w:t xml:space="preserve">szczególności P100, pełnią użyteczną rolę przy ocenie wybranych zaburzeń drogi wzrokowej; </w:t>
      </w:r>
      <w:r>
        <w:t>interpretacja powinna uwzględniać parametry badania okulistycznego. Komponent P300 oraz inne odpowiedzi zdarzeniowe wykorzystuje się również</w:t>
      </w:r>
      <w:r w:rsidR="00EC1CA4">
        <w:t xml:space="preserve"> w </w:t>
      </w:r>
      <w:r>
        <w:t>eksperymentalnych interfejsach mózg–komputer (BCI), m.in.</w:t>
      </w:r>
      <w:r w:rsidR="00EC1CA4">
        <w:t xml:space="preserve"> do </w:t>
      </w:r>
      <w:r>
        <w:t>komunikacji przy istotnych ograniczeniach ruchowych.</w:t>
      </w:r>
      <w:r>
        <w:t xml:space="preserve"> Skuteczność danego BCI</w:t>
      </w:r>
      <w:r w:rsidR="00EC1CA4">
        <w:t xml:space="preserve"> i </w:t>
      </w:r>
      <w:r>
        <w:t>jego wartość kliniczna zależą</w:t>
      </w:r>
      <w:r w:rsidR="00EC1CA4">
        <w:t xml:space="preserve"> od </w:t>
      </w:r>
      <w:r>
        <w:t>powtarzalności, kalibracji, sprawności percepcyjnej oraz warunków użycia,</w:t>
      </w:r>
      <w:r w:rsidR="00EC1CA4">
        <w:t xml:space="preserve"> a </w:t>
      </w:r>
      <w:r>
        <w:t>nie wyłącznie</w:t>
      </w:r>
      <w:r w:rsidR="00EC1CA4">
        <w:t xml:space="preserve"> od </w:t>
      </w:r>
      <w:r>
        <w:t>obecności odpowiedzi P300.</w:t>
      </w:r>
    </w:p>
    <w:p w:rsidR="00FE4648" w:rsidRDefault="002158A6">
      <w:pPr>
        <w:pStyle w:val="Nagwek1"/>
      </w:pPr>
      <w:r>
        <w:t>5. Rygor metodologiczny badań ERP</w:t>
      </w:r>
    </w:p>
    <w:p w:rsidR="00FE4648" w:rsidRDefault="002158A6" w:rsidP="00DA14FD">
      <w:pPr>
        <w:jc w:val="both"/>
      </w:pPr>
      <w:r>
        <w:t>W obydwu dokumentach</w:t>
      </w:r>
      <w:r w:rsidR="00EC1CA4">
        <w:t xml:space="preserve"> o </w:t>
      </w:r>
      <w:r>
        <w:t>ERP centralne znacze</w:t>
      </w:r>
      <w:r>
        <w:t>nie mają</w:t>
      </w:r>
      <w:r w:rsidR="00EC1CA4">
        <w:t xml:space="preserve"> te </w:t>
      </w:r>
      <w:r>
        <w:t>same zasady eksperymentalne. Komponent nie jest wiarygodnie identyfikowany wyłącznie</w:t>
      </w:r>
      <w:r w:rsidR="00EC1CA4">
        <w:t xml:space="preserve"> na </w:t>
      </w:r>
      <w:r>
        <w:t>podstawie wizualnie najbardziej wyrazistego załamka. Prezentacja bodźców musi być dokładnie zsynchronizowana</w:t>
      </w:r>
      <w:r w:rsidR="00EC1CA4">
        <w:t xml:space="preserve"> z </w:t>
      </w:r>
      <w:r>
        <w:t>markerami rejestracji; parametry bodźców</w:t>
      </w:r>
      <w:r w:rsidR="00EC1CA4">
        <w:t xml:space="preserve"> i </w:t>
      </w:r>
      <w:r>
        <w:t>wy</w:t>
      </w:r>
      <w:r>
        <w:t>magania zadania nie powinny systematycznie różnić się</w:t>
      </w:r>
      <w:r w:rsidR="00EC1CA4">
        <w:t xml:space="preserve"> w </w:t>
      </w:r>
      <w:r>
        <w:t>sposób mylący analizę efektu zainteresowania [2].</w:t>
      </w:r>
    </w:p>
    <w:p w:rsidR="00FE4648" w:rsidRDefault="002158A6" w:rsidP="00DA14FD">
      <w:pPr>
        <w:jc w:val="both"/>
      </w:pPr>
      <w:r>
        <w:t>Projekt powinien ustalić</w:t>
      </w:r>
      <w:r w:rsidR="00EC1CA4">
        <w:t xml:space="preserve"> z </w:t>
      </w:r>
      <w:r>
        <w:t>góry: definicję komponentu, obszary elektrod (ROI), okno czasowe, miarę amplitudy (np. średnią</w:t>
      </w:r>
      <w:r w:rsidR="00EC1CA4">
        <w:t xml:space="preserve"> w </w:t>
      </w:r>
      <w:r>
        <w:t>oknie), analizę latencji</w:t>
      </w:r>
      <w:r w:rsidR="00EC1CA4">
        <w:t xml:space="preserve"> i </w:t>
      </w:r>
      <w:r>
        <w:t>plan wykluczania prób. Wybieranie najlepszego piku, kanału lub okna</w:t>
      </w:r>
      <w:r w:rsidR="00EC1CA4">
        <w:t xml:space="preserve"> po </w:t>
      </w:r>
      <w:r>
        <w:t>poznaniu wyników prowadzi</w:t>
      </w:r>
      <w:r w:rsidR="00EC1CA4">
        <w:t xml:space="preserve"> do </w:t>
      </w:r>
      <w:r>
        <w:t>zawyżania efektów.</w:t>
      </w:r>
      <w:r w:rsidR="00EC1CA4">
        <w:t xml:space="preserve"> W </w:t>
      </w:r>
      <w:r>
        <w:t>wielu sytuacjach średnia amplituda</w:t>
      </w:r>
      <w:r w:rsidR="00EC1CA4">
        <w:t xml:space="preserve"> w </w:t>
      </w:r>
      <w:r>
        <w:t>ustalonym oknie jest odporniejsza</w:t>
      </w:r>
      <w:r w:rsidR="00EC1CA4">
        <w:t xml:space="preserve"> na </w:t>
      </w:r>
      <w:r>
        <w:t>szum niż amplituda szczytowa. Nieprawidłowe filtrowanie może</w:t>
      </w:r>
      <w:r>
        <w:t xml:space="preserve"> przesuwać szczyt, zmieniać amplitudę lub generować pozorne aktywacje [2, 8].</w:t>
      </w:r>
    </w:p>
    <w:p w:rsidR="00FE4648" w:rsidRDefault="002158A6" w:rsidP="00DA14FD">
      <w:pPr>
        <w:jc w:val="both"/>
      </w:pPr>
      <w:r>
        <w:t>Kontrola jakości obejmuje: stabilną fiksację lub rejestrację ruchów oczu, ilość zaakceptowanych epok</w:t>
      </w:r>
      <w:r w:rsidR="00EC1CA4">
        <w:t xml:space="preserve"> na </w:t>
      </w:r>
      <w:r>
        <w:t>warunek, odsetek odrzutów, balans liczby prób, stan badanego, parametry pr</w:t>
      </w:r>
      <w:r>
        <w:t>zedziału bazowego oraz ocenę pozostałości artefaktów</w:t>
      </w:r>
      <w:r w:rsidR="00EC1CA4">
        <w:t xml:space="preserve"> po </w:t>
      </w:r>
      <w:r>
        <w:t>ICA/SSP. Należy raportować zmienność międzyosobniczą,</w:t>
      </w:r>
      <w:r w:rsidR="00EC1CA4">
        <w:t xml:space="preserve"> a </w:t>
      </w:r>
      <w:r>
        <w:t>w badaniach grupowych uwzględniać asymetrię liczby prób</w:t>
      </w:r>
      <w:r w:rsidR="00EC1CA4">
        <w:t xml:space="preserve"> i </w:t>
      </w:r>
      <w:r>
        <w:t>różnice</w:t>
      </w:r>
      <w:r w:rsidR="00EC1CA4">
        <w:t xml:space="preserve"> w </w:t>
      </w:r>
      <w:r>
        <w:t>latencji indywidualnej. Uśrednianie nie jest automatycznym rozwiązaniem prob</w:t>
      </w:r>
      <w:r>
        <w:t>lemów</w:t>
      </w:r>
      <w:r w:rsidR="00EC1CA4">
        <w:t xml:space="preserve"> z </w:t>
      </w:r>
      <w:r>
        <w:t>jakością danych.</w:t>
      </w:r>
    </w:p>
    <w:p w:rsidR="00FE4648" w:rsidRDefault="002158A6">
      <w:pPr>
        <w:pStyle w:val="Nagwek1"/>
      </w:pPr>
      <w:r>
        <w:t>6. Ugruntowane zastosowania EEG</w:t>
      </w:r>
      <w:r w:rsidR="00EC1CA4">
        <w:t xml:space="preserve"> w </w:t>
      </w:r>
      <w:r>
        <w:t>praktyce klinicznej</w:t>
      </w:r>
    </w:p>
    <w:p w:rsidR="00FE4648" w:rsidRDefault="002158A6">
      <w:pPr>
        <w:pStyle w:val="Nagwek2"/>
      </w:pPr>
      <w:r>
        <w:t>6.1. Padaczka</w:t>
      </w:r>
      <w:r w:rsidR="00EC1CA4">
        <w:t xml:space="preserve"> i </w:t>
      </w:r>
      <w:r>
        <w:t>zdarzenia napadowe</w:t>
      </w:r>
    </w:p>
    <w:p w:rsidR="00FE4648" w:rsidRDefault="002158A6" w:rsidP="00DA14FD">
      <w:pPr>
        <w:jc w:val="both"/>
      </w:pPr>
      <w:r>
        <w:t>EEG jest jednym</w:t>
      </w:r>
      <w:r w:rsidR="00EC1CA4">
        <w:t xml:space="preserve"> z </w:t>
      </w:r>
      <w:r>
        <w:t>zasadniczych badań pomocniczych</w:t>
      </w:r>
      <w:r w:rsidR="00EC1CA4">
        <w:t xml:space="preserve"> w </w:t>
      </w:r>
      <w:r>
        <w:t>diagnostyce</w:t>
      </w:r>
      <w:r w:rsidR="00EC1CA4">
        <w:t xml:space="preserve"> i </w:t>
      </w:r>
      <w:r>
        <w:t>klasyfikacji padaczki, identyfikacji wyładowań międzynapadowych, dokumentacj</w:t>
      </w:r>
      <w:r>
        <w:t>i wzorców napadowych</w:t>
      </w:r>
      <w:r w:rsidR="00EC1CA4">
        <w:t xml:space="preserve"> i </w:t>
      </w:r>
      <w:r>
        <w:t>różnicowaniu epizodów zaburzeń świadomości [1]. Rozpoznanie padaczki pozostaje jednak kliniczne. Ujemny zapis rutynowy nie wyklucza choroby, zwłaszcza gdy</w:t>
      </w:r>
      <w:r w:rsidR="00EC1CA4">
        <w:t xml:space="preserve"> w </w:t>
      </w:r>
      <w:r>
        <w:t>czasie krótkiej rejestracji nie wystąpiła aktywność epileptiformiczna.</w:t>
      </w:r>
    </w:p>
    <w:p w:rsidR="00FE4648" w:rsidRDefault="002158A6" w:rsidP="00DA14FD">
      <w:pPr>
        <w:jc w:val="both"/>
      </w:pPr>
      <w:r>
        <w:t>W met</w:t>
      </w:r>
      <w:r>
        <w:t>aanalizie</w:t>
      </w:r>
      <w:r w:rsidR="00EC1CA4">
        <w:t xml:space="preserve"> po </w:t>
      </w:r>
      <w:r>
        <w:t>pierwszym niesprowokowanym napadzie</w:t>
      </w:r>
      <w:r w:rsidR="00EC1CA4">
        <w:t xml:space="preserve"> u </w:t>
      </w:r>
      <w:r>
        <w:t>dorosłych czułość rutynowego EEG dla prognozowania nawrotu</w:t>
      </w:r>
      <w:r w:rsidR="00EC1CA4">
        <w:t xml:space="preserve"> na </w:t>
      </w:r>
      <w:r>
        <w:t>podstawie wyładowań epileptiformicznych wynosiła 17,3%,</w:t>
      </w:r>
      <w:r w:rsidR="00EC1CA4">
        <w:t xml:space="preserve"> a </w:t>
      </w:r>
      <w:r>
        <w:t>swoistość 94,7%. Parametry</w:t>
      </w:r>
      <w:r w:rsidR="00EC1CA4">
        <w:t xml:space="preserve"> te </w:t>
      </w:r>
      <w:r>
        <w:t>opisują konkretną populację</w:t>
      </w:r>
      <w:r w:rsidR="00EC1CA4">
        <w:t xml:space="preserve"> i </w:t>
      </w:r>
      <w:r>
        <w:t>punkt końcowy,</w:t>
      </w:r>
      <w:r w:rsidR="00EC1CA4">
        <w:t xml:space="preserve"> a </w:t>
      </w:r>
      <w:r>
        <w:t>nie uniw</w:t>
      </w:r>
      <w:r>
        <w:t>ersalną czułość „EEG dla padaczki” [11].</w:t>
      </w:r>
      <w:r w:rsidR="00EC1CA4">
        <w:t xml:space="preserve"> W </w:t>
      </w:r>
      <w:r>
        <w:t>zależności</w:t>
      </w:r>
      <w:r w:rsidR="00EC1CA4">
        <w:t xml:space="preserve"> od </w:t>
      </w:r>
      <w:r>
        <w:t>pytania diagnostycznego uzasadnione bywają zapis</w:t>
      </w:r>
      <w:r w:rsidR="00EC1CA4">
        <w:t xml:space="preserve"> po </w:t>
      </w:r>
      <w:r>
        <w:t>deprywacji snu, EEG podczas snu, przedłużone monitorowanie wideo-EEG lub inne protokoły.</w:t>
      </w:r>
    </w:p>
    <w:p w:rsidR="00FE4648" w:rsidRDefault="002158A6">
      <w:pPr>
        <w:pStyle w:val="Nagwek2"/>
      </w:pPr>
      <w:r>
        <w:t>6.2. Encefalopatie</w:t>
      </w:r>
      <w:r w:rsidR="00EC1CA4">
        <w:t xml:space="preserve"> i </w:t>
      </w:r>
      <w:r>
        <w:t>zaburzenia świadomości</w:t>
      </w:r>
    </w:p>
    <w:p w:rsidR="00FE4648" w:rsidRDefault="002158A6" w:rsidP="00DA14FD">
      <w:pPr>
        <w:jc w:val="both"/>
      </w:pPr>
      <w:r>
        <w:t>Konwencjonalne</w:t>
      </w:r>
      <w:r>
        <w:t xml:space="preserve"> EEG może ujawnić uogólnione lub ogniskowe zwolnienie czynności, zmiany reaktywności oraz napady niekonwulsyjne, które mogą być niezauważalne</w:t>
      </w:r>
      <w:r w:rsidR="00EC1CA4">
        <w:t xml:space="preserve"> w </w:t>
      </w:r>
      <w:r>
        <w:t>badaniu zachowania.</w:t>
      </w:r>
      <w:r w:rsidR="00EC1CA4">
        <w:t xml:space="preserve"> W </w:t>
      </w:r>
      <w:r>
        <w:t>oddziałach intensywnej terapii qEEG może służyć jako narzędzie trendowania aktywności</w:t>
      </w:r>
      <w:r w:rsidR="00EC1CA4">
        <w:t xml:space="preserve"> i </w:t>
      </w:r>
      <w:r>
        <w:t>ws</w:t>
      </w:r>
      <w:r>
        <w:t>pierać identyfikację momentów wymagających oceny surowego zapisu. Sygnał zwolnienia zwykle wskazuje</w:t>
      </w:r>
      <w:r w:rsidR="00EC1CA4">
        <w:t xml:space="preserve"> na </w:t>
      </w:r>
      <w:r>
        <w:t>dysfunkcję ośrodkowego układu nerwowego, lecz</w:t>
      </w:r>
      <w:r w:rsidR="00EC1CA4">
        <w:t xml:space="preserve"> z </w:t>
      </w:r>
      <w:r>
        <w:t>reguły nie identyfikuje samodzielnie jej etiologii.</w:t>
      </w:r>
    </w:p>
    <w:p w:rsidR="00FE4648" w:rsidRDefault="002158A6">
      <w:pPr>
        <w:pStyle w:val="Nagwek2"/>
      </w:pPr>
      <w:r>
        <w:t>6.3. Medycyna snu</w:t>
      </w:r>
    </w:p>
    <w:p w:rsidR="00FE4648" w:rsidRDefault="002158A6" w:rsidP="00DA14FD">
      <w:pPr>
        <w:jc w:val="both"/>
      </w:pPr>
      <w:r>
        <w:t>EEG stanowi integralny element poli</w:t>
      </w:r>
      <w:r>
        <w:t>somnografii (PSG),</w:t>
      </w:r>
      <w:r w:rsidR="00EC1CA4">
        <w:t xml:space="preserve"> w </w:t>
      </w:r>
      <w:r>
        <w:t>której wraz</w:t>
      </w:r>
      <w:r w:rsidR="00EC1CA4">
        <w:t xml:space="preserve"> z </w:t>
      </w:r>
      <w:r>
        <w:t>EOG</w:t>
      </w:r>
      <w:r w:rsidR="00EC1CA4">
        <w:t xml:space="preserve"> i </w:t>
      </w:r>
      <w:r>
        <w:t>EMG umożliwia ocenę faz snu, wybudzeń</w:t>
      </w:r>
      <w:r w:rsidR="00EC1CA4">
        <w:t xml:space="preserve"> i </w:t>
      </w:r>
      <w:r>
        <w:t>architektury snu. Nie należy utożsamiać tej ugruntowanej funkcji</w:t>
      </w:r>
      <w:r w:rsidR="00EC1CA4">
        <w:t xml:space="preserve"> z </w:t>
      </w:r>
      <w:r>
        <w:t>rzekomą zdolnością pojedynczego widma qEEG</w:t>
      </w:r>
      <w:r w:rsidR="00EC1CA4">
        <w:t xml:space="preserve"> do </w:t>
      </w:r>
      <w:r>
        <w:t>potwierdzania bezsenności.</w:t>
      </w:r>
      <w:r w:rsidR="00EC1CA4">
        <w:t xml:space="preserve"> W </w:t>
      </w:r>
      <w:r>
        <w:t>metaanalizie 24 badań obejmującyc</w:t>
      </w:r>
      <w:r>
        <w:t>h 977 osób</w:t>
      </w:r>
      <w:r w:rsidR="00EC1CA4">
        <w:t xml:space="preserve"> z </w:t>
      </w:r>
      <w:r>
        <w:t>bezsennością wykazano m.in. zwiększoną moc beta, ale dane</w:t>
      </w:r>
      <w:r w:rsidR="00EC1CA4">
        <w:t xml:space="preserve"> te </w:t>
      </w:r>
      <w:r>
        <w:t>opisują grupowy korelat pobudzenia</w:t>
      </w:r>
      <w:r w:rsidR="00EC1CA4">
        <w:t xml:space="preserve"> i </w:t>
      </w:r>
      <w:r>
        <w:t>nie wyznaczają zwalidowanego progu klinicznego [12].</w:t>
      </w:r>
    </w:p>
    <w:p w:rsidR="00FE4648" w:rsidRDefault="002158A6">
      <w:pPr>
        <w:pStyle w:val="Nagwek1"/>
      </w:pPr>
      <w:r>
        <w:t>7. Markery EEG/qEEG/ERP</w:t>
      </w:r>
      <w:r w:rsidR="00EC1CA4">
        <w:t xml:space="preserve"> w </w:t>
      </w:r>
      <w:r>
        <w:t>psychiatrii</w:t>
      </w:r>
      <w:r w:rsidR="00EC1CA4">
        <w:t xml:space="preserve"> i </w:t>
      </w:r>
      <w:r>
        <w:t>neuropsychologii</w:t>
      </w:r>
    </w:p>
    <w:p w:rsidR="00FE4648" w:rsidRDefault="002158A6" w:rsidP="00DA14FD">
      <w:pPr>
        <w:jc w:val="both"/>
      </w:pPr>
      <w:r>
        <w:t>W odniesieniu</w:t>
      </w:r>
      <w:r w:rsidR="00EC1CA4">
        <w:t xml:space="preserve"> do </w:t>
      </w:r>
      <w:r>
        <w:t>zaburzeń psychiczn</w:t>
      </w:r>
      <w:r>
        <w:t>ych kluczowe jest rozdzielenie zmiany</w:t>
      </w:r>
      <w:r w:rsidR="00EC1CA4">
        <w:t xml:space="preserve"> w </w:t>
      </w:r>
      <w:r>
        <w:t>średniej populacyjnej</w:t>
      </w:r>
      <w:r w:rsidR="00EC1CA4">
        <w:t xml:space="preserve"> od </w:t>
      </w:r>
      <w:r>
        <w:t>indywidualnej trafności diagnostycznej. Nawet istotny statystycznie</w:t>
      </w:r>
      <w:r w:rsidR="00EC1CA4">
        <w:t xml:space="preserve"> i </w:t>
      </w:r>
      <w:r>
        <w:t>powtarzalny efekt może nie poprawiać diagnozy</w:t>
      </w:r>
      <w:r w:rsidR="00EC1CA4">
        <w:t xml:space="preserve"> w </w:t>
      </w:r>
      <w:r>
        <w:t xml:space="preserve">zróżnicowanej populacji pacjentów. Znaczenie mają spektrum porównywanych </w:t>
      </w:r>
      <w:r>
        <w:t>rozpoznań, leczenie, wiek, senność, współchorobowość oraz wartość predykcyjna przy realistycznym prawdopodobieństwie przedtestowym.</w:t>
      </w:r>
    </w:p>
    <w:p w:rsidR="00FE4648" w:rsidRDefault="002158A6">
      <w:pPr>
        <w:pStyle w:val="Nagwek2"/>
      </w:pPr>
      <w:r>
        <w:t>7.1. Depresja oraz zaburzenia nastroju</w:t>
      </w:r>
    </w:p>
    <w:p w:rsidR="00FE4648" w:rsidRDefault="002158A6">
      <w:r>
        <w:t>W depresji badano m.in. frontal alpha asymmetry (FAA), moc pasm delta–gamma, częstotl</w:t>
      </w:r>
      <w:r>
        <w:t>iwość szczytową alfa, cordance</w:t>
      </w:r>
      <w:r w:rsidR="00EC1CA4">
        <w:t xml:space="preserve"> i </w:t>
      </w:r>
      <w:r>
        <w:t>łączność. Metaanaliza obejmująca 52 badania wykazała</w:t>
      </w:r>
      <w:r w:rsidR="00EC1CA4">
        <w:t xml:space="preserve"> w </w:t>
      </w:r>
      <w:r>
        <w:t>analizie ilościowej przede wszystkim podwyższoną moc beta; dane dotyczące FAA, cordance</w:t>
      </w:r>
      <w:r w:rsidR="00EC1CA4">
        <w:t xml:space="preserve"> i </w:t>
      </w:r>
      <w:r>
        <w:t>innych cech nie pozwoliły</w:t>
      </w:r>
      <w:r w:rsidR="00EC1CA4">
        <w:t xml:space="preserve"> na </w:t>
      </w:r>
      <w:r>
        <w:t>ustalenie uniwersalnego testu,</w:t>
      </w:r>
      <w:r w:rsidR="00EC1CA4">
        <w:t xml:space="preserve"> a </w:t>
      </w:r>
      <w:r>
        <w:t>ryzyko błędu sys</w:t>
      </w:r>
      <w:r>
        <w:t>tematycznego było duże [6]. Analizy choroby afektywnej dwubiegunowej sugerują zmiany połączeń czołowo-ciemieniowych</w:t>
      </w:r>
      <w:r w:rsidR="00EC1CA4">
        <w:t xml:space="preserve"> i </w:t>
      </w:r>
      <w:r>
        <w:t>innych cech sieciowych, ale nie dostarczają stabilnego rozróżnienia między depresją jedno-</w:t>
      </w:r>
      <w:r w:rsidR="00EC1CA4">
        <w:t xml:space="preserve"> i </w:t>
      </w:r>
      <w:r>
        <w:t>dwubiegunową</w:t>
      </w:r>
      <w:r w:rsidR="00EC1CA4">
        <w:t xml:space="preserve"> na </w:t>
      </w:r>
      <w:r>
        <w:t>poziomie pojedynczej osoby [1</w:t>
      </w:r>
      <w:r>
        <w:t>3].</w:t>
      </w:r>
    </w:p>
    <w:p w:rsidR="00FE4648" w:rsidRDefault="002158A6">
      <w:pPr>
        <w:pStyle w:val="Nagwek2"/>
      </w:pPr>
      <w:r>
        <w:t>7.2. ADHD</w:t>
      </w:r>
    </w:p>
    <w:p w:rsidR="00FE4648" w:rsidRDefault="002158A6">
      <w:r>
        <w:t>Historycznie zwiększona theta</w:t>
      </w:r>
      <w:r w:rsidR="00EC1CA4">
        <w:t xml:space="preserve"> i </w:t>
      </w:r>
      <w:r>
        <w:t>wskaźnik theta/beta (TBR) należały</w:t>
      </w:r>
      <w:r w:rsidR="00EC1CA4">
        <w:t xml:space="preserve"> do </w:t>
      </w:r>
      <w:r>
        <w:t>najpopularniejszych kandydatów markerów ADHD. Wyniki różnią się jednak pomiędzy grupami wiekowymi</w:t>
      </w:r>
      <w:r w:rsidR="00EC1CA4">
        <w:t xml:space="preserve"> i </w:t>
      </w:r>
      <w:r>
        <w:t>podtypami neurofizjologicznymi. American Academy</w:t>
      </w:r>
      <w:r w:rsidR="00EC1CA4">
        <w:t xml:space="preserve"> of </w:t>
      </w:r>
      <w:r>
        <w:t>Neurology stwierdził</w:t>
      </w:r>
      <w:r>
        <w:t>a,</w:t>
      </w:r>
      <w:r w:rsidR="00EC1CA4">
        <w:t xml:space="preserve"> że </w:t>
      </w:r>
      <w:r>
        <w:t>TBR</w:t>
      </w:r>
      <w:r w:rsidR="00EC1CA4">
        <w:t xml:space="preserve"> i </w:t>
      </w:r>
      <w:r>
        <w:t>czołowa moc beta nie mogą zastąpić standardowej oceny klinicznej; TBR nie należy używać</w:t>
      </w:r>
      <w:r w:rsidR="00EC1CA4">
        <w:t xml:space="preserve"> do </w:t>
      </w:r>
      <w:r>
        <w:t>potwierdzania ADHD ani uzasadniania dalszych testów poza kontekstem naukowym [4].</w:t>
      </w:r>
      <w:r w:rsidR="00EC1CA4">
        <w:t xml:space="preserve"> W </w:t>
      </w:r>
      <w:r>
        <w:t>literaturze sygnały uwagi</w:t>
      </w:r>
      <w:r w:rsidR="00EC1CA4">
        <w:t xml:space="preserve"> i </w:t>
      </w:r>
      <w:r>
        <w:t>hamowania odpowiedzi mierzone ERP</w:t>
      </w:r>
      <w:r w:rsidR="00EC1CA4">
        <w:t xml:space="preserve"> są </w:t>
      </w:r>
      <w:r>
        <w:t>inte</w:t>
      </w:r>
      <w:r>
        <w:t>resujące mechanistycznie, ale również nie</w:t>
      </w:r>
      <w:r w:rsidR="00EC1CA4">
        <w:t xml:space="preserve"> są </w:t>
      </w:r>
      <w:r>
        <w:t>samodzielnym narzędziem rozpoznania.</w:t>
      </w:r>
    </w:p>
    <w:p w:rsidR="00FE4648" w:rsidRDefault="002158A6">
      <w:pPr>
        <w:pStyle w:val="Nagwek2"/>
      </w:pPr>
      <w:r>
        <w:t>7.3. ASD</w:t>
      </w:r>
    </w:p>
    <w:p w:rsidR="00FE4648" w:rsidRDefault="002158A6">
      <w:r>
        <w:t>Metaanaliza 41 badań obejmująca 1246 osób autystycznych</w:t>
      </w:r>
      <w:r w:rsidR="00EC1CA4">
        <w:t xml:space="preserve"> i </w:t>
      </w:r>
      <w:r>
        <w:t>1455 neurotypowych wykazała zmniejszoną względną moc alfa (g = −0,35) oraz zwiększoną moc gamma (bezwzględn</w:t>
      </w:r>
      <w:r>
        <w:t>ą</w:t>
      </w:r>
      <w:r w:rsidR="00EC1CA4">
        <w:t xml:space="preserve"> g </w:t>
      </w:r>
      <w:r>
        <w:t>= 0,37</w:t>
      </w:r>
      <w:r w:rsidR="00EC1CA4">
        <w:t xml:space="preserve"> i </w:t>
      </w:r>
      <w:r>
        <w:t>względną</w:t>
      </w:r>
      <w:r w:rsidR="00EC1CA4">
        <w:t xml:space="preserve"> g </w:t>
      </w:r>
      <w:r>
        <w:t>= 1,06). Efekty miały jednak dużą heterogeniczność</w:t>
      </w:r>
      <w:r w:rsidR="00EC1CA4">
        <w:t xml:space="preserve"> i </w:t>
      </w:r>
      <w:r>
        <w:t>nie przekładają się</w:t>
      </w:r>
      <w:r w:rsidR="00EC1CA4">
        <w:t xml:space="preserve"> na </w:t>
      </w:r>
      <w:r>
        <w:t>uniwersalny próg diagnostyczny [7]. Badania N170 podczas przetwarzania twarzy opisują różnice grupowe</w:t>
      </w:r>
      <w:r w:rsidR="00EC1CA4">
        <w:t xml:space="preserve"> i </w:t>
      </w:r>
      <w:r>
        <w:t>rozwojowe, ale ich swoistość indywidualna jest ogran</w:t>
      </w:r>
      <w:r>
        <w:t>iczona. EEG może wspierać badanie mechanizmów percepcji</w:t>
      </w:r>
      <w:r w:rsidR="00EC1CA4">
        <w:t xml:space="preserve"> i </w:t>
      </w:r>
      <w:r>
        <w:t>uwagi</w:t>
      </w:r>
      <w:r w:rsidR="00EC1CA4">
        <w:t xml:space="preserve"> w </w:t>
      </w:r>
      <w:r>
        <w:t>ASD, nie zastępuje diagnozy klinicznej.</w:t>
      </w:r>
    </w:p>
    <w:p w:rsidR="00FE4648" w:rsidRDefault="002158A6">
      <w:pPr>
        <w:pStyle w:val="Nagwek2"/>
      </w:pPr>
      <w:r>
        <w:t>7.4. Schizofrenia</w:t>
      </w:r>
      <w:r w:rsidR="00EC1CA4">
        <w:t xml:space="preserve"> i </w:t>
      </w:r>
      <w:r>
        <w:t>stany wysokiego ryzyka psychozy</w:t>
      </w:r>
    </w:p>
    <w:p w:rsidR="00FE4648" w:rsidRDefault="002158A6">
      <w:r>
        <w:t>W schizofrenii</w:t>
      </w:r>
      <w:r w:rsidR="00EC1CA4">
        <w:t xml:space="preserve"> i </w:t>
      </w:r>
      <w:r>
        <w:t xml:space="preserve">w stanach podwyższonego ryzyka psychozy badano MMN, P300, odpowiedzi ASSR/gamma, </w:t>
      </w:r>
      <w:r>
        <w:t>łączność</w:t>
      </w:r>
      <w:r w:rsidR="00EC1CA4">
        <w:t xml:space="preserve"> i </w:t>
      </w:r>
      <w:r>
        <w:t>mikrostany. Najbardziej powtarzalne sygnały dotyczą m.in. zaburzeń przetwarzania słuchowego</w:t>
      </w:r>
      <w:r w:rsidR="00EC1CA4">
        <w:t xml:space="preserve"> i </w:t>
      </w:r>
      <w:r>
        <w:t>kontroli uwagi.</w:t>
      </w:r>
      <w:r w:rsidR="00EC1CA4">
        <w:t xml:space="preserve"> W </w:t>
      </w:r>
      <w:r>
        <w:t>badaniach mikrostanów często opisywano większy udział klasy</w:t>
      </w:r>
      <w:r w:rsidR="00EC1CA4">
        <w:t xml:space="preserve"> C </w:t>
      </w:r>
      <w:r>
        <w:t>i zmniejszenie parametrów klasy D, lecz charakterystyka zależy</w:t>
      </w:r>
      <w:r w:rsidR="00EC1CA4">
        <w:t xml:space="preserve"> od </w:t>
      </w:r>
      <w:r>
        <w:t>klast</w:t>
      </w:r>
      <w:r>
        <w:t>eryzacji</w:t>
      </w:r>
      <w:r w:rsidR="00EC1CA4">
        <w:t xml:space="preserve"> i </w:t>
      </w:r>
      <w:r>
        <w:t>referencji [10]. Obecnie markery</w:t>
      </w:r>
      <w:r w:rsidR="00EC1CA4">
        <w:t xml:space="preserve"> te </w:t>
      </w:r>
      <w:r>
        <w:t>mają największą wartość dla fenotypowania, badań mechanizmów</w:t>
      </w:r>
      <w:r w:rsidR="00EC1CA4">
        <w:t xml:space="preserve"> i </w:t>
      </w:r>
      <w:r>
        <w:t>potencjalnie prognozowania,</w:t>
      </w:r>
      <w:r w:rsidR="00EC1CA4">
        <w:t xml:space="preserve"> a </w:t>
      </w:r>
      <w:r>
        <w:t>nie potwierdzania schizofrenii</w:t>
      </w:r>
      <w:r w:rsidR="00EC1CA4">
        <w:t xml:space="preserve"> w </w:t>
      </w:r>
      <w:r>
        <w:t>pojedynczym badaniu.</w:t>
      </w:r>
    </w:p>
    <w:p w:rsidR="00FE4648" w:rsidRDefault="002158A6">
      <w:pPr>
        <w:pStyle w:val="Nagwek2"/>
      </w:pPr>
      <w:r>
        <w:t>7.5. Zaburzenia lękowe, OCD</w:t>
      </w:r>
      <w:r w:rsidR="00EC1CA4">
        <w:t xml:space="preserve"> i </w:t>
      </w:r>
      <w:r>
        <w:t>PTSD</w:t>
      </w:r>
    </w:p>
    <w:p w:rsidR="00FE4648" w:rsidRDefault="002158A6">
      <w:r>
        <w:t>Najczęściej przywoływanym E</w:t>
      </w:r>
      <w:r>
        <w:t>RP</w:t>
      </w:r>
      <w:r w:rsidR="00EC1CA4">
        <w:t xml:space="preserve"> w </w:t>
      </w:r>
      <w:r>
        <w:t>analizach podatności lękowej</w:t>
      </w:r>
      <w:r w:rsidR="00EC1CA4">
        <w:t xml:space="preserve"> i </w:t>
      </w:r>
      <w:r>
        <w:t>OCD jest error-related negativity (ERN).</w:t>
      </w:r>
      <w:r w:rsidR="00EC1CA4">
        <w:t xml:space="preserve"> W </w:t>
      </w:r>
      <w:r>
        <w:t>PTSD badano aktywność alfa/theta, pobudzenie beta, synchronizację</w:t>
      </w:r>
      <w:r w:rsidR="00EC1CA4">
        <w:t xml:space="preserve"> i </w:t>
      </w:r>
      <w:r>
        <w:t>łączność. Wiele cech współwystępuje</w:t>
      </w:r>
      <w:r w:rsidR="00EC1CA4">
        <w:t xml:space="preserve"> z </w:t>
      </w:r>
      <w:r>
        <w:t>depresją, zaburzeniami snu, obciążeniem traumatycznym</w:t>
      </w:r>
      <w:r w:rsidR="00EC1CA4">
        <w:t xml:space="preserve"> i </w:t>
      </w:r>
      <w:r>
        <w:t>farmakoterapią.</w:t>
      </w:r>
      <w:r>
        <w:t xml:space="preserve"> Brak wystarczająco swoistych</w:t>
      </w:r>
      <w:r w:rsidR="00EC1CA4">
        <w:t xml:space="preserve"> i </w:t>
      </w:r>
      <w:r>
        <w:t>wystandaryzowanych progów, które pozwalałyby stosować resting-state qEEG lub ERN jako indywidualne testy tych rozpoznań.</w:t>
      </w:r>
    </w:p>
    <w:p w:rsidR="00FE4648" w:rsidRDefault="002158A6">
      <w:pPr>
        <w:pStyle w:val="Nagwek1"/>
      </w:pPr>
      <w:r>
        <w:t>8. Pozostałe wskazania</w:t>
      </w:r>
      <w:r w:rsidR="00EC1CA4">
        <w:t xml:space="preserve"> i </w:t>
      </w:r>
      <w:r>
        <w:t>granice translacji</w:t>
      </w:r>
    </w:p>
    <w:p w:rsidR="00FE4648" w:rsidRDefault="002158A6">
      <w:pPr>
        <w:pStyle w:val="Nagwek2"/>
      </w:pPr>
      <w:r>
        <w:t>8.1. MCI</w:t>
      </w:r>
      <w:r w:rsidR="00EC1CA4">
        <w:t xml:space="preserve"> i </w:t>
      </w:r>
      <w:r>
        <w:t>choroba Alzheimera</w:t>
      </w:r>
    </w:p>
    <w:p w:rsidR="00FE4648" w:rsidRDefault="002158A6">
      <w:r>
        <w:t>W łagodnych zaburzeniach pozn</w:t>
      </w:r>
      <w:r>
        <w:t>awczych (MCI)</w:t>
      </w:r>
      <w:r w:rsidR="00EC1CA4">
        <w:t xml:space="preserve"> i </w:t>
      </w:r>
      <w:r>
        <w:t>chorobie Alzheimera opisywane</w:t>
      </w:r>
      <w:r w:rsidR="00EC1CA4">
        <w:t xml:space="preserve"> są </w:t>
      </w:r>
      <w:r>
        <w:t>spadek tylnej aktywności alfa</w:t>
      </w:r>
      <w:r w:rsidR="00EC1CA4">
        <w:t xml:space="preserve"> i </w:t>
      </w:r>
      <w:r>
        <w:t>jej częstotliwości szczytowej, wzrost theta/delta, zmiany łączności</w:t>
      </w:r>
      <w:r w:rsidR="00EC1CA4">
        <w:t xml:space="preserve"> i </w:t>
      </w:r>
      <w:r>
        <w:t>złożoności oraz wydłużenie latencji wybranych ERP. Przeglądy raportują heterogeniczne zakresy czułości</w:t>
      </w:r>
      <w:r w:rsidR="00EC1CA4">
        <w:t xml:space="preserve"> i </w:t>
      </w:r>
      <w:r>
        <w:t>swoistości dla poszczególnych markerów; nie stanowią one parametrów jednego, ustandaryzowanego testu. EEG może wspierać ocenę dysfunkcji sieciowych lub diagnostykę różnicową, lecz samo nie identyfikuje etiologii amyloidowej ani tau [14].</w:t>
      </w:r>
    </w:p>
    <w:p w:rsidR="00FE4648" w:rsidRDefault="002158A6">
      <w:pPr>
        <w:pStyle w:val="Nagwek2"/>
      </w:pPr>
      <w:r>
        <w:t xml:space="preserve">8.2. Łagodne </w:t>
      </w:r>
      <w:r>
        <w:t>urazowe uszkodzenie mózgu</w:t>
      </w:r>
    </w:p>
    <w:p w:rsidR="00FE4648" w:rsidRDefault="002158A6">
      <w:r>
        <w:t>Wytyczne American Clinical Neurophysiology Society</w:t>
      </w:r>
      <w:r w:rsidR="00EC1CA4">
        <w:t xml:space="preserve"> z </w:t>
      </w:r>
      <w:r>
        <w:t>2021 r. uznały,</w:t>
      </w:r>
      <w:r w:rsidR="00EC1CA4">
        <w:t xml:space="preserve"> że </w:t>
      </w:r>
      <w:r>
        <w:t>dostępne dowody nie wspierają stosowania qEEG</w:t>
      </w:r>
      <w:r w:rsidR="00EC1CA4">
        <w:t xml:space="preserve"> do </w:t>
      </w:r>
      <w:r>
        <w:t>rozpoznawania łagodnego urazowego uszkodzenia mózgu (mTBI) ani</w:t>
      </w:r>
      <w:r w:rsidR="00EC1CA4">
        <w:t xml:space="preserve"> w </w:t>
      </w:r>
      <w:r>
        <w:t>okresie ostrym, ani odległym. Metoda pozosta</w:t>
      </w:r>
      <w:r>
        <w:t>je badawcza</w:t>
      </w:r>
      <w:r w:rsidR="00EC1CA4">
        <w:t xml:space="preserve"> w </w:t>
      </w:r>
      <w:r>
        <w:t>tym konkretnym wskazaniu [5]. Nie przeczy</w:t>
      </w:r>
      <w:r w:rsidR="00EC1CA4">
        <w:t xml:space="preserve"> to </w:t>
      </w:r>
      <w:r>
        <w:t>wartości EEG przy podejrzeniu napadów lub zaburzeń świadomości</w:t>
      </w:r>
      <w:r w:rsidR="00EC1CA4">
        <w:t xml:space="preserve"> po </w:t>
      </w:r>
      <w:r>
        <w:t>cięższych urazach.</w:t>
      </w:r>
    </w:p>
    <w:p w:rsidR="00FE4648" w:rsidRDefault="002158A6">
      <w:pPr>
        <w:pStyle w:val="Nagwek1"/>
      </w:pPr>
      <w:r>
        <w:t>9. Macierz jakości dowodów</w:t>
      </w:r>
      <w:r w:rsidR="00EC1CA4">
        <w:t xml:space="preserve"> i </w:t>
      </w:r>
      <w:r>
        <w:t>statusu klinicznego</w:t>
      </w:r>
    </w:p>
    <w:p w:rsidR="00FE4648" w:rsidRDefault="002158A6">
      <w:r>
        <w:t>Tabela syntetyzuje zastosowania,</w:t>
      </w:r>
      <w:r w:rsidR="00EC1CA4">
        <w:t xml:space="preserve"> a </w:t>
      </w:r>
      <w:r>
        <w:t xml:space="preserve">nie „ranking chorób”. </w:t>
      </w:r>
      <w:r>
        <w:t>Określenie „ugruntowane” dotyczy określonego celu testu; nie oznacza,</w:t>
      </w:r>
      <w:r w:rsidR="00EC1CA4">
        <w:t xml:space="preserve"> że </w:t>
      </w:r>
      <w:r>
        <w:t>wynik EEG samodzielnie rozpoznaje etiologię.</w:t>
      </w:r>
      <w:r w:rsidR="00EC1CA4">
        <w:t xml:space="preserve"> W </w:t>
      </w:r>
      <w:r>
        <w:t>pozostałych wierszach obserwowane różnice grupowe nie</w:t>
      </w:r>
      <w:r w:rsidR="00EC1CA4">
        <w:t xml:space="preserve"> są </w:t>
      </w:r>
      <w:r>
        <w:t>równoważne indywidualnej trafności diagnostycznej.</w:t>
      </w:r>
    </w:p>
    <w:tbl>
      <w:tblPr>
        <w:tblStyle w:val="Tabela-Siatk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6"/>
        <w:gridCol w:w="2523"/>
        <w:gridCol w:w="2098"/>
        <w:gridCol w:w="3288"/>
      </w:tblGrid>
      <w:tr w:rsidR="00FE4648">
        <w:trPr>
          <w:tblHeader/>
          <w:jc w:val="center"/>
        </w:trPr>
        <w:tc>
          <w:tcPr>
            <w:tcW w:w="1616" w:type="dxa"/>
            <w:shd w:val="clear" w:color="auto" w:fill="183047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FE4648" w:rsidRDefault="002158A6">
            <w:pPr>
              <w:spacing w:after="0"/>
            </w:pPr>
            <w:r>
              <w:rPr>
                <w:b/>
                <w:color w:val="FFFFFF"/>
                <w:sz w:val="15"/>
              </w:rPr>
              <w:t>Wskazanie</w:t>
            </w:r>
          </w:p>
        </w:tc>
        <w:tc>
          <w:tcPr>
            <w:tcW w:w="2523" w:type="dxa"/>
            <w:shd w:val="clear" w:color="auto" w:fill="183047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FE4648" w:rsidRDefault="002158A6">
            <w:pPr>
              <w:spacing w:after="0"/>
            </w:pPr>
            <w:r>
              <w:rPr>
                <w:b/>
                <w:color w:val="FFFFFF"/>
                <w:sz w:val="15"/>
              </w:rPr>
              <w:t>Najważniejszy pomi</w:t>
            </w:r>
            <w:r>
              <w:rPr>
                <w:b/>
                <w:color w:val="FFFFFF"/>
                <w:sz w:val="15"/>
              </w:rPr>
              <w:t>ar</w:t>
            </w:r>
          </w:p>
        </w:tc>
        <w:tc>
          <w:tcPr>
            <w:tcW w:w="2098" w:type="dxa"/>
            <w:shd w:val="clear" w:color="auto" w:fill="183047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FE4648" w:rsidRDefault="002158A6">
            <w:pPr>
              <w:spacing w:after="0"/>
            </w:pPr>
            <w:r>
              <w:rPr>
                <w:b/>
                <w:color w:val="FFFFFF"/>
                <w:sz w:val="15"/>
              </w:rPr>
              <w:t>Stan dowodów</w:t>
            </w:r>
          </w:p>
        </w:tc>
        <w:tc>
          <w:tcPr>
            <w:tcW w:w="3288" w:type="dxa"/>
            <w:shd w:val="clear" w:color="auto" w:fill="183047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FE4648" w:rsidRDefault="002158A6">
            <w:pPr>
              <w:spacing w:after="0"/>
            </w:pPr>
            <w:r>
              <w:rPr>
                <w:b/>
                <w:color w:val="FFFFFF"/>
                <w:sz w:val="15"/>
              </w:rPr>
              <w:t>Wniosek praktyczny</w:t>
            </w:r>
          </w:p>
        </w:tc>
      </w:tr>
      <w:tr w:rsidR="00FE4648">
        <w:trPr>
          <w:jc w:val="center"/>
        </w:trPr>
        <w:tc>
          <w:tcPr>
            <w:tcW w:w="1616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Padaczka, napady</w:t>
            </w:r>
          </w:p>
        </w:tc>
        <w:tc>
          <w:tcPr>
            <w:tcW w:w="2523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EEG morfologiczne, IED, zapis napadowy</w:t>
            </w:r>
          </w:p>
        </w:tc>
        <w:tc>
          <w:tcPr>
            <w:tcW w:w="2098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Ugruntowana rola pomocnicza</w:t>
            </w:r>
          </w:p>
        </w:tc>
        <w:tc>
          <w:tcPr>
            <w:tcW w:w="3288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Zlecać przy wskazaniach; wynik ujemny nie wyklucza choroby.</w:t>
            </w:r>
          </w:p>
        </w:tc>
      </w:tr>
      <w:tr w:rsidR="00FE4648">
        <w:trPr>
          <w:jc w:val="center"/>
        </w:trPr>
        <w:tc>
          <w:tcPr>
            <w:tcW w:w="1616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Encefalopatie</w:t>
            </w:r>
          </w:p>
        </w:tc>
        <w:tc>
          <w:tcPr>
            <w:tcW w:w="2523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Reaktywność, zwolnienie, wzorce napadowe</w:t>
            </w:r>
          </w:p>
        </w:tc>
        <w:tc>
          <w:tcPr>
            <w:tcW w:w="2098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Ugruntowana rola EEG</w:t>
            </w:r>
          </w:p>
        </w:tc>
        <w:tc>
          <w:tcPr>
            <w:tcW w:w="3288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Ocena dysfunkcji</w:t>
            </w:r>
            <w:r w:rsidR="00EC1CA4">
              <w:rPr>
                <w:sz w:val="15"/>
              </w:rPr>
              <w:t xml:space="preserve"> i </w:t>
            </w:r>
            <w:r>
              <w:rPr>
                <w:sz w:val="15"/>
              </w:rPr>
              <w:t>napadów, nie samodzielna etiologia.</w:t>
            </w:r>
          </w:p>
        </w:tc>
      </w:tr>
      <w:tr w:rsidR="00FE4648">
        <w:trPr>
          <w:jc w:val="center"/>
        </w:trPr>
        <w:tc>
          <w:tcPr>
            <w:tcW w:w="1616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Sen / PSG</w:t>
            </w:r>
          </w:p>
        </w:tc>
        <w:tc>
          <w:tcPr>
            <w:tcW w:w="2523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Stadia snu, wybudzenia</w:t>
            </w:r>
          </w:p>
        </w:tc>
        <w:tc>
          <w:tcPr>
            <w:tcW w:w="2098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Ugruntowane jako element PSG</w:t>
            </w:r>
          </w:p>
        </w:tc>
        <w:tc>
          <w:tcPr>
            <w:tcW w:w="3288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Nie mylić</w:t>
            </w:r>
            <w:r w:rsidR="00EC1CA4">
              <w:rPr>
                <w:sz w:val="15"/>
              </w:rPr>
              <w:t xml:space="preserve"> z </w:t>
            </w:r>
            <w:r>
              <w:rPr>
                <w:sz w:val="15"/>
              </w:rPr>
              <w:t>diagnostycznym qEEG bezsenności.</w:t>
            </w:r>
          </w:p>
        </w:tc>
      </w:tr>
      <w:tr w:rsidR="00FE4648">
        <w:trPr>
          <w:jc w:val="center"/>
        </w:trPr>
        <w:tc>
          <w:tcPr>
            <w:tcW w:w="1616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MCI / AD</w:t>
            </w:r>
          </w:p>
        </w:tc>
        <w:tc>
          <w:tcPr>
            <w:tcW w:w="2523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Spowolnienie alfa, wzrost theta, P300</w:t>
            </w:r>
          </w:p>
        </w:tc>
        <w:tc>
          <w:tcPr>
            <w:tcW w:w="2098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Obiecujący wskaźnik pomocniczy</w:t>
            </w:r>
          </w:p>
        </w:tc>
        <w:tc>
          <w:tcPr>
            <w:tcW w:w="3288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 xml:space="preserve">Brak </w:t>
            </w:r>
            <w:r>
              <w:rPr>
                <w:sz w:val="15"/>
              </w:rPr>
              <w:t>uniwersalnego biomarkera etiologicznego.</w:t>
            </w:r>
          </w:p>
        </w:tc>
      </w:tr>
      <w:tr w:rsidR="00FE4648">
        <w:trPr>
          <w:jc w:val="center"/>
        </w:trPr>
        <w:tc>
          <w:tcPr>
            <w:tcW w:w="1616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ADHD</w:t>
            </w:r>
          </w:p>
        </w:tc>
        <w:tc>
          <w:tcPr>
            <w:tcW w:w="2523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TBR, theta, ERP uwagowe</w:t>
            </w:r>
          </w:p>
        </w:tc>
        <w:tc>
          <w:tcPr>
            <w:tcW w:w="2098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Niewystarczające dla diagnozy</w:t>
            </w:r>
          </w:p>
        </w:tc>
        <w:tc>
          <w:tcPr>
            <w:tcW w:w="3288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TBR nie potwierdza ADHD.</w:t>
            </w:r>
          </w:p>
        </w:tc>
      </w:tr>
      <w:tr w:rsidR="00FE4648">
        <w:trPr>
          <w:jc w:val="center"/>
        </w:trPr>
        <w:tc>
          <w:tcPr>
            <w:tcW w:w="1616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ASD</w:t>
            </w:r>
          </w:p>
        </w:tc>
        <w:tc>
          <w:tcPr>
            <w:tcW w:w="2523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Alfa/gamma, N170</w:t>
            </w:r>
          </w:p>
        </w:tc>
        <w:tc>
          <w:tcPr>
            <w:tcW w:w="2098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Różnice grupowe, niska swoistość</w:t>
            </w:r>
          </w:p>
        </w:tc>
        <w:tc>
          <w:tcPr>
            <w:tcW w:w="3288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Nie potwierdza ASD.</w:t>
            </w:r>
          </w:p>
        </w:tc>
      </w:tr>
      <w:tr w:rsidR="00FE4648">
        <w:trPr>
          <w:jc w:val="center"/>
        </w:trPr>
        <w:tc>
          <w:tcPr>
            <w:tcW w:w="1616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Depresja / ChAD</w:t>
            </w:r>
          </w:p>
        </w:tc>
        <w:tc>
          <w:tcPr>
            <w:tcW w:w="2523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Beta, FAA, łączność</w:t>
            </w:r>
          </w:p>
        </w:tc>
        <w:tc>
          <w:tcPr>
            <w:tcW w:w="2098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 xml:space="preserve">Niedostateczna </w:t>
            </w:r>
            <w:r>
              <w:rPr>
                <w:sz w:val="15"/>
              </w:rPr>
              <w:t>walidacja indywidualna</w:t>
            </w:r>
          </w:p>
        </w:tc>
        <w:tc>
          <w:tcPr>
            <w:tcW w:w="3288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Nie zastępuje wywiadu</w:t>
            </w:r>
            <w:r w:rsidR="00EC1CA4">
              <w:rPr>
                <w:sz w:val="15"/>
              </w:rPr>
              <w:t xml:space="preserve"> i </w:t>
            </w:r>
            <w:r>
              <w:rPr>
                <w:sz w:val="15"/>
              </w:rPr>
              <w:t>klasyfikacji klinicznej.</w:t>
            </w:r>
          </w:p>
        </w:tc>
      </w:tr>
      <w:tr w:rsidR="00FE4648">
        <w:trPr>
          <w:jc w:val="center"/>
        </w:trPr>
        <w:tc>
          <w:tcPr>
            <w:tcW w:w="1616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Schizofrenia</w:t>
            </w:r>
          </w:p>
        </w:tc>
        <w:tc>
          <w:tcPr>
            <w:tcW w:w="2523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MMN/P300, mikrostany, ASSR</w:t>
            </w:r>
          </w:p>
        </w:tc>
        <w:tc>
          <w:tcPr>
            <w:tcW w:w="2098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Obiecujące, badawcze</w:t>
            </w:r>
          </w:p>
        </w:tc>
        <w:tc>
          <w:tcPr>
            <w:tcW w:w="3288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Fenotypowanie/prognozowanie; brak testu nozologicznego.</w:t>
            </w:r>
          </w:p>
        </w:tc>
      </w:tr>
      <w:tr w:rsidR="00FE4648">
        <w:trPr>
          <w:jc w:val="center"/>
        </w:trPr>
        <w:tc>
          <w:tcPr>
            <w:tcW w:w="1616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Lęk / OCD / PTSD</w:t>
            </w:r>
          </w:p>
        </w:tc>
        <w:tc>
          <w:tcPr>
            <w:tcW w:w="2523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ERN, alfa/theta, łączność</w:t>
            </w:r>
          </w:p>
        </w:tc>
        <w:tc>
          <w:tcPr>
            <w:tcW w:w="2098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Badawcze, mało swoiste</w:t>
            </w:r>
          </w:p>
        </w:tc>
        <w:tc>
          <w:tcPr>
            <w:tcW w:w="3288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Interpretacja</w:t>
            </w:r>
            <w:r w:rsidR="00EC1CA4">
              <w:rPr>
                <w:sz w:val="15"/>
              </w:rPr>
              <w:t xml:space="preserve"> w </w:t>
            </w:r>
            <w:r>
              <w:rPr>
                <w:sz w:val="15"/>
              </w:rPr>
              <w:t>ramach hipotezy, nie rozpoznania.</w:t>
            </w:r>
          </w:p>
        </w:tc>
      </w:tr>
      <w:tr w:rsidR="00FE4648">
        <w:trPr>
          <w:jc w:val="center"/>
        </w:trPr>
        <w:tc>
          <w:tcPr>
            <w:tcW w:w="1616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mTBI</w:t>
            </w:r>
          </w:p>
        </w:tc>
        <w:tc>
          <w:tcPr>
            <w:tcW w:w="2523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Widmo qEEG, miary złożone</w:t>
            </w:r>
          </w:p>
        </w:tc>
        <w:tc>
          <w:tcPr>
            <w:tcW w:w="2098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Brak poparcia diagnostycznego</w:t>
            </w:r>
          </w:p>
        </w:tc>
        <w:tc>
          <w:tcPr>
            <w:tcW w:w="3288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5"/>
              </w:rPr>
              <w:t>Nie stosować qEEG</w:t>
            </w:r>
            <w:r w:rsidR="00EC1CA4">
              <w:rPr>
                <w:sz w:val="15"/>
              </w:rPr>
              <w:t xml:space="preserve"> do </w:t>
            </w:r>
            <w:r>
              <w:rPr>
                <w:sz w:val="15"/>
              </w:rPr>
              <w:t>potwierdzania mTBI.</w:t>
            </w:r>
          </w:p>
        </w:tc>
      </w:tr>
    </w:tbl>
    <w:p w:rsidR="00FE4648" w:rsidRDefault="00FE4648">
      <w:pPr>
        <w:spacing w:after="0"/>
      </w:pPr>
    </w:p>
    <w:p w:rsidR="00FE4648" w:rsidRDefault="002158A6">
      <w:pPr>
        <w:pStyle w:val="Nagwek1"/>
      </w:pPr>
      <w:r>
        <w:t>10. Minimalny standard pozyskiwania</w:t>
      </w:r>
      <w:r w:rsidR="00EC1CA4">
        <w:t xml:space="preserve"> i </w:t>
      </w:r>
      <w:r>
        <w:t>analizy danych</w:t>
      </w:r>
    </w:p>
    <w:p w:rsidR="00FE4648" w:rsidRDefault="002158A6" w:rsidP="00DA14FD">
      <w:pPr>
        <w:jc w:val="both"/>
      </w:pPr>
      <w:r>
        <w:t xml:space="preserve">Wytyczne IFCN–ILAE stanowią punkt odniesienia </w:t>
      </w:r>
      <w:r>
        <w:t>dla rutynowego EEG</w:t>
      </w:r>
      <w:r w:rsidR="00EC1CA4">
        <w:t xml:space="preserve"> i </w:t>
      </w:r>
      <w:r>
        <w:t>EEG podczas snu. Ich zalecenia oparto częściowo</w:t>
      </w:r>
      <w:r w:rsidR="00EC1CA4">
        <w:t xml:space="preserve"> na </w:t>
      </w:r>
      <w:r>
        <w:t>konsensusie, ponieważ jakość dostępnych badań technicznych jest niska</w:t>
      </w:r>
      <w:r w:rsidR="00EC1CA4">
        <w:t xml:space="preserve"> do </w:t>
      </w:r>
      <w:r>
        <w:t>umiarkowanej [1]. Parametry badań ERP</w:t>
      </w:r>
      <w:r w:rsidR="00EC1CA4">
        <w:t xml:space="preserve"> i </w:t>
      </w:r>
      <w:r>
        <w:t>zaawansowanego qEEG mogą wymagać dodatkowych wymogów zależnych</w:t>
      </w:r>
      <w:r w:rsidR="00EC1CA4">
        <w:t xml:space="preserve"> od </w:t>
      </w:r>
      <w:r>
        <w:t>hipot</w:t>
      </w:r>
      <w:r>
        <w:t>ezy.</w:t>
      </w:r>
    </w:p>
    <w:tbl>
      <w:tblPr>
        <w:tblStyle w:val="Tabela-Siatk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58"/>
        <w:gridCol w:w="4365"/>
      </w:tblGrid>
      <w:tr w:rsidR="00FE4648">
        <w:trPr>
          <w:tblHeader/>
          <w:jc w:val="center"/>
        </w:trPr>
        <w:tc>
          <w:tcPr>
            <w:tcW w:w="1701" w:type="dxa"/>
            <w:shd w:val="clear" w:color="auto" w:fill="183047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FE4648" w:rsidRDefault="002158A6">
            <w:pPr>
              <w:spacing w:after="0"/>
            </w:pPr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w="3458" w:type="dxa"/>
            <w:shd w:val="clear" w:color="auto" w:fill="183047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FE4648" w:rsidRDefault="002158A6">
            <w:pPr>
              <w:spacing w:after="0"/>
            </w:pPr>
            <w:r>
              <w:rPr>
                <w:b/>
                <w:color w:val="FFFFFF"/>
                <w:sz w:val="16"/>
              </w:rPr>
              <w:t>Minimum / zasada</w:t>
            </w:r>
          </w:p>
        </w:tc>
        <w:tc>
          <w:tcPr>
            <w:tcW w:w="4365" w:type="dxa"/>
            <w:shd w:val="clear" w:color="auto" w:fill="183047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FE4648" w:rsidRDefault="002158A6">
            <w:pPr>
              <w:spacing w:after="0"/>
            </w:pPr>
            <w:r>
              <w:rPr>
                <w:b/>
                <w:color w:val="FFFFFF"/>
                <w:sz w:val="16"/>
              </w:rPr>
              <w:t>Raportowanie</w:t>
            </w:r>
            <w:r w:rsidR="00EC1CA4">
              <w:rPr>
                <w:b/>
                <w:color w:val="FFFFFF"/>
                <w:sz w:val="16"/>
              </w:rPr>
              <w:t xml:space="preserve"> i </w:t>
            </w:r>
            <w:r>
              <w:rPr>
                <w:b/>
                <w:color w:val="FFFFFF"/>
                <w:sz w:val="16"/>
              </w:rPr>
              <w:t>kontrola</w:t>
            </w:r>
          </w:p>
        </w:tc>
      </w:tr>
      <w:tr w:rsidR="00FE4648">
        <w:trPr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Elektrody</w:t>
            </w:r>
          </w:p>
        </w:tc>
        <w:tc>
          <w:tcPr>
            <w:tcW w:w="3458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Układ 10–20; preferowany montaż IFCN 25 elektrod, gdy możliwy</w:t>
            </w:r>
          </w:p>
        </w:tc>
        <w:tc>
          <w:tcPr>
            <w:tcW w:w="4365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Lista kanałów, pozycje, elektroda referencyjna.</w:t>
            </w:r>
          </w:p>
        </w:tc>
      </w:tr>
      <w:tr w:rsidR="00FE4648">
        <w:trPr>
          <w:jc w:val="center"/>
        </w:trPr>
        <w:tc>
          <w:tcPr>
            <w:tcW w:w="1701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Impedancja</w:t>
            </w:r>
          </w:p>
        </w:tc>
        <w:tc>
          <w:tcPr>
            <w:tcW w:w="3458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Zalecana &lt; 5 kΩ; &lt; 10 kΩ akceptowalna</w:t>
            </w:r>
          </w:p>
        </w:tc>
        <w:tc>
          <w:tcPr>
            <w:tcW w:w="4365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Wartości, nierównowaga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>kanały</w:t>
            </w:r>
            <w:r>
              <w:rPr>
                <w:sz w:val="16"/>
              </w:rPr>
              <w:t xml:space="preserve"> problematyczne.</w:t>
            </w:r>
          </w:p>
        </w:tc>
      </w:tr>
      <w:tr w:rsidR="00FE4648">
        <w:trPr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Próbkowanie</w:t>
            </w:r>
          </w:p>
        </w:tc>
        <w:tc>
          <w:tcPr>
            <w:tcW w:w="3458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Co najmniej 256</w:t>
            </w:r>
            <w:r w:rsidR="00EC1CA4">
              <w:rPr>
                <w:sz w:val="16"/>
              </w:rPr>
              <w:t xml:space="preserve"> Hz </w:t>
            </w:r>
            <w:r>
              <w:rPr>
                <w:sz w:val="16"/>
              </w:rPr>
              <w:t>dla rutynowego EEG</w:t>
            </w:r>
          </w:p>
        </w:tc>
        <w:tc>
          <w:tcPr>
            <w:tcW w:w="4365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fₛ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>filtry antyaliasingowe; wyższe fₛ według celu.</w:t>
            </w:r>
          </w:p>
        </w:tc>
      </w:tr>
      <w:tr w:rsidR="00FE4648">
        <w:trPr>
          <w:jc w:val="center"/>
        </w:trPr>
        <w:tc>
          <w:tcPr>
            <w:tcW w:w="1701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Filtry podglądu</w:t>
            </w:r>
          </w:p>
        </w:tc>
        <w:tc>
          <w:tcPr>
            <w:tcW w:w="3458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Orientacyjnie 0,5</w:t>
            </w:r>
            <w:r w:rsidR="00EC1CA4">
              <w:rPr>
                <w:sz w:val="16"/>
              </w:rPr>
              <w:t xml:space="preserve"> Hz </w:t>
            </w:r>
            <w:r>
              <w:rPr>
                <w:sz w:val="16"/>
              </w:rPr>
              <w:t>high-pass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>70</w:t>
            </w:r>
            <w:r w:rsidR="00EC1CA4">
              <w:rPr>
                <w:sz w:val="16"/>
              </w:rPr>
              <w:t xml:space="preserve"> Hz </w:t>
            </w:r>
            <w:r>
              <w:rPr>
                <w:sz w:val="16"/>
              </w:rPr>
              <w:t>low-pass</w:t>
            </w:r>
          </w:p>
        </w:tc>
        <w:tc>
          <w:tcPr>
            <w:tcW w:w="4365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Filtry online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>offline; surowy zapis zachowany.</w:t>
            </w:r>
          </w:p>
        </w:tc>
      </w:tr>
      <w:tr w:rsidR="00FE4648">
        <w:trPr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Czas rejestracji</w:t>
            </w:r>
          </w:p>
        </w:tc>
        <w:tc>
          <w:tcPr>
            <w:tcW w:w="3458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Około 20 min rutynowego EEG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>30 min EEG snu</w:t>
            </w:r>
          </w:p>
        </w:tc>
        <w:tc>
          <w:tcPr>
            <w:tcW w:w="4365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Czas całości, czas bez artefaktów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>stan czuwania.</w:t>
            </w:r>
          </w:p>
        </w:tc>
      </w:tr>
      <w:tr w:rsidR="00FE4648">
        <w:trPr>
          <w:jc w:val="center"/>
        </w:trPr>
        <w:tc>
          <w:tcPr>
            <w:tcW w:w="1701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Kanały pomocnicze</w:t>
            </w:r>
          </w:p>
        </w:tc>
        <w:tc>
          <w:tcPr>
            <w:tcW w:w="3458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ECG; EOG/EMG zależnie</w:t>
            </w:r>
            <w:r w:rsidR="00EC1CA4">
              <w:rPr>
                <w:sz w:val="16"/>
              </w:rPr>
              <w:t xml:space="preserve"> od </w:t>
            </w:r>
            <w:r>
              <w:rPr>
                <w:sz w:val="16"/>
              </w:rPr>
              <w:t>wskazań</w:t>
            </w:r>
          </w:p>
        </w:tc>
        <w:tc>
          <w:tcPr>
            <w:tcW w:w="4365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Metoda oznaczenia mrugnięć, ruchów oczu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>EMG.</w:t>
            </w:r>
          </w:p>
        </w:tc>
      </w:tr>
      <w:tr w:rsidR="00FE4648">
        <w:trPr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ERP</w:t>
            </w:r>
          </w:p>
        </w:tc>
        <w:tc>
          <w:tcPr>
            <w:tcW w:w="3458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Precyzyjne markery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>ustalone okna / ROI</w:t>
            </w:r>
          </w:p>
        </w:tc>
        <w:tc>
          <w:tcPr>
            <w:tcW w:w="4365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 xml:space="preserve">Jitter, liczba </w:t>
            </w:r>
            <w:r>
              <w:rPr>
                <w:sz w:val="16"/>
              </w:rPr>
              <w:t>prób, baseline, odrzuty, kontrasty.</w:t>
            </w:r>
          </w:p>
        </w:tc>
      </w:tr>
      <w:tr w:rsidR="00FE4648">
        <w:trPr>
          <w:jc w:val="center"/>
        </w:trPr>
        <w:tc>
          <w:tcPr>
            <w:tcW w:w="1701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qEEG</w:t>
            </w:r>
          </w:p>
        </w:tc>
        <w:tc>
          <w:tcPr>
            <w:tcW w:w="3458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Zdefiniowane pasma, PSD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>referencja</w:t>
            </w:r>
          </w:p>
        </w:tc>
        <w:tc>
          <w:tcPr>
            <w:tcW w:w="4365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Metoda, długość epok, artefakty, korekcje wielokrotnych testów.</w:t>
            </w:r>
          </w:p>
        </w:tc>
      </w:tr>
      <w:tr w:rsidR="00FE4648">
        <w:trPr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ML</w:t>
            </w:r>
          </w:p>
        </w:tc>
        <w:tc>
          <w:tcPr>
            <w:tcW w:w="3458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Podział</w:t>
            </w:r>
            <w:r w:rsidR="00EC1CA4">
              <w:rPr>
                <w:sz w:val="16"/>
              </w:rPr>
              <w:t xml:space="preserve"> na </w:t>
            </w:r>
            <w:r>
              <w:rPr>
                <w:sz w:val="16"/>
              </w:rPr>
              <w:t>poziomie osoby; niezależny zbiór</w:t>
            </w:r>
          </w:p>
        </w:tc>
        <w:tc>
          <w:tcPr>
            <w:tcW w:w="4365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Przedziały ufności, kalibracja, prevalencja, leakage.</w:t>
            </w:r>
          </w:p>
        </w:tc>
      </w:tr>
      <w:tr w:rsidR="00FE4648">
        <w:trPr>
          <w:jc w:val="center"/>
        </w:trPr>
        <w:tc>
          <w:tcPr>
            <w:tcW w:w="1701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Archiwizacja</w:t>
            </w:r>
          </w:p>
        </w:tc>
        <w:tc>
          <w:tcPr>
            <w:tcW w:w="3458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Zachować surowe dane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>metadane</w:t>
            </w:r>
          </w:p>
        </w:tc>
        <w:tc>
          <w:tcPr>
            <w:tcW w:w="4365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EEG-BIDS, wersje narzędzi, parametry preprocessingu.</w:t>
            </w:r>
          </w:p>
        </w:tc>
      </w:tr>
    </w:tbl>
    <w:p w:rsidR="00FE4648" w:rsidRDefault="00FE4648">
      <w:pPr>
        <w:spacing w:after="0"/>
      </w:pPr>
    </w:p>
    <w:p w:rsidR="00FE4648" w:rsidRDefault="002158A6">
      <w:pPr>
        <w:pStyle w:val="Nagwek2"/>
      </w:pPr>
      <w:r>
        <w:t>10.1. Reprodukowany proces analityczny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FE4648">
        <w:tc>
          <w:tcPr>
            <w:tcW w:w="4762" w:type="dxa"/>
            <w:shd w:val="clear" w:color="auto" w:fill="EAF2F5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FE4648" w:rsidRDefault="002158A6">
            <w:pPr>
              <w:spacing w:after="0"/>
            </w:pPr>
            <w:r>
              <w:rPr>
                <w:sz w:val="17"/>
              </w:rPr>
              <w:t>01  Wskazanie</w:t>
            </w:r>
            <w:r w:rsidR="00EC1CA4">
              <w:rPr>
                <w:sz w:val="17"/>
              </w:rPr>
              <w:t xml:space="preserve"> i </w:t>
            </w:r>
            <w:r>
              <w:rPr>
                <w:sz w:val="17"/>
              </w:rPr>
              <w:t>protokół</w:t>
            </w:r>
          </w:p>
        </w:tc>
        <w:tc>
          <w:tcPr>
            <w:tcW w:w="476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FE4648" w:rsidRDefault="002158A6">
            <w:pPr>
              <w:spacing w:after="0"/>
            </w:pPr>
            <w:r>
              <w:rPr>
                <w:sz w:val="17"/>
              </w:rPr>
              <w:t>Pytanie kliniczne/hipoteza; stan czuwania, populacja, zdarzenia, plan analizy.</w:t>
            </w:r>
          </w:p>
        </w:tc>
      </w:tr>
    </w:tbl>
    <w:p w:rsidR="00FE4648" w:rsidRDefault="002158A6">
      <w:pPr>
        <w:spacing w:after="0"/>
        <w:jc w:val="center"/>
      </w:pPr>
      <w:r>
        <w:t>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FE4648">
        <w:tc>
          <w:tcPr>
            <w:tcW w:w="4762" w:type="dxa"/>
            <w:shd w:val="clear" w:color="auto" w:fill="EAF2F5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FE4648" w:rsidRDefault="002158A6">
            <w:pPr>
              <w:spacing w:after="0"/>
            </w:pPr>
            <w:r>
              <w:rPr>
                <w:sz w:val="17"/>
              </w:rPr>
              <w:t xml:space="preserve">02  </w:t>
            </w:r>
            <w:r>
              <w:rPr>
                <w:sz w:val="17"/>
              </w:rPr>
              <w:t>Rejestracja</w:t>
            </w:r>
            <w:r w:rsidR="00EC1CA4">
              <w:rPr>
                <w:sz w:val="17"/>
              </w:rPr>
              <w:t xml:space="preserve"> i </w:t>
            </w:r>
            <w:r>
              <w:rPr>
                <w:sz w:val="17"/>
              </w:rPr>
              <w:t>kontrola</w:t>
            </w:r>
          </w:p>
        </w:tc>
        <w:tc>
          <w:tcPr>
            <w:tcW w:w="476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FE4648" w:rsidRDefault="002158A6">
            <w:pPr>
              <w:spacing w:after="0"/>
            </w:pPr>
            <w:r>
              <w:rPr>
                <w:sz w:val="17"/>
              </w:rPr>
              <w:t>Montaż, jakość elektrod, EOG/ECG/EMG, oznaczenie badania</w:t>
            </w:r>
            <w:r w:rsidR="00EC1CA4">
              <w:rPr>
                <w:sz w:val="17"/>
              </w:rPr>
              <w:t xml:space="preserve"> i </w:t>
            </w:r>
            <w:r>
              <w:rPr>
                <w:sz w:val="17"/>
              </w:rPr>
              <w:t>metadane.</w:t>
            </w:r>
          </w:p>
        </w:tc>
      </w:tr>
    </w:tbl>
    <w:p w:rsidR="00FE4648" w:rsidRDefault="002158A6">
      <w:pPr>
        <w:spacing w:after="0"/>
        <w:jc w:val="center"/>
      </w:pPr>
      <w:r>
        <w:t>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FE4648">
        <w:tc>
          <w:tcPr>
            <w:tcW w:w="4762" w:type="dxa"/>
            <w:shd w:val="clear" w:color="auto" w:fill="EAF2F5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FE4648" w:rsidRDefault="002158A6">
            <w:pPr>
              <w:spacing w:after="0"/>
            </w:pPr>
            <w:r>
              <w:rPr>
                <w:sz w:val="17"/>
              </w:rPr>
              <w:t>03  Przegląd surowego EEG</w:t>
            </w:r>
          </w:p>
        </w:tc>
        <w:tc>
          <w:tcPr>
            <w:tcW w:w="476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FE4648" w:rsidRDefault="002158A6">
            <w:pPr>
              <w:spacing w:after="0"/>
            </w:pPr>
            <w:r>
              <w:rPr>
                <w:sz w:val="17"/>
              </w:rPr>
              <w:t>Ocena artefaktów</w:t>
            </w:r>
            <w:r w:rsidR="00EC1CA4">
              <w:rPr>
                <w:sz w:val="17"/>
              </w:rPr>
              <w:t xml:space="preserve"> i </w:t>
            </w:r>
            <w:r>
              <w:rPr>
                <w:sz w:val="17"/>
              </w:rPr>
              <w:t>potencjalnie istotnych klinicznie zjawisk przed qEEG.</w:t>
            </w:r>
          </w:p>
        </w:tc>
      </w:tr>
    </w:tbl>
    <w:p w:rsidR="00FE4648" w:rsidRDefault="002158A6">
      <w:pPr>
        <w:spacing w:after="0"/>
        <w:jc w:val="center"/>
      </w:pPr>
      <w:r>
        <w:t>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FE4648">
        <w:tc>
          <w:tcPr>
            <w:tcW w:w="4762" w:type="dxa"/>
            <w:shd w:val="clear" w:color="auto" w:fill="EAF2F5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FE4648" w:rsidRDefault="002158A6">
            <w:pPr>
              <w:spacing w:after="0"/>
            </w:pPr>
            <w:r>
              <w:rPr>
                <w:sz w:val="17"/>
              </w:rPr>
              <w:t>04  Preprocessing</w:t>
            </w:r>
          </w:p>
        </w:tc>
        <w:tc>
          <w:tcPr>
            <w:tcW w:w="476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FE4648" w:rsidRDefault="002158A6">
            <w:pPr>
              <w:spacing w:after="0"/>
            </w:pPr>
            <w:r>
              <w:rPr>
                <w:sz w:val="17"/>
              </w:rPr>
              <w:t>Jawny filtering, re-referencing, detekcja</w:t>
            </w:r>
            <w:r>
              <w:rPr>
                <w:sz w:val="17"/>
              </w:rPr>
              <w:t xml:space="preserve"> złych kanałów, segmentacja</w:t>
            </w:r>
            <w:r w:rsidR="00EC1CA4">
              <w:rPr>
                <w:sz w:val="17"/>
              </w:rPr>
              <w:t xml:space="preserve"> i </w:t>
            </w:r>
            <w:r>
              <w:rPr>
                <w:sz w:val="17"/>
              </w:rPr>
              <w:t>korekcja artefaktów.</w:t>
            </w:r>
          </w:p>
        </w:tc>
      </w:tr>
    </w:tbl>
    <w:p w:rsidR="00FE4648" w:rsidRDefault="002158A6">
      <w:pPr>
        <w:spacing w:after="0"/>
        <w:jc w:val="center"/>
      </w:pPr>
      <w:r>
        <w:t>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FE4648">
        <w:tc>
          <w:tcPr>
            <w:tcW w:w="4762" w:type="dxa"/>
            <w:shd w:val="clear" w:color="auto" w:fill="EAF2F5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FE4648" w:rsidRDefault="002158A6">
            <w:pPr>
              <w:spacing w:after="0"/>
            </w:pPr>
            <w:r>
              <w:rPr>
                <w:sz w:val="17"/>
              </w:rPr>
              <w:t>05  Ekstrakcja / statystyka</w:t>
            </w:r>
          </w:p>
        </w:tc>
        <w:tc>
          <w:tcPr>
            <w:tcW w:w="476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FE4648" w:rsidRDefault="002158A6">
            <w:pPr>
              <w:spacing w:after="0"/>
            </w:pPr>
            <w:r>
              <w:rPr>
                <w:sz w:val="17"/>
              </w:rPr>
              <w:t>Widmo, ERP, mikrostany lub model; plan testów</w:t>
            </w:r>
            <w:r w:rsidR="00EC1CA4">
              <w:rPr>
                <w:sz w:val="17"/>
              </w:rPr>
              <w:t xml:space="preserve"> i </w:t>
            </w:r>
            <w:r>
              <w:rPr>
                <w:sz w:val="17"/>
              </w:rPr>
              <w:t>kontrola wielokrotnych porównań.</w:t>
            </w:r>
          </w:p>
        </w:tc>
      </w:tr>
    </w:tbl>
    <w:p w:rsidR="00FE4648" w:rsidRDefault="002158A6">
      <w:pPr>
        <w:spacing w:after="0"/>
        <w:jc w:val="center"/>
      </w:pPr>
      <w:r>
        <w:t>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FE4648">
        <w:tc>
          <w:tcPr>
            <w:tcW w:w="4762" w:type="dxa"/>
            <w:shd w:val="clear" w:color="auto" w:fill="EAF2F5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FE4648" w:rsidRDefault="002158A6">
            <w:pPr>
              <w:spacing w:after="0"/>
            </w:pPr>
            <w:r>
              <w:rPr>
                <w:sz w:val="17"/>
              </w:rPr>
              <w:t>06  Walidacja</w:t>
            </w:r>
            <w:r w:rsidR="00EC1CA4">
              <w:rPr>
                <w:sz w:val="17"/>
              </w:rPr>
              <w:t xml:space="preserve"> i </w:t>
            </w:r>
            <w:r>
              <w:rPr>
                <w:sz w:val="17"/>
              </w:rPr>
              <w:t>interpretacja</w:t>
            </w:r>
          </w:p>
        </w:tc>
        <w:tc>
          <w:tcPr>
            <w:tcW w:w="476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FE4648" w:rsidRDefault="002158A6">
            <w:pPr>
              <w:spacing w:after="0"/>
            </w:pPr>
            <w:r>
              <w:rPr>
                <w:sz w:val="17"/>
              </w:rPr>
              <w:t xml:space="preserve">Walidacja niezależna, miary trafności, oszacowanie </w:t>
            </w:r>
            <w:r>
              <w:rPr>
                <w:sz w:val="17"/>
              </w:rPr>
              <w:t>niepewności, interpretacja kliniczna.</w:t>
            </w:r>
          </w:p>
        </w:tc>
      </w:tr>
    </w:tbl>
    <w:p w:rsidR="00FE4648" w:rsidRDefault="002158A6">
      <w:pPr>
        <w:pStyle w:val="Smallcaption"/>
        <w:jc w:val="center"/>
      </w:pPr>
      <w:r>
        <w:t>Schemat 1. Proponowany pipeline wynikający</w:t>
      </w:r>
      <w:r w:rsidR="00EC1CA4">
        <w:t xml:space="preserve"> z </w:t>
      </w:r>
      <w:r>
        <w:t>zestawienia standardów klinicznych</w:t>
      </w:r>
      <w:r w:rsidR="00EC1CA4">
        <w:t xml:space="preserve"> i </w:t>
      </w:r>
      <w:r>
        <w:t>wytycznych reprodukowalności [1, 8, 9].</w:t>
      </w:r>
    </w:p>
    <w:p w:rsidR="00FE4648" w:rsidRDefault="002158A6">
      <w:pPr>
        <w:pStyle w:val="Nagwek1"/>
      </w:pPr>
      <w:r>
        <w:t>11. Uczenie maszynowe</w:t>
      </w:r>
      <w:r w:rsidR="00EC1CA4">
        <w:t xml:space="preserve"> a </w:t>
      </w:r>
      <w:r>
        <w:t>wiarygodność biomarkerów</w:t>
      </w:r>
    </w:p>
    <w:p w:rsidR="00FE4648" w:rsidRDefault="002158A6">
      <w:r>
        <w:t>W przeglądach EEG-AI</w:t>
      </w:r>
      <w:r w:rsidR="00EC1CA4">
        <w:t xml:space="preserve"> w </w:t>
      </w:r>
      <w:r>
        <w:t xml:space="preserve">psychiatrii często </w:t>
      </w:r>
      <w:r>
        <w:t>podaje się dokładność klasyfikacji 75–99%. Jest</w:t>
      </w:r>
      <w:r w:rsidR="00EC1CA4">
        <w:t xml:space="preserve"> to </w:t>
      </w:r>
      <w:r>
        <w:t>zakres wyników</w:t>
      </w:r>
      <w:r w:rsidR="00EC1CA4">
        <w:t xml:space="preserve"> z </w:t>
      </w:r>
      <w:r>
        <w:t>heterogenicznych badań, nie udokumentowana skuteczność jednego wyrobu medycznego. Systematyczny przegląd obejmujący badania depresji, lęku</w:t>
      </w:r>
      <w:r w:rsidR="00EC1CA4">
        <w:t xml:space="preserve"> i </w:t>
      </w:r>
      <w:r>
        <w:t>ChAD wskazywał</w:t>
      </w:r>
      <w:r w:rsidR="00EC1CA4">
        <w:t xml:space="preserve"> na </w:t>
      </w:r>
      <w:r>
        <w:t>duży udział prac</w:t>
      </w:r>
      <w:r w:rsidR="00EC1CA4">
        <w:t xml:space="preserve"> o </w:t>
      </w:r>
      <w:r>
        <w:t>wysokim ry</w:t>
      </w:r>
      <w:r>
        <w:t>zyku błędu systematycznego,</w:t>
      </w:r>
      <w:r w:rsidR="00EC1CA4">
        <w:t xml:space="preserve"> w </w:t>
      </w:r>
      <w:r>
        <w:t>szczególności</w:t>
      </w:r>
      <w:r w:rsidR="00EC1CA4">
        <w:t xml:space="preserve"> z </w:t>
      </w:r>
      <w:r>
        <w:t>powodu małych prób</w:t>
      </w:r>
      <w:r w:rsidR="00EC1CA4">
        <w:t xml:space="preserve"> i </w:t>
      </w:r>
      <w:r>
        <w:t>braku walidacji zewnętrznej [13].</w:t>
      </w:r>
    </w:p>
    <w:p w:rsidR="00FE4648" w:rsidRDefault="002158A6">
      <w:r>
        <w:t>Najgroźniejszym błędem jest leakage wynikający</w:t>
      </w:r>
      <w:r w:rsidR="00EC1CA4">
        <w:t xml:space="preserve"> z </w:t>
      </w:r>
      <w:r>
        <w:t>podziału epok tego samego uczestnika</w:t>
      </w:r>
      <w:r w:rsidR="00EC1CA4">
        <w:t xml:space="preserve"> na </w:t>
      </w:r>
      <w:r>
        <w:t>zbiory treningowe</w:t>
      </w:r>
      <w:r w:rsidR="00EC1CA4">
        <w:t xml:space="preserve"> i </w:t>
      </w:r>
      <w:r>
        <w:t>testowe. Model może wtedy nauczyć się cech ide</w:t>
      </w:r>
      <w:r>
        <w:t>ntyfikujących osobę, sprzęt, ośrodek lub terapię, zamiast wzorca choroby. Walidacja powinna być rozdzielona</w:t>
      </w:r>
      <w:r w:rsidR="00EC1CA4">
        <w:t xml:space="preserve"> na </w:t>
      </w:r>
      <w:r>
        <w:t>poziomie uczestnika (subject-wise),</w:t>
      </w:r>
      <w:r w:rsidR="00EC1CA4">
        <w:t xml:space="preserve"> a </w:t>
      </w:r>
      <w:r>
        <w:t>jeśli</w:t>
      </w:r>
      <w:r w:rsidR="00EC1CA4">
        <w:t xml:space="preserve"> to </w:t>
      </w:r>
      <w:r>
        <w:t>możliwe również ośrodka, czasu</w:t>
      </w:r>
      <w:r w:rsidR="00EC1CA4">
        <w:t xml:space="preserve"> i </w:t>
      </w:r>
      <w:r>
        <w:t>aparatury; dobór cech oraz normalizacja muszą odbywać się wewnątr</w:t>
      </w:r>
      <w:r>
        <w:t>z pętli treningowej.</w:t>
      </w:r>
    </w:p>
    <w:p w:rsidR="00FE4648" w:rsidRDefault="002158A6">
      <w:r>
        <w:t>Raport kliniczny wymaga</w:t>
      </w:r>
      <w:r w:rsidR="00EC1CA4">
        <w:t xml:space="preserve"> co </w:t>
      </w:r>
      <w:r>
        <w:t>najmniej czułości, swoistości, odsetka błędów, przedziałów ufności, krzywych kalibracyjnych</w:t>
      </w:r>
      <w:r w:rsidR="00EC1CA4">
        <w:t xml:space="preserve"> i </w:t>
      </w:r>
      <w:r>
        <w:t>informacji</w:t>
      </w:r>
      <w:r w:rsidR="00EC1CA4">
        <w:t xml:space="preserve"> o </w:t>
      </w:r>
      <w:r>
        <w:t>prawdopodobieństwie przedtestowym. PPV</w:t>
      </w:r>
      <w:r w:rsidR="00EC1CA4">
        <w:t xml:space="preserve"> i </w:t>
      </w:r>
      <w:r>
        <w:t>NPV zmieniają się</w:t>
      </w:r>
      <w:r w:rsidR="00EC1CA4">
        <w:t xml:space="preserve"> z </w:t>
      </w:r>
      <w:r>
        <w:t>częstością rozpoznania. Model należy por</w:t>
      </w:r>
      <w:r>
        <w:t>ównywać nie tylko</w:t>
      </w:r>
      <w:r w:rsidR="00EC1CA4">
        <w:t xml:space="preserve"> ze </w:t>
      </w:r>
      <w:r>
        <w:t>zdrowymi kontrolami, ale</w:t>
      </w:r>
      <w:r w:rsidR="00EC1CA4">
        <w:t xml:space="preserve"> z </w:t>
      </w:r>
      <w:r>
        <w:t>rzeczywistymi alternatywnymi rozpoznaniami,</w:t>
      </w:r>
      <w:r w:rsidR="00EC1CA4">
        <w:t xml:space="preserve"> a </w:t>
      </w:r>
      <w:r>
        <w:t>dodatkowo wykazać przyrost wartości ponad standardową ocenę kliniczną. Użyteczne</w:t>
      </w:r>
      <w:r w:rsidR="00EC1CA4">
        <w:t xml:space="preserve"> są </w:t>
      </w:r>
      <w:r>
        <w:t>reguły prerejestracji, jawne protokoły, zewnętrzny zestaw danych</w:t>
      </w:r>
      <w:r w:rsidR="00EC1CA4">
        <w:t xml:space="preserve"> i </w:t>
      </w:r>
      <w:r>
        <w:t>powtarzalne</w:t>
      </w:r>
      <w:r>
        <w:t xml:space="preserve"> kontenery/środowiska analityczne.</w:t>
      </w:r>
    </w:p>
    <w:p w:rsidR="00FE4648" w:rsidRDefault="002158A6">
      <w:pPr>
        <w:pStyle w:val="Nagwek2"/>
      </w:pPr>
      <w:r>
        <w:t>11.1. Wspólny format danych</w:t>
      </w:r>
    </w:p>
    <w:p w:rsidR="00FE4648" w:rsidRDefault="002158A6">
      <w:r>
        <w:t>EEG-BIDS opisuje sposób organizacji danych EEG, informacji</w:t>
      </w:r>
      <w:r w:rsidR="00EC1CA4">
        <w:t xml:space="preserve"> o </w:t>
      </w:r>
      <w:r>
        <w:t>kanałach</w:t>
      </w:r>
      <w:r w:rsidR="00EC1CA4">
        <w:t xml:space="preserve"> i </w:t>
      </w:r>
      <w:r>
        <w:t>elektrodach, zdarzeniach, metadanych</w:t>
      </w:r>
      <w:r w:rsidR="00EC1CA4">
        <w:t xml:space="preserve"> i </w:t>
      </w:r>
      <w:r>
        <w:t>powiązanych danych behawioralnych.</w:t>
      </w:r>
      <w:r w:rsidR="00EC1CA4">
        <w:t xml:space="preserve"> W </w:t>
      </w:r>
      <w:r>
        <w:t>połączeniu</w:t>
      </w:r>
      <w:r w:rsidR="00EC1CA4">
        <w:t xml:space="preserve"> z </w:t>
      </w:r>
      <w:r>
        <w:t xml:space="preserve">wytycznymi COBIDAS-MEEG ułatwia </w:t>
      </w:r>
      <w:r>
        <w:t>audyt ścieżki</w:t>
      </w:r>
      <w:r w:rsidR="00EC1CA4">
        <w:t xml:space="preserve"> od </w:t>
      </w:r>
      <w:r>
        <w:t>surowego sygnału</w:t>
      </w:r>
      <w:r w:rsidR="00EC1CA4">
        <w:t xml:space="preserve"> do </w:t>
      </w:r>
      <w:r>
        <w:t>wyników, powtarzalność między laboratoriami</w:t>
      </w:r>
      <w:r w:rsidR="00EC1CA4">
        <w:t xml:space="preserve"> i </w:t>
      </w:r>
      <w:r>
        <w:t>reanalizę</w:t>
      </w:r>
      <w:r w:rsidR="00EC1CA4">
        <w:t xml:space="preserve"> po </w:t>
      </w:r>
      <w:r>
        <w:t>zmianie metod [8, 9].</w:t>
      </w:r>
      <w:r w:rsidR="00EC1CA4">
        <w:t xml:space="preserve"> W </w:t>
      </w:r>
      <w:r>
        <w:t>przypadku danych klinicznych niezbędne</w:t>
      </w:r>
      <w:r w:rsidR="00EC1CA4">
        <w:t xml:space="preserve"> są </w:t>
      </w:r>
      <w:r>
        <w:t>pseudonimizacja, kontrola dostępu</w:t>
      </w:r>
      <w:r w:rsidR="00EC1CA4">
        <w:t xml:space="preserve"> i </w:t>
      </w:r>
      <w:r>
        <w:t>decyzje</w:t>
      </w:r>
      <w:r w:rsidR="00EC1CA4">
        <w:t xml:space="preserve"> o </w:t>
      </w:r>
      <w:r>
        <w:t>dalszym udostępnianiu.</w:t>
      </w:r>
    </w:p>
    <w:p w:rsidR="00FE4648" w:rsidRDefault="002158A6">
      <w:pPr>
        <w:pStyle w:val="Nagwek1"/>
      </w:pPr>
      <w:r>
        <w:t>12. Interpretacja klinicz</w:t>
      </w:r>
      <w:r>
        <w:t>na, decyzje</w:t>
      </w:r>
      <w:r w:rsidR="00EC1CA4">
        <w:t xml:space="preserve"> i </w:t>
      </w:r>
      <w:r>
        <w:t>etyka</w:t>
      </w:r>
    </w:p>
    <w:p w:rsidR="00FE4648" w:rsidRDefault="002158A6" w:rsidP="00DA14FD">
      <w:pPr>
        <w:jc w:val="both"/>
      </w:pPr>
      <w:r>
        <w:t>Punktem wyjścia powinna być konkretna hipoteza kliniczna. Jeśli chodzi</w:t>
      </w:r>
      <w:r w:rsidR="00EC1CA4">
        <w:t xml:space="preserve"> o </w:t>
      </w:r>
      <w:r>
        <w:t>podejrzenie napadów, encefalopatii, zaburzeń świadomości lub architektury snu, wskazania</w:t>
      </w:r>
      <w:r w:rsidR="00EC1CA4">
        <w:t xml:space="preserve"> do </w:t>
      </w:r>
      <w:r>
        <w:t>klasycznego EEG albo PSG można uzasadnić ustalonym zastosowaniem. Jeśli</w:t>
      </w:r>
      <w:r>
        <w:t xml:space="preserve"> celem jest potwierdzenie ADHD, ASD, depresji, PTSD czy schizofrenii</w:t>
      </w:r>
      <w:r w:rsidR="00EC1CA4">
        <w:t xml:space="preserve"> na </w:t>
      </w:r>
      <w:r>
        <w:t>podstawie mapy qEEG, dostępne dowody nie uprawniają</w:t>
      </w:r>
      <w:r w:rsidR="00EC1CA4">
        <w:t xml:space="preserve"> do </w:t>
      </w:r>
      <w:r>
        <w:t>takiego wnioskowania.</w:t>
      </w:r>
      <w:r w:rsidR="00EC1CA4">
        <w:t xml:space="preserve"> W </w:t>
      </w:r>
      <w:r>
        <w:t>tych przypadkach raport ilościowy powinien być oznaczony jako pomocniczy lub badawczy,</w:t>
      </w:r>
      <w:r w:rsidR="00EC1CA4">
        <w:t xml:space="preserve"> o </w:t>
      </w:r>
      <w:r>
        <w:t>ile nie istnieje</w:t>
      </w:r>
      <w:r>
        <w:t xml:space="preserve"> zwalidowane lokalnie, specyficzne wskazanie.</w:t>
      </w:r>
    </w:p>
    <w:p w:rsidR="00FE4648" w:rsidRDefault="002158A6" w:rsidP="00DA14FD">
      <w:pPr>
        <w:jc w:val="both"/>
      </w:pPr>
      <w:r>
        <w:t>Istotnym ryzykiem jest pozorna obiektywność wizualizacji. „Czerwony obszar”</w:t>
      </w:r>
      <w:r w:rsidR="00EC1CA4">
        <w:t xml:space="preserve"> na </w:t>
      </w:r>
      <w:r>
        <w:t>mapie odchyleń normatywnych oznacza wartości względem wybranego modelu referencyjnego,</w:t>
      </w:r>
      <w:r w:rsidR="00EC1CA4">
        <w:t xml:space="preserve"> a </w:t>
      </w:r>
      <w:r>
        <w:t>nie stwierdzenie choroby. Należy unikać sf</w:t>
      </w:r>
      <w:r>
        <w:t>ormułowań „EEG potwierdza autyzm”, „mapa depresji” lub „lokalizacja traumy”. Poprawny opis powinien wskazywać obserwowaną cechę, kontekst jej występowania, jakość pomiaru, alternatywne wyjaśnienia</w:t>
      </w:r>
      <w:r w:rsidR="00EC1CA4">
        <w:t xml:space="preserve"> i </w:t>
      </w:r>
      <w:r>
        <w:t>granice zastosowania.</w:t>
      </w:r>
    </w:p>
    <w:p w:rsidR="00FE4648" w:rsidRDefault="002158A6" w:rsidP="00DA14FD">
      <w:pPr>
        <w:jc w:val="both"/>
      </w:pPr>
      <w:r>
        <w:t>Wszelkie odkryte przy okazji zmiany</w:t>
      </w:r>
      <w:r>
        <w:t xml:space="preserve"> mogące wymagać interpretacji neurologicznej powinny podlegać ustalonej ścieżce konsultacyjnej. Żaden klasyfikator</w:t>
      </w:r>
      <w:r w:rsidR="00EC1CA4">
        <w:t xml:space="preserve"> AI </w:t>
      </w:r>
      <w:r>
        <w:t>ani automatyczny opis qEEG nie powinien zastępować kompetentnego przeglądu surowego EEG tam, gdzie wynik</w:t>
      </w:r>
      <w:r w:rsidR="00EC1CA4">
        <w:t xml:space="preserve"> ma </w:t>
      </w:r>
      <w:r>
        <w:t>wpływ</w:t>
      </w:r>
      <w:r w:rsidR="00EC1CA4">
        <w:t xml:space="preserve"> na </w:t>
      </w:r>
      <w:r>
        <w:t>postępowanie</w:t>
      </w:r>
      <w:r w:rsidR="00EC1CA4">
        <w:t xml:space="preserve"> z </w:t>
      </w:r>
      <w:r>
        <w:t>pacjen</w:t>
      </w:r>
      <w:r>
        <w:t>tem.</w:t>
      </w:r>
    </w:p>
    <w:p w:rsidR="00FE4648" w:rsidRDefault="002158A6">
      <w:pPr>
        <w:pStyle w:val="Nagwek1"/>
      </w:pPr>
      <w:r>
        <w:t>13. Kierunki badań</w:t>
      </w:r>
      <w:r w:rsidR="00EC1CA4">
        <w:t xml:space="preserve"> i </w:t>
      </w:r>
      <w:r>
        <w:t>proponowane kryteria jakości</w:t>
      </w:r>
    </w:p>
    <w:p w:rsidR="00FE4648" w:rsidRDefault="002158A6" w:rsidP="00DA14FD">
      <w:pPr>
        <w:jc w:val="both"/>
      </w:pPr>
      <w:r>
        <w:t>Najważniejszy kierunek translacyjny nie polega</w:t>
      </w:r>
      <w:r w:rsidR="00EC1CA4">
        <w:t xml:space="preserve"> na </w:t>
      </w:r>
      <w:r>
        <w:t>wypracowaniu kolejnego odrębnego sygnaturowego obrazu qEEG dla każdej jednostki DSM/ICD. Bardziej obiecujące jest modelowanie wymiarów transdiagnostycz</w:t>
      </w:r>
      <w:r>
        <w:t>nych: pobudzenia, kontroli poznawczej, dysfunkcji sensorycznej, spowolnienia sieci, stanu czuwania czy odpowiedzi</w:t>
      </w:r>
      <w:r w:rsidR="00EC1CA4">
        <w:t xml:space="preserve"> na </w:t>
      </w:r>
      <w:r>
        <w:t>terapię. Takie podejście wymaga jednak powiązania sygnału</w:t>
      </w:r>
      <w:r w:rsidR="00EC1CA4">
        <w:t xml:space="preserve"> z </w:t>
      </w:r>
      <w:r>
        <w:t>mierzalnym punktem końcowym,</w:t>
      </w:r>
      <w:r w:rsidR="00EC1CA4">
        <w:t xml:space="preserve"> a </w:t>
      </w:r>
      <w:r>
        <w:t>nie tylko</w:t>
      </w:r>
      <w:r w:rsidR="00EC1CA4">
        <w:t xml:space="preserve"> z </w:t>
      </w:r>
      <w:r>
        <w:t>etykietą diagnostyczną.</w:t>
      </w:r>
    </w:p>
    <w:p w:rsidR="00FE4648" w:rsidRDefault="002158A6">
      <w:pPr>
        <w:pStyle w:val="Listapunktowana"/>
        <w:spacing w:after="60"/>
      </w:pPr>
      <w:r>
        <w:t>Badania wiel</w:t>
      </w:r>
      <w:r>
        <w:t>oośrodkowe</w:t>
      </w:r>
      <w:r w:rsidR="00EC1CA4">
        <w:t xml:space="preserve"> i </w:t>
      </w:r>
      <w:r>
        <w:t>prospektywne: prerejestracja hipotez, parametrów</w:t>
      </w:r>
      <w:r w:rsidR="00EC1CA4">
        <w:t xml:space="preserve"> i </w:t>
      </w:r>
      <w:r>
        <w:t>punktu odcięcia przed zewnętrzną walidacją.</w:t>
      </w:r>
    </w:p>
    <w:p w:rsidR="00FE4648" w:rsidRDefault="002158A6">
      <w:pPr>
        <w:pStyle w:val="Listapunktowana"/>
        <w:spacing w:after="60"/>
      </w:pPr>
      <w:r>
        <w:t>Kontrole kliniczne zamiast wyłącznie zdrowych: różnicowanie jednostek</w:t>
      </w:r>
      <w:r w:rsidR="00EC1CA4">
        <w:t xml:space="preserve"> o </w:t>
      </w:r>
      <w:r>
        <w:t>podobnych objawach</w:t>
      </w:r>
      <w:r w:rsidR="00EC1CA4">
        <w:t xml:space="preserve"> i </w:t>
      </w:r>
      <w:r>
        <w:t>różnych lekach.</w:t>
      </w:r>
    </w:p>
    <w:p w:rsidR="00FE4648" w:rsidRDefault="002158A6">
      <w:pPr>
        <w:pStyle w:val="Listapunktowana"/>
        <w:spacing w:after="60"/>
      </w:pPr>
      <w:r>
        <w:t>Standaryzacja rejestracji: stan czuwani</w:t>
      </w:r>
      <w:r>
        <w:t>a, referencja, markery zdarzeń, artefakty, aparatura oraz EEG-BIDS.</w:t>
      </w:r>
    </w:p>
    <w:p w:rsidR="00FE4648" w:rsidRDefault="002158A6">
      <w:pPr>
        <w:pStyle w:val="Listapunktowana"/>
        <w:spacing w:after="60"/>
      </w:pPr>
      <w:r>
        <w:t>Wrażliwość</w:t>
      </w:r>
      <w:r w:rsidR="00EC1CA4">
        <w:t xml:space="preserve"> na </w:t>
      </w:r>
      <w:r>
        <w:t>confoundery: wiek, płeć, leki, sen, współchorobowość, ośrodek</w:t>
      </w:r>
      <w:r w:rsidR="00EC1CA4">
        <w:t xml:space="preserve"> i </w:t>
      </w:r>
      <w:r>
        <w:t>operator.</w:t>
      </w:r>
    </w:p>
    <w:p w:rsidR="00FE4648" w:rsidRDefault="002158A6">
      <w:pPr>
        <w:pStyle w:val="Listapunktowana"/>
        <w:spacing w:after="60"/>
      </w:pPr>
      <w:r>
        <w:t>Raportowanie efektu: 95% CI, Se/Sp, PPV/NPV, kalibracja oraz rzeczywisty przyrost użyteczności decyz</w:t>
      </w:r>
      <w:r>
        <w:t>yjnej.</w:t>
      </w:r>
    </w:p>
    <w:p w:rsidR="00FE4648" w:rsidRDefault="002158A6">
      <w:pPr>
        <w:pStyle w:val="Listapunktowana"/>
        <w:spacing w:after="60"/>
      </w:pPr>
      <w:r>
        <w:t>Wyniki negatywne</w:t>
      </w:r>
      <w:r w:rsidR="00EC1CA4">
        <w:t xml:space="preserve"> i </w:t>
      </w:r>
      <w:r>
        <w:t>testy odporności: analiza błędów, zmiany sprzętu, danych OOD oraz składowych sygnału</w:t>
      </w:r>
      <w:r w:rsidR="00EC1CA4">
        <w:t xml:space="preserve"> po </w:t>
      </w:r>
      <w:r>
        <w:t>usunięciu artefaktów.</w:t>
      </w:r>
    </w:p>
    <w:p w:rsidR="00FE4648" w:rsidRDefault="002158A6">
      <w:pPr>
        <w:pStyle w:val="Nagwek1"/>
      </w:pPr>
      <w:r>
        <w:t>14. Wnioski końcowe</w:t>
      </w:r>
    </w:p>
    <w:p w:rsidR="00FE4648" w:rsidRDefault="002158A6">
      <w:r>
        <w:t>1. Elektroencefalografia zapewnia cenny pomiar dynamiki korowej</w:t>
      </w:r>
      <w:r w:rsidR="00EC1CA4">
        <w:t xml:space="preserve"> z </w:t>
      </w:r>
      <w:r>
        <w:t>wysoką rozdzielczością czasową. Ni</w:t>
      </w:r>
      <w:r>
        <w:t>e jest jednak metodą bezpośredniej, jednoznacznej lokalizacji wszystkich generatorów aktywności neuronalnej.</w:t>
      </w:r>
    </w:p>
    <w:p w:rsidR="00FE4648" w:rsidRDefault="002158A6">
      <w:r>
        <w:t>2. Potencjały wywołane</w:t>
      </w:r>
      <w:r w:rsidR="00EC1CA4">
        <w:t xml:space="preserve"> i </w:t>
      </w:r>
      <w:r>
        <w:t>ERP umożliwiają analizę kolejnych etapów percepcji, uwagi</w:t>
      </w:r>
      <w:r w:rsidR="00EC1CA4">
        <w:t xml:space="preserve"> i </w:t>
      </w:r>
      <w:r>
        <w:t>kontroli poznawczej. Ich wartość naukowa zależy</w:t>
      </w:r>
      <w:r w:rsidR="00EC1CA4">
        <w:t xml:space="preserve"> od </w:t>
      </w:r>
      <w:r>
        <w:t xml:space="preserve">rygoru </w:t>
      </w:r>
      <w:r>
        <w:t>eksperymentalnego, właściwej definicji komponentu</w:t>
      </w:r>
      <w:r w:rsidR="00EC1CA4">
        <w:t xml:space="preserve"> i </w:t>
      </w:r>
      <w:r>
        <w:t>kontroli jakości.</w:t>
      </w:r>
    </w:p>
    <w:p w:rsidR="00FE4648" w:rsidRDefault="002158A6">
      <w:r>
        <w:t>3. EEG</w:t>
      </w:r>
      <w:r w:rsidR="00EC1CA4">
        <w:t xml:space="preserve"> ma </w:t>
      </w:r>
      <w:r>
        <w:t>klinicznie ugruntowane zastosowania</w:t>
      </w:r>
      <w:r w:rsidR="00EC1CA4">
        <w:t xml:space="preserve"> w </w:t>
      </w:r>
      <w:r>
        <w:t>określonych problemach neurologicznych</w:t>
      </w:r>
      <w:r w:rsidR="00EC1CA4">
        <w:t xml:space="preserve"> i </w:t>
      </w:r>
      <w:r>
        <w:t xml:space="preserve">jako składnik polisomnografii. qEEG jest analizą wtórną, której interpretacja powinna pozostawać </w:t>
      </w:r>
      <w:r>
        <w:t>zakotwiczona</w:t>
      </w:r>
      <w:r w:rsidR="00EC1CA4">
        <w:t xml:space="preserve"> w </w:t>
      </w:r>
      <w:r>
        <w:t>jakości surowego sygnału.</w:t>
      </w:r>
    </w:p>
    <w:p w:rsidR="00FE4648" w:rsidRDefault="002158A6">
      <w:r>
        <w:t>4.</w:t>
      </w:r>
      <w:r w:rsidR="00EC1CA4">
        <w:t xml:space="preserve"> W </w:t>
      </w:r>
      <w:r>
        <w:t>większości rozpoznań psychiatrycznych badane cechy qEEG</w:t>
      </w:r>
      <w:r w:rsidR="00EC1CA4">
        <w:t xml:space="preserve"> i </w:t>
      </w:r>
      <w:r>
        <w:t>ERP nie</w:t>
      </w:r>
      <w:r w:rsidR="00EC1CA4">
        <w:t xml:space="preserve"> są </w:t>
      </w:r>
      <w:r>
        <w:t>dostatecznie swoiste</w:t>
      </w:r>
      <w:r w:rsidR="00EC1CA4">
        <w:t xml:space="preserve"> i </w:t>
      </w:r>
      <w:r>
        <w:t>zwalidowane, aby stanowić samodzielne testy diagnostyczne.</w:t>
      </w:r>
    </w:p>
    <w:p w:rsidR="00FE4648" w:rsidRDefault="002158A6">
      <w:r>
        <w:t>5. Wiarygodny rozwój biomarkerów wymaga odtwarzalnych proto</w:t>
      </w:r>
      <w:r>
        <w:t>kołów, walidacji subject-wise</w:t>
      </w:r>
      <w:r w:rsidR="00EC1CA4">
        <w:t xml:space="preserve"> i </w:t>
      </w:r>
      <w:r>
        <w:t>zewnętrznej, prawidłowej oceny użyteczności klinicznej oraz komunikowania niepewności.</w:t>
      </w:r>
    </w:p>
    <w:p w:rsidR="00FE4648" w:rsidRDefault="002158A6">
      <w:r>
        <w:br w:type="page"/>
      </w:r>
    </w:p>
    <w:p w:rsidR="00FE4648" w:rsidRDefault="002158A6">
      <w:pPr>
        <w:pStyle w:val="Nagwek1"/>
      </w:pPr>
      <w:r>
        <w:t>Bibliografia podstawowa</w:t>
      </w:r>
    </w:p>
    <w:p w:rsidR="00FE4648" w:rsidRDefault="002158A6">
      <w:pPr>
        <w:pStyle w:val="Source"/>
      </w:pPr>
      <w:r>
        <w:t>Poniższe pozycje stanowią źródła pierwotne</w:t>
      </w:r>
      <w:r w:rsidR="00EC1CA4">
        <w:t xml:space="preserve"> i </w:t>
      </w:r>
      <w:r>
        <w:t>zalecenia bezpośrednio odpowiadające syntezie. Linki prowadzą</w:t>
      </w:r>
      <w:r w:rsidR="00EC1CA4">
        <w:t xml:space="preserve"> do </w:t>
      </w:r>
      <w:r>
        <w:t>p</w:t>
      </w:r>
      <w:r>
        <w:t>ublikacji oryginalnych lub ich rekordów. Numeracja jest wspólna dla całego raportu. Bibliografia nie jest pełnym wykazem wszystkich cytowań występujących</w:t>
      </w:r>
      <w:r w:rsidR="00EC1CA4">
        <w:t xml:space="preserve"> w </w:t>
      </w:r>
      <w:r>
        <w:t>trzech dokumentach wejściowych.</w:t>
      </w:r>
    </w:p>
    <w:p w:rsidR="00FE4648" w:rsidRDefault="002158A6">
      <w:pPr>
        <w:pStyle w:val="Source"/>
        <w:ind w:left="312" w:hanging="312"/>
      </w:pPr>
      <w:r>
        <w:t>[1]  Peltola ME, Leitinger M, Halford</w:t>
      </w:r>
      <w:r w:rsidR="00EC1CA4">
        <w:t xml:space="preserve"> JJ i </w:t>
      </w:r>
      <w:r>
        <w:t>wsp. Routine and sleep EE</w:t>
      </w:r>
      <w:r>
        <w:t>G: minimum recording standards</w:t>
      </w:r>
      <w:r w:rsidR="00EC1CA4">
        <w:t xml:space="preserve"> of </w:t>
      </w:r>
      <w:r>
        <w:t xml:space="preserve">the IFCN and ILAE. Epilepsia. 2023;64:602–618. doi:10.1111/epi.17448. </w:t>
      </w:r>
      <w:hyperlink r:id="rId8">
        <w:r>
          <w:rPr>
            <w:color w:val="0B7184"/>
            <w:u w:val="single"/>
          </w:rPr>
          <w:t>[publikacja]</w:t>
        </w:r>
      </w:hyperlink>
    </w:p>
    <w:p w:rsidR="00FE4648" w:rsidRDefault="002158A6">
      <w:pPr>
        <w:pStyle w:val="Source"/>
        <w:ind w:left="312" w:hanging="312"/>
      </w:pPr>
      <w:r>
        <w:t>[2]  Woodman GF.</w:t>
      </w:r>
      <w:r w:rsidR="00EC1CA4">
        <w:t xml:space="preserve"> A </w:t>
      </w:r>
      <w:r>
        <w:t>brief introduction</w:t>
      </w:r>
      <w:r w:rsidR="00EC1CA4">
        <w:t xml:space="preserve"> to </w:t>
      </w:r>
      <w:r>
        <w:t>the use</w:t>
      </w:r>
      <w:r w:rsidR="00EC1CA4">
        <w:t xml:space="preserve"> of </w:t>
      </w:r>
      <w:r>
        <w:t>event-related pot</w:t>
      </w:r>
      <w:r>
        <w:t>entials (ERPs)</w:t>
      </w:r>
      <w:r w:rsidR="00EC1CA4">
        <w:t xml:space="preserve"> in </w:t>
      </w:r>
      <w:r>
        <w:t>studies</w:t>
      </w:r>
      <w:r w:rsidR="00EC1CA4">
        <w:t xml:space="preserve"> of </w:t>
      </w:r>
      <w:r>
        <w:t xml:space="preserve">perception and attention. Atten Percept Psychophys. 2010;72:2031–2046. doi:10.3758/APP.72.8.2031. </w:t>
      </w:r>
      <w:hyperlink r:id="rId9">
        <w:r>
          <w:rPr>
            <w:color w:val="0B7184"/>
            <w:u w:val="single"/>
          </w:rPr>
          <w:t>[publikacja]</w:t>
        </w:r>
      </w:hyperlink>
    </w:p>
    <w:p w:rsidR="00FE4648" w:rsidRDefault="002158A6">
      <w:pPr>
        <w:pStyle w:val="Source"/>
        <w:ind w:left="312" w:hanging="312"/>
      </w:pPr>
      <w:r>
        <w:t>[3]  Patel SH, Azzam PN. Characterization</w:t>
      </w:r>
      <w:r w:rsidR="00EC1CA4">
        <w:t xml:space="preserve"> of </w:t>
      </w:r>
      <w:r>
        <w:t>N2</w:t>
      </w:r>
      <w:r>
        <w:t>00 and P300: selected studies</w:t>
      </w:r>
      <w:r w:rsidR="00EC1CA4">
        <w:t xml:space="preserve"> of </w:t>
      </w:r>
      <w:r>
        <w:t>the event-related potential. Int</w:t>
      </w:r>
      <w:r w:rsidR="00EC1CA4">
        <w:t xml:space="preserve"> J </w:t>
      </w:r>
      <w:r>
        <w:t xml:space="preserve">Med Sci. 2005;2:147–154. doi:10.7150/ijms.2.147. </w:t>
      </w:r>
      <w:hyperlink r:id="rId10">
        <w:r>
          <w:rPr>
            <w:color w:val="0B7184"/>
            <w:u w:val="single"/>
          </w:rPr>
          <w:t>[publikacja]</w:t>
        </w:r>
      </w:hyperlink>
    </w:p>
    <w:p w:rsidR="00FE4648" w:rsidRDefault="002158A6">
      <w:pPr>
        <w:pStyle w:val="Source"/>
        <w:ind w:left="312" w:hanging="312"/>
      </w:pPr>
      <w:r>
        <w:t xml:space="preserve">[4]  Gloss D, Varma JK, Pringsheim T, Nuwer MR. Practice </w:t>
      </w:r>
      <w:r>
        <w:t>advisory: the utility</w:t>
      </w:r>
      <w:r w:rsidR="00EC1CA4">
        <w:t xml:space="preserve"> of </w:t>
      </w:r>
      <w:r>
        <w:t>EEG theta/beta power ratio</w:t>
      </w:r>
      <w:r w:rsidR="00EC1CA4">
        <w:t xml:space="preserve"> in </w:t>
      </w:r>
      <w:r>
        <w:t xml:space="preserve">ADHD diagnosis. Neurology. 2016;87:2375–2379. doi:10.1212/WNL.0000000000003265. </w:t>
      </w:r>
      <w:hyperlink r:id="rId11">
        <w:r>
          <w:rPr>
            <w:color w:val="0B7184"/>
            <w:u w:val="single"/>
          </w:rPr>
          <w:t>[publikacja]</w:t>
        </w:r>
      </w:hyperlink>
    </w:p>
    <w:p w:rsidR="00FE4648" w:rsidRDefault="002158A6">
      <w:pPr>
        <w:pStyle w:val="Source"/>
        <w:ind w:left="312" w:hanging="312"/>
      </w:pPr>
      <w:r>
        <w:t>[5]  Tenney JR, Gloss D, Arya</w:t>
      </w:r>
      <w:r w:rsidR="00EC1CA4">
        <w:t xml:space="preserve"> R </w:t>
      </w:r>
      <w:r>
        <w:t>i wsp. Practice</w:t>
      </w:r>
      <w:r>
        <w:t xml:space="preserve"> guideline: use</w:t>
      </w:r>
      <w:r w:rsidR="00EC1CA4">
        <w:t xml:space="preserve"> of </w:t>
      </w:r>
      <w:r>
        <w:t>quantitative EEG for the diagnosis</w:t>
      </w:r>
      <w:r w:rsidR="00EC1CA4">
        <w:t xml:space="preserve"> of </w:t>
      </w:r>
      <w:r>
        <w:t>mild traumatic brain injury.</w:t>
      </w:r>
      <w:r w:rsidR="00EC1CA4">
        <w:t xml:space="preserve"> J </w:t>
      </w:r>
      <w:r>
        <w:t xml:space="preserve">Clin Neurophysiol. 2021;38:287–292. doi:10.1097/WNP.0000000000000853. </w:t>
      </w:r>
      <w:hyperlink r:id="rId12">
        <w:r>
          <w:rPr>
            <w:color w:val="0B7184"/>
            <w:u w:val="single"/>
          </w:rPr>
          <w:t>[publikacja]</w:t>
        </w:r>
      </w:hyperlink>
    </w:p>
    <w:p w:rsidR="00FE4648" w:rsidRDefault="002158A6">
      <w:pPr>
        <w:pStyle w:val="Source"/>
        <w:ind w:left="312" w:hanging="312"/>
      </w:pPr>
      <w:r>
        <w:t>[6]  Heitmann H, Siani JF, Zebhauser</w:t>
      </w:r>
      <w:r w:rsidR="00EC1CA4">
        <w:t xml:space="preserve"> PT i </w:t>
      </w:r>
      <w:r>
        <w:t>wsp. Resting-state EEG activity</w:t>
      </w:r>
      <w:r w:rsidR="00EC1CA4">
        <w:t xml:space="preserve"> in </w:t>
      </w:r>
      <w:r>
        <w:t>depression:</w:t>
      </w:r>
      <w:r w:rsidR="00EC1CA4">
        <w:t xml:space="preserve"> a </w:t>
      </w:r>
      <w:r>
        <w:t xml:space="preserve">systematic review and meta-analysis. NeuroImage: Clinical. 2026;50:103997. doi:10.1016/j.nicl.2026.103997. </w:t>
      </w:r>
      <w:hyperlink r:id="rId13">
        <w:r>
          <w:rPr>
            <w:color w:val="0B7184"/>
            <w:u w:val="single"/>
          </w:rPr>
          <w:t>[publikacja]</w:t>
        </w:r>
      </w:hyperlink>
    </w:p>
    <w:p w:rsidR="00FE4648" w:rsidRDefault="002158A6">
      <w:pPr>
        <w:pStyle w:val="Source"/>
        <w:ind w:left="312" w:hanging="312"/>
      </w:pPr>
      <w:r>
        <w:t>[7]  Neo WS, Foti D, Keehn B, Kelleher B. Resting-state EEG power differences</w:t>
      </w:r>
      <w:r w:rsidR="00EC1CA4">
        <w:t xml:space="preserve"> in </w:t>
      </w:r>
      <w:r>
        <w:t>autism spectrum disorder:</w:t>
      </w:r>
      <w:r w:rsidR="00EC1CA4">
        <w:t xml:space="preserve"> a </w:t>
      </w:r>
      <w:r>
        <w:t xml:space="preserve">systematic review and meta-analysis. Transl Psychiatry. 2023;13:389. doi:10.1038/s41398-023-02681-2. </w:t>
      </w:r>
      <w:hyperlink r:id="rId14">
        <w:r>
          <w:rPr>
            <w:color w:val="0B7184"/>
            <w:u w:val="single"/>
          </w:rPr>
          <w:t>[publikacja]</w:t>
        </w:r>
      </w:hyperlink>
    </w:p>
    <w:p w:rsidR="00FE4648" w:rsidRDefault="002158A6">
      <w:pPr>
        <w:pStyle w:val="Source"/>
        <w:ind w:left="312" w:hanging="312"/>
      </w:pPr>
      <w:r>
        <w:t>[8]  Pernet C, Garrido MI, Gramfort</w:t>
      </w:r>
      <w:r w:rsidR="00EC1CA4">
        <w:t xml:space="preserve"> A </w:t>
      </w:r>
      <w:r>
        <w:t>i wsp. Issues and recommendations from the OHBM COBIDAS MEEG committee for reproducible EEG and MEG research. Nat Neurosci. 2020;23:1473–1483. doi:10.1038/s41593-020</w:t>
      </w:r>
      <w:r>
        <w:t xml:space="preserve">-00709-0. </w:t>
      </w:r>
      <w:hyperlink r:id="rId15">
        <w:r>
          <w:rPr>
            <w:color w:val="0B7184"/>
            <w:u w:val="single"/>
          </w:rPr>
          <w:t>[publikacja]</w:t>
        </w:r>
      </w:hyperlink>
    </w:p>
    <w:p w:rsidR="00FE4648" w:rsidRDefault="002158A6">
      <w:pPr>
        <w:pStyle w:val="Source"/>
        <w:ind w:left="312" w:hanging="312"/>
      </w:pPr>
      <w:r>
        <w:t>[9]  Pernet CR, Appelhoff S, Gorgolewski</w:t>
      </w:r>
      <w:r w:rsidR="00EC1CA4">
        <w:t xml:space="preserve"> KJ i </w:t>
      </w:r>
      <w:r>
        <w:t>wsp. EEG-BIDS,</w:t>
      </w:r>
      <w:r w:rsidR="00EC1CA4">
        <w:t xml:space="preserve"> an </w:t>
      </w:r>
      <w:r>
        <w:t>extension</w:t>
      </w:r>
      <w:r w:rsidR="00EC1CA4">
        <w:t xml:space="preserve"> to </w:t>
      </w:r>
      <w:r>
        <w:t>the brain imaging data structure for electroencephalography. Sci Data. 2019;6:103. doi</w:t>
      </w:r>
      <w:r>
        <w:t xml:space="preserve">:10.1038/s41597-019-0104-8. </w:t>
      </w:r>
      <w:hyperlink r:id="rId16">
        <w:r>
          <w:rPr>
            <w:color w:val="0B7184"/>
            <w:u w:val="single"/>
          </w:rPr>
          <w:t>[publikacja]</w:t>
        </w:r>
      </w:hyperlink>
    </w:p>
    <w:p w:rsidR="00FE4648" w:rsidRDefault="002158A6">
      <w:pPr>
        <w:pStyle w:val="Source"/>
        <w:ind w:left="312" w:hanging="312"/>
      </w:pPr>
      <w:r>
        <w:t>[10]  Rieger K, Diaz Hernandez L, Baenninger A, Koenig T. 15 years</w:t>
      </w:r>
      <w:r w:rsidR="00EC1CA4">
        <w:t xml:space="preserve"> of </w:t>
      </w:r>
      <w:r>
        <w:t>microstate research</w:t>
      </w:r>
      <w:r w:rsidR="00EC1CA4">
        <w:t xml:space="preserve"> in </w:t>
      </w:r>
      <w:r>
        <w:t>schizophrenia: where are we?</w:t>
      </w:r>
      <w:r w:rsidR="00EC1CA4">
        <w:t xml:space="preserve"> A </w:t>
      </w:r>
      <w:r>
        <w:t>meta-analysis. Front P</w:t>
      </w:r>
      <w:r>
        <w:t xml:space="preserve">sychiatry. 2016;7:22. doi:10.3389/fpsyt.2016.00022. </w:t>
      </w:r>
      <w:hyperlink r:id="rId17">
        <w:r>
          <w:rPr>
            <w:color w:val="0B7184"/>
            <w:u w:val="single"/>
          </w:rPr>
          <w:t>[publikacja]</w:t>
        </w:r>
      </w:hyperlink>
    </w:p>
    <w:p w:rsidR="00FE4648" w:rsidRDefault="002158A6">
      <w:pPr>
        <w:pStyle w:val="Source"/>
        <w:ind w:left="312" w:hanging="312"/>
      </w:pPr>
      <w:r>
        <w:t>[11]  Bouma HK, Labos C, Gore</w:t>
      </w:r>
      <w:r w:rsidR="00EC1CA4">
        <w:t xml:space="preserve"> GC i </w:t>
      </w:r>
      <w:r>
        <w:t>wsp. The diagnostic accuracy</w:t>
      </w:r>
      <w:r w:rsidR="00EC1CA4">
        <w:t xml:space="preserve"> of </w:t>
      </w:r>
      <w:r>
        <w:t>routine electroenc</w:t>
      </w:r>
      <w:r>
        <w:t>ephalography after</w:t>
      </w:r>
      <w:r w:rsidR="00EC1CA4">
        <w:t xml:space="preserve"> a </w:t>
      </w:r>
      <w:r>
        <w:t>first unprovoked seizure. Eur</w:t>
      </w:r>
      <w:r w:rsidR="00EC1CA4">
        <w:t xml:space="preserve"> J </w:t>
      </w:r>
      <w:r>
        <w:t xml:space="preserve">Neurol. 2016;23:455–463. doi:10.1111/ene.12739. </w:t>
      </w:r>
      <w:hyperlink r:id="rId18">
        <w:r>
          <w:rPr>
            <w:color w:val="0B7184"/>
            <w:u w:val="single"/>
          </w:rPr>
          <w:t>[publikacja]</w:t>
        </w:r>
      </w:hyperlink>
    </w:p>
    <w:p w:rsidR="00FE4648" w:rsidRDefault="002158A6">
      <w:pPr>
        <w:pStyle w:val="Source"/>
        <w:ind w:left="312" w:hanging="312"/>
      </w:pPr>
      <w:r>
        <w:t>[12]  Zhao W, Van Someren EJW,</w:t>
      </w:r>
      <w:r w:rsidR="00EC1CA4">
        <w:t xml:space="preserve"> Li C </w:t>
      </w:r>
      <w:r>
        <w:t>i wsp. EEG spectral analysis</w:t>
      </w:r>
      <w:r w:rsidR="00EC1CA4">
        <w:t xml:space="preserve"> in </w:t>
      </w:r>
      <w:r>
        <w:t>insomnia diso</w:t>
      </w:r>
      <w:r>
        <w:t>rder:</w:t>
      </w:r>
      <w:r w:rsidR="00EC1CA4">
        <w:t xml:space="preserve"> a </w:t>
      </w:r>
      <w:r>
        <w:t xml:space="preserve">systematic review and meta-analysis. Sleep Med Rev. 2021;59:101457. doi:10.1016/j.smrv.2021.101457. </w:t>
      </w:r>
      <w:hyperlink r:id="rId19">
        <w:r>
          <w:rPr>
            <w:color w:val="0B7184"/>
            <w:u w:val="single"/>
          </w:rPr>
          <w:t>[publikacja]</w:t>
        </w:r>
      </w:hyperlink>
    </w:p>
    <w:p w:rsidR="00FE4648" w:rsidRDefault="002158A6">
      <w:pPr>
        <w:pStyle w:val="Source"/>
        <w:ind w:left="312" w:hanging="312"/>
      </w:pPr>
      <w:r>
        <w:t>[13]  Zhai L, Zhao M, Zhang</w:t>
      </w:r>
      <w:r w:rsidR="00EC1CA4">
        <w:t xml:space="preserve"> J </w:t>
      </w:r>
      <w:r>
        <w:t>i wsp.</w:t>
      </w:r>
      <w:r w:rsidR="00EC1CA4">
        <w:t xml:space="preserve"> A </w:t>
      </w:r>
      <w:r>
        <w:t>systematic review</w:t>
      </w:r>
      <w:r w:rsidR="00EC1CA4">
        <w:t xml:space="preserve"> of </w:t>
      </w:r>
      <w:r>
        <w:t>EEG-based biom</w:t>
      </w:r>
      <w:r>
        <w:t>arkers for depression, anxiety, and bipolar disorder: trends</w:t>
      </w:r>
      <w:r w:rsidR="00EC1CA4">
        <w:t xml:space="preserve"> in </w:t>
      </w:r>
      <w:r>
        <w:t xml:space="preserve">explainable artificial intelligence. BMC Psychiatry. 2026;26:90. doi:10.1186/s12888-025-07589-3. </w:t>
      </w:r>
      <w:hyperlink r:id="rId20">
        <w:r>
          <w:rPr>
            <w:color w:val="0B7184"/>
            <w:u w:val="single"/>
          </w:rPr>
          <w:t>[publikacja]</w:t>
        </w:r>
      </w:hyperlink>
    </w:p>
    <w:p w:rsidR="00FE4648" w:rsidRDefault="002158A6">
      <w:pPr>
        <w:pStyle w:val="Source"/>
        <w:ind w:left="312" w:hanging="312"/>
      </w:pPr>
      <w:r>
        <w:t>[1</w:t>
      </w:r>
      <w:r>
        <w:t>4]  Costanzo M, Cutrona C, Leodori</w:t>
      </w:r>
      <w:r w:rsidR="00EC1CA4">
        <w:t xml:space="preserve"> G </w:t>
      </w:r>
      <w:r>
        <w:t>i wsp. Exploring easily accessible neurophysiological biomarkers for predicting Alzheimer’s disease progression:</w:t>
      </w:r>
      <w:r w:rsidR="00EC1CA4">
        <w:t xml:space="preserve"> a </w:t>
      </w:r>
      <w:r>
        <w:t xml:space="preserve">systematic review. Alzheimers Res Ther. 2024;16:244. doi:10.1186/s13195-024-01607-4. </w:t>
      </w:r>
      <w:hyperlink r:id="rId21">
        <w:r>
          <w:rPr>
            <w:color w:val="0B7184"/>
            <w:u w:val="single"/>
          </w:rPr>
          <w:t>[publikacja]</w:t>
        </w:r>
      </w:hyperlink>
    </w:p>
    <w:p w:rsidR="00FE4648" w:rsidRDefault="002158A6">
      <w:r>
        <w:br w:type="page"/>
      </w:r>
    </w:p>
    <w:p w:rsidR="00FE4648" w:rsidRDefault="002158A6">
      <w:pPr>
        <w:pStyle w:val="Nagwek1"/>
      </w:pPr>
      <w:r>
        <w:t>Aneks. Dokumenty źródłowe</w:t>
      </w:r>
      <w:r w:rsidR="00EC1CA4">
        <w:t xml:space="preserve"> i </w:t>
      </w:r>
      <w:r>
        <w:t>zakres wykorzystania</w:t>
      </w:r>
    </w:p>
    <w:tbl>
      <w:tblPr>
        <w:tblStyle w:val="Tabela-Siatk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3203"/>
        <w:gridCol w:w="3430"/>
      </w:tblGrid>
      <w:tr w:rsidR="00FE4648">
        <w:trPr>
          <w:tblHeader/>
          <w:jc w:val="center"/>
        </w:trPr>
        <w:tc>
          <w:tcPr>
            <w:tcW w:w="2891" w:type="dxa"/>
            <w:shd w:val="clear" w:color="auto" w:fill="183047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FE4648" w:rsidRDefault="002158A6">
            <w:pPr>
              <w:spacing w:after="0"/>
            </w:pPr>
            <w:r>
              <w:rPr>
                <w:b/>
                <w:color w:val="FFFFFF"/>
                <w:sz w:val="16"/>
              </w:rPr>
              <w:t>Dokument</w:t>
            </w:r>
          </w:p>
        </w:tc>
        <w:tc>
          <w:tcPr>
            <w:tcW w:w="3203" w:type="dxa"/>
            <w:shd w:val="clear" w:color="auto" w:fill="183047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FE4648" w:rsidRDefault="002158A6">
            <w:pPr>
              <w:spacing w:after="0"/>
            </w:pPr>
            <w:r>
              <w:rPr>
                <w:b/>
                <w:color w:val="FFFFFF"/>
                <w:sz w:val="16"/>
              </w:rPr>
              <w:t>Charakter materiału</w:t>
            </w:r>
          </w:p>
        </w:tc>
        <w:tc>
          <w:tcPr>
            <w:tcW w:w="3430" w:type="dxa"/>
            <w:shd w:val="clear" w:color="auto" w:fill="183047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FE4648" w:rsidRDefault="002158A6">
            <w:pPr>
              <w:spacing w:after="0"/>
            </w:pPr>
            <w:r>
              <w:rPr>
                <w:b/>
                <w:color w:val="FFFFFF"/>
                <w:sz w:val="16"/>
              </w:rPr>
              <w:t>Wkład</w:t>
            </w:r>
            <w:r w:rsidR="00EC1CA4">
              <w:rPr>
                <w:b/>
                <w:color w:val="FFFFFF"/>
                <w:sz w:val="16"/>
              </w:rPr>
              <w:t xml:space="preserve"> do </w:t>
            </w:r>
            <w:r>
              <w:rPr>
                <w:b/>
                <w:color w:val="FFFFFF"/>
                <w:sz w:val="16"/>
              </w:rPr>
              <w:t>syntezy</w:t>
            </w:r>
          </w:p>
        </w:tc>
      </w:tr>
      <w:tr w:rsidR="00FE4648">
        <w:trPr>
          <w:jc w:val="center"/>
        </w:trPr>
        <w:tc>
          <w:tcPr>
            <w:tcW w:w="2891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eeg.docx</w:t>
            </w:r>
          </w:p>
        </w:tc>
        <w:tc>
          <w:tcPr>
            <w:tcW w:w="3203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Obszerne materiały</w:t>
            </w:r>
            <w:r w:rsidR="00EC1CA4">
              <w:rPr>
                <w:sz w:val="16"/>
              </w:rPr>
              <w:t xml:space="preserve"> o </w:t>
            </w:r>
            <w:r>
              <w:rPr>
                <w:sz w:val="16"/>
              </w:rPr>
              <w:t xml:space="preserve">EP/ERP; częściowo tłumaczenia opisów badań N200/P300, </w:t>
            </w:r>
            <w:r>
              <w:rPr>
                <w:sz w:val="16"/>
              </w:rPr>
              <w:t>metodyka ERP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>bibliografia.</w:t>
            </w:r>
          </w:p>
        </w:tc>
        <w:tc>
          <w:tcPr>
            <w:tcW w:w="3430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Fundament neurofizjologiczny, rodziny komponentów, rygor metodologiczny, uwaga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>percepcja.</w:t>
            </w:r>
          </w:p>
        </w:tc>
      </w:tr>
      <w:tr w:rsidR="00FE4648">
        <w:trPr>
          <w:jc w:val="center"/>
        </w:trPr>
        <w:tc>
          <w:tcPr>
            <w:tcW w:w="2891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eeg mini.docx</w:t>
            </w:r>
          </w:p>
        </w:tc>
        <w:tc>
          <w:tcPr>
            <w:tcW w:w="3203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Skrócony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>miejscami powielony materiał EEG/ERP.</w:t>
            </w:r>
          </w:p>
        </w:tc>
        <w:tc>
          <w:tcPr>
            <w:tcW w:w="3430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Kontrola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>scalanie wspólnych definicji VEP, P100, N200, P300 oraz zast</w:t>
            </w:r>
            <w:r>
              <w:rPr>
                <w:sz w:val="16"/>
              </w:rPr>
              <w:t>osowań BCI.</w:t>
            </w:r>
          </w:p>
        </w:tc>
      </w:tr>
      <w:tr w:rsidR="00FE4648">
        <w:trPr>
          <w:jc w:val="center"/>
        </w:trPr>
        <w:tc>
          <w:tcPr>
            <w:tcW w:w="2891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EEG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>qEEG</w:t>
            </w:r>
            <w:r w:rsidR="00EC1CA4">
              <w:rPr>
                <w:sz w:val="16"/>
              </w:rPr>
              <w:t xml:space="preserve"> w </w:t>
            </w:r>
            <w:r>
              <w:rPr>
                <w:sz w:val="16"/>
              </w:rPr>
              <w:t>diagnostyce klinicznej.docx</w:t>
            </w:r>
          </w:p>
        </w:tc>
        <w:tc>
          <w:tcPr>
            <w:tcW w:w="3203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Raport porównawczy zawierający metaanalizy, wytyczne, markery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>standardy rejestracji.</w:t>
            </w:r>
          </w:p>
        </w:tc>
        <w:tc>
          <w:tcPr>
            <w:tcW w:w="3430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Ocena statusu diagnostycznego</w:t>
            </w:r>
            <w:r w:rsidR="00EC1CA4">
              <w:rPr>
                <w:sz w:val="16"/>
              </w:rPr>
              <w:t xml:space="preserve"> w </w:t>
            </w:r>
            <w:r>
              <w:rPr>
                <w:sz w:val="16"/>
              </w:rPr>
              <w:t>psychiatrii, neurologii, snu, mTBI; tabela kliniczna, zasady</w:t>
            </w:r>
            <w:r w:rsidR="00EC1CA4">
              <w:rPr>
                <w:sz w:val="16"/>
              </w:rPr>
              <w:t xml:space="preserve"> AI i </w:t>
            </w:r>
            <w:r>
              <w:rPr>
                <w:sz w:val="16"/>
              </w:rPr>
              <w:t>etyki.</w:t>
            </w:r>
          </w:p>
        </w:tc>
      </w:tr>
    </w:tbl>
    <w:p w:rsidR="00FE4648" w:rsidRDefault="00FE4648">
      <w:pPr>
        <w:spacing w:after="0"/>
      </w:pPr>
    </w:p>
    <w:p w:rsidR="00FE4648" w:rsidRDefault="002158A6">
      <w:pPr>
        <w:pStyle w:val="Nagwek2"/>
      </w:pPr>
      <w:r>
        <w:t>Aneks A.</w:t>
      </w:r>
      <w:r>
        <w:t xml:space="preserve"> Słownik skrótów</w:t>
      </w:r>
      <w:r w:rsidR="00EC1CA4">
        <w:t xml:space="preserve"> i </w:t>
      </w:r>
      <w:r>
        <w:t>terminów</w:t>
      </w:r>
    </w:p>
    <w:tbl>
      <w:tblPr>
        <w:tblStyle w:val="Tabela-Siatk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767"/>
      </w:tblGrid>
      <w:tr w:rsidR="00FE4648">
        <w:trPr>
          <w:tblHeader/>
          <w:jc w:val="center"/>
        </w:trPr>
        <w:tc>
          <w:tcPr>
            <w:tcW w:w="1757" w:type="dxa"/>
            <w:shd w:val="clear" w:color="auto" w:fill="183047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FE4648" w:rsidRDefault="002158A6">
            <w:pPr>
              <w:spacing w:after="0"/>
            </w:pPr>
            <w:r>
              <w:rPr>
                <w:b/>
                <w:color w:val="FFFFFF"/>
                <w:sz w:val="16"/>
              </w:rPr>
              <w:t>Skrót</w:t>
            </w:r>
          </w:p>
        </w:tc>
        <w:tc>
          <w:tcPr>
            <w:tcW w:w="7767" w:type="dxa"/>
            <w:shd w:val="clear" w:color="auto" w:fill="183047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FE4648" w:rsidRDefault="002158A6">
            <w:pPr>
              <w:spacing w:after="0"/>
            </w:pPr>
            <w:r>
              <w:rPr>
                <w:b/>
                <w:color w:val="FFFFFF"/>
                <w:sz w:val="16"/>
              </w:rPr>
              <w:t>Znaczenie</w:t>
            </w:r>
            <w:r w:rsidR="00EC1CA4">
              <w:rPr>
                <w:b/>
                <w:color w:val="FFFFFF"/>
                <w:sz w:val="16"/>
              </w:rPr>
              <w:t xml:space="preserve"> w </w:t>
            </w:r>
            <w:r>
              <w:rPr>
                <w:b/>
                <w:color w:val="FFFFFF"/>
                <w:sz w:val="16"/>
              </w:rPr>
              <w:t>raporcie</w:t>
            </w:r>
          </w:p>
        </w:tc>
      </w:tr>
      <w:tr w:rsidR="00FE4648">
        <w:trPr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EEG</w:t>
            </w:r>
          </w:p>
        </w:tc>
        <w:tc>
          <w:tcPr>
            <w:tcW w:w="7767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Elektroencefalografia: rejestracja potencjałów</w:t>
            </w:r>
            <w:r w:rsidR="00EC1CA4">
              <w:rPr>
                <w:sz w:val="16"/>
              </w:rPr>
              <w:t xml:space="preserve"> ze </w:t>
            </w:r>
            <w:r>
              <w:rPr>
                <w:sz w:val="16"/>
              </w:rPr>
              <w:t>skóry głowy.</w:t>
            </w:r>
          </w:p>
        </w:tc>
      </w:tr>
      <w:tr w:rsidR="00FE4648">
        <w:trPr>
          <w:jc w:val="center"/>
        </w:trPr>
        <w:tc>
          <w:tcPr>
            <w:tcW w:w="1757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qEEG</w:t>
            </w:r>
          </w:p>
        </w:tc>
        <w:tc>
          <w:tcPr>
            <w:tcW w:w="7767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Ilościowe przetwarzanie danych EEG; nie odrębny pomiar fizjologiczny.</w:t>
            </w:r>
          </w:p>
        </w:tc>
      </w:tr>
      <w:tr w:rsidR="00FE4648">
        <w:trPr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EP / ERP</w:t>
            </w:r>
          </w:p>
        </w:tc>
        <w:tc>
          <w:tcPr>
            <w:tcW w:w="7767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Potencjały wywołane / związane</w:t>
            </w:r>
            <w:r w:rsidR="00EC1CA4">
              <w:rPr>
                <w:sz w:val="16"/>
              </w:rPr>
              <w:t xml:space="preserve"> ze </w:t>
            </w:r>
            <w:r>
              <w:rPr>
                <w:sz w:val="16"/>
              </w:rPr>
              <w:t>zdarzeniem.</w:t>
            </w:r>
          </w:p>
        </w:tc>
      </w:tr>
      <w:tr w:rsidR="00FE4648">
        <w:trPr>
          <w:jc w:val="center"/>
        </w:trPr>
        <w:tc>
          <w:tcPr>
            <w:tcW w:w="1757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PSD</w:t>
            </w:r>
          </w:p>
        </w:tc>
        <w:tc>
          <w:tcPr>
            <w:tcW w:w="7767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Widmowa gęstość mocy (power spectral density).</w:t>
            </w:r>
          </w:p>
        </w:tc>
      </w:tr>
      <w:tr w:rsidR="00FE4648">
        <w:trPr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TBR</w:t>
            </w:r>
          </w:p>
        </w:tc>
        <w:tc>
          <w:tcPr>
            <w:tcW w:w="7767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Stosunek mocy theta</w:t>
            </w:r>
            <w:r w:rsidR="00EC1CA4">
              <w:rPr>
                <w:sz w:val="16"/>
              </w:rPr>
              <w:t xml:space="preserve"> do </w:t>
            </w:r>
            <w:r>
              <w:rPr>
                <w:sz w:val="16"/>
              </w:rPr>
              <w:t>beta.</w:t>
            </w:r>
          </w:p>
        </w:tc>
      </w:tr>
      <w:tr w:rsidR="00FE4648">
        <w:trPr>
          <w:jc w:val="center"/>
        </w:trPr>
        <w:tc>
          <w:tcPr>
            <w:tcW w:w="1757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MMN</w:t>
            </w:r>
          </w:p>
        </w:tc>
        <w:tc>
          <w:tcPr>
            <w:tcW w:w="7767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Mismatch negativity: odpowiedź</w:t>
            </w:r>
            <w:r w:rsidR="00EC1CA4">
              <w:rPr>
                <w:sz w:val="16"/>
              </w:rPr>
              <w:t xml:space="preserve"> na </w:t>
            </w:r>
            <w:r>
              <w:rPr>
                <w:sz w:val="16"/>
              </w:rPr>
              <w:t>naruszenie regularności bodźców.</w:t>
            </w:r>
          </w:p>
        </w:tc>
      </w:tr>
      <w:tr w:rsidR="00FE4648">
        <w:trPr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VEP / P100</w:t>
            </w:r>
          </w:p>
        </w:tc>
        <w:tc>
          <w:tcPr>
            <w:tcW w:w="7767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Wzrokowy potencjał wywołany / składowa ok. 100 ms.</w:t>
            </w:r>
          </w:p>
        </w:tc>
      </w:tr>
      <w:tr w:rsidR="00FE4648">
        <w:trPr>
          <w:jc w:val="center"/>
        </w:trPr>
        <w:tc>
          <w:tcPr>
            <w:tcW w:w="1757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ERP / P300</w:t>
            </w:r>
          </w:p>
        </w:tc>
        <w:tc>
          <w:tcPr>
            <w:tcW w:w="7767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 xml:space="preserve">Zadaniowa dodatnia </w:t>
            </w:r>
            <w:r>
              <w:rPr>
                <w:sz w:val="16"/>
              </w:rPr>
              <w:t>składowa</w:t>
            </w:r>
            <w:r w:rsidR="00EC1CA4">
              <w:rPr>
                <w:sz w:val="16"/>
              </w:rPr>
              <w:t xml:space="preserve"> w </w:t>
            </w:r>
            <w:r>
              <w:rPr>
                <w:sz w:val="16"/>
              </w:rPr>
              <w:t>szerokim oknie ok. 250–500 ms.</w:t>
            </w:r>
          </w:p>
        </w:tc>
      </w:tr>
      <w:tr w:rsidR="00FE4648">
        <w:trPr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Se / Sp</w:t>
            </w:r>
          </w:p>
        </w:tc>
        <w:tc>
          <w:tcPr>
            <w:tcW w:w="7767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Czułość / swoistość diagnostyczna.</w:t>
            </w:r>
          </w:p>
        </w:tc>
      </w:tr>
      <w:tr w:rsidR="00FE4648">
        <w:trPr>
          <w:jc w:val="center"/>
        </w:trPr>
        <w:tc>
          <w:tcPr>
            <w:tcW w:w="1757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PPV / NPV</w:t>
            </w:r>
          </w:p>
        </w:tc>
        <w:tc>
          <w:tcPr>
            <w:tcW w:w="7767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Dodatnia / ujemna wartość predykcyjna, zależne</w:t>
            </w:r>
            <w:r w:rsidR="00EC1CA4">
              <w:rPr>
                <w:sz w:val="16"/>
              </w:rPr>
              <w:t xml:space="preserve"> od </w:t>
            </w:r>
            <w:r>
              <w:rPr>
                <w:sz w:val="16"/>
              </w:rPr>
              <w:t>częstości rozpoznania.</w:t>
            </w:r>
          </w:p>
        </w:tc>
      </w:tr>
      <w:tr w:rsidR="00FE4648">
        <w:trPr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CI / AUC</w:t>
            </w:r>
          </w:p>
        </w:tc>
        <w:tc>
          <w:tcPr>
            <w:tcW w:w="7767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Przedział ufności / pole pod krzywą ROC.</w:t>
            </w:r>
          </w:p>
        </w:tc>
      </w:tr>
      <w:tr w:rsidR="00FE4648">
        <w:trPr>
          <w:jc w:val="center"/>
        </w:trPr>
        <w:tc>
          <w:tcPr>
            <w:tcW w:w="1757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EEG-BIDS</w:t>
            </w:r>
          </w:p>
        </w:tc>
        <w:tc>
          <w:tcPr>
            <w:tcW w:w="7767" w:type="dxa"/>
            <w:shd w:val="clear" w:color="auto" w:fill="F4F7F9"/>
            <w:tcMar>
              <w:top w:w="75" w:type="dxa"/>
              <w:left w:w="85" w:type="dxa"/>
              <w:bottom w:w="75" w:type="dxa"/>
              <w:right w:w="85" w:type="dxa"/>
            </w:tcMar>
          </w:tcPr>
          <w:p w:rsidR="00FE4648" w:rsidRDefault="002158A6">
            <w:pPr>
              <w:spacing w:after="20" w:line="254" w:lineRule="auto"/>
            </w:pPr>
            <w:r>
              <w:rPr>
                <w:sz w:val="16"/>
              </w:rPr>
              <w:t>Standard organizacji EEG</w:t>
            </w:r>
            <w:r w:rsidR="00EC1CA4">
              <w:rPr>
                <w:sz w:val="16"/>
              </w:rPr>
              <w:t xml:space="preserve"> i </w:t>
            </w:r>
            <w:r>
              <w:rPr>
                <w:sz w:val="16"/>
              </w:rPr>
              <w:t>metadanych badawczych.</w:t>
            </w:r>
          </w:p>
        </w:tc>
      </w:tr>
    </w:tbl>
    <w:p w:rsidR="00FE4648" w:rsidRDefault="00FE4648">
      <w:pPr>
        <w:spacing w:after="0"/>
      </w:pPr>
    </w:p>
    <w:p w:rsidR="00FE4648" w:rsidRDefault="002158A6">
      <w:pPr>
        <w:pStyle w:val="Source"/>
      </w:pPr>
      <w:r>
        <w:t>Nota metodologiczna: nie przeniesiono grafik</w:t>
      </w:r>
      <w:r w:rsidR="00EC1CA4">
        <w:t xml:space="preserve"> z </w:t>
      </w:r>
      <w:r>
        <w:t>dokumentów wejściowych, ponieważ ich pochodzenie, uprawnienia</w:t>
      </w:r>
      <w:r w:rsidR="00EC1CA4">
        <w:t xml:space="preserve"> do </w:t>
      </w:r>
      <w:r>
        <w:t>reprodukcji oraz podpisy nie były</w:t>
      </w:r>
      <w:r w:rsidR="00EC1CA4">
        <w:t xml:space="preserve"> w </w:t>
      </w:r>
      <w:r>
        <w:t>pełni jednoznaczne. Tabele</w:t>
      </w:r>
      <w:r w:rsidR="00EC1CA4">
        <w:t xml:space="preserve"> i </w:t>
      </w:r>
      <w:r>
        <w:t>schemat procesu</w:t>
      </w:r>
      <w:r w:rsidR="00EC1CA4">
        <w:t xml:space="preserve"> w </w:t>
      </w:r>
      <w:r>
        <w:t xml:space="preserve">niniejszym raporcie stanowią nowe </w:t>
      </w:r>
      <w:r>
        <w:t>opracowanie redakcyjne. Materiał nie jest zaleceniem dla indywidualnego pacjenta ani substytutem obowiązujących procedur klinicznych.</w:t>
      </w:r>
    </w:p>
    <w:sectPr w:rsidR="00FE4648" w:rsidSect="00034616">
      <w:headerReference w:type="default" r:id="rId22"/>
      <w:footerReference w:type="default" r:id="rId23"/>
      <w:pgSz w:w="11906" w:h="16838"/>
      <w:pgMar w:top="1162" w:right="1191" w:bottom="1134" w:left="1191" w:header="442" w:footer="4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58A6" w:rsidRDefault="002158A6">
      <w:pPr>
        <w:spacing w:after="0" w:line="240" w:lineRule="auto"/>
      </w:pPr>
      <w:r>
        <w:separator/>
      </w:r>
    </w:p>
  </w:endnote>
  <w:endnote w:type="continuationSeparator" w:id="0">
    <w:p w:rsidR="002158A6" w:rsidRDefault="00215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4648" w:rsidRDefault="002158A6">
    <w:pPr>
      <w:pStyle w:val="Stopka"/>
      <w:jc w:val="right"/>
    </w:pPr>
    <w:r>
      <w:rPr>
        <w:color w:val="536574"/>
        <w:sz w:val="16"/>
      </w:rPr>
      <w:t>Wer</w:t>
    </w:r>
    <w:r>
      <w:rPr>
        <w:color w:val="536574"/>
        <w:sz w:val="16"/>
      </w:rPr>
      <w:t xml:space="preserve">sja 1.0.0  |  01.11.2026  •  </w:t>
    </w:r>
    <w:r>
      <w:fldChar w:fldCharType="begin"/>
    </w:r>
    <w:r>
      <w:instrText>PAGE</w:instrText>
    </w:r>
    <w:r w:rsidR="00DA14FD"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58A6" w:rsidRDefault="002158A6">
      <w:pPr>
        <w:spacing w:after="0" w:line="240" w:lineRule="auto"/>
      </w:pPr>
      <w:r>
        <w:separator/>
      </w:r>
    </w:p>
  </w:footnote>
  <w:footnote w:type="continuationSeparator" w:id="0">
    <w:p w:rsidR="002158A6" w:rsidRDefault="002158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4648" w:rsidRDefault="002158A6">
    <w:pPr>
      <w:pStyle w:val="Nagwek"/>
      <w:jc w:val="right"/>
    </w:pPr>
    <w:r>
      <w:rPr>
        <w:b/>
        <w:color w:val="0B7184"/>
        <w:sz w:val="14"/>
      </w:rPr>
      <w:t>NEUROFIZJOLOGIA KLINICZNA  /  RAPORT SYNTETYCZNY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58A6"/>
    <w:rsid w:val="0029639D"/>
    <w:rsid w:val="00326F90"/>
    <w:rsid w:val="005B3DE7"/>
    <w:rsid w:val="00667DDD"/>
    <w:rsid w:val="00AA1D8D"/>
    <w:rsid w:val="00B47730"/>
    <w:rsid w:val="00CB0664"/>
    <w:rsid w:val="00DA14FD"/>
    <w:rsid w:val="00EC1CA4"/>
    <w:rsid w:val="00F91ABF"/>
    <w:rsid w:val="00FC693F"/>
    <w:rsid w:val="00FE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6DAC82"/>
  <w14:defaultImageDpi w14:val="300"/>
  <w15:docId w15:val="{9D8A02CF-D1CE-4FF3-99E5-D9EEE313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C693F"/>
    <w:pPr>
      <w:spacing w:after="140" w:line="278" w:lineRule="auto"/>
    </w:pPr>
    <w:rPr>
      <w:rFonts w:ascii="Aptos" w:hAnsi="Aptos"/>
      <w:color w:val="112B3A"/>
      <w:sz w:val="20"/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color w:val="183047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bCs/>
      <w:color w:val="0B7184"/>
      <w:sz w:val="23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83047"/>
      <w:sz w:val="2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300" w:line="240" w:lineRule="auto"/>
      <w:contextualSpacing/>
    </w:pPr>
    <w:rPr>
      <w:rFonts w:asciiTheme="majorHAnsi" w:eastAsiaTheme="majorEastAsia" w:hAnsiTheme="majorHAnsi" w:cstheme="majorBidi"/>
      <w:b/>
      <w:color w:val="183047"/>
      <w:spacing w:val="5"/>
      <w:kern w:val="28"/>
      <w:sz w:val="48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tion">
    <w:name w:val="Small caption"/>
    <w:basedOn w:val="Normalny"/>
    <w:pPr>
      <w:spacing w:after="100"/>
    </w:pPr>
    <w:rPr>
      <w:color w:val="536574"/>
      <w:sz w:val="16"/>
    </w:rPr>
  </w:style>
  <w:style w:type="paragraph" w:customStyle="1" w:styleId="Source">
    <w:name w:val="Source"/>
    <w:basedOn w:val="Normalny"/>
    <w:pPr>
      <w:spacing w:after="100"/>
    </w:pPr>
    <w:rPr>
      <w:color w:val="536574"/>
      <w:sz w:val="17"/>
    </w:rPr>
  </w:style>
  <w:style w:type="paragraph" w:customStyle="1" w:styleId="Abstract">
    <w:name w:val="Abstract"/>
    <w:basedOn w:val="Normalny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10006292/" TargetMode="External"/><Relationship Id="rId13" Type="http://schemas.openxmlformats.org/officeDocument/2006/relationships/hyperlink" Target="https://pubmed.ncbi.nlm.nih.gov/42068745/" TargetMode="External"/><Relationship Id="rId18" Type="http://schemas.openxmlformats.org/officeDocument/2006/relationships/hyperlink" Target="https://pubmed.ncbi.nlm.nih.gov/26073548/" TargetMode="External"/><Relationship Id="rId3" Type="http://schemas.openxmlformats.org/officeDocument/2006/relationships/styles" Target="styles.xml"/><Relationship Id="rId21" Type="http://schemas.openxmlformats.org/officeDocument/2006/relationships/hyperlink" Target="https://link.springer.com/article/10.1186/s13195-024-01607-4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pubmed.ncbi.nlm.nih.gov/34038930/" TargetMode="External"/><Relationship Id="rId17" Type="http://schemas.openxmlformats.org/officeDocument/2006/relationships/hyperlink" Target="https://www.frontiersin.org/journals/psychiatry/articles/10.3389/fpsyt.2016.00022/full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nature.com/articles/s41597-019-0104-8" TargetMode="External"/><Relationship Id="rId20" Type="http://schemas.openxmlformats.org/officeDocument/2006/relationships/hyperlink" Target="https://link.springer.com/article/10.1186/s12888-025-07589-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ubmed.ncbi.nlm.nih.gov/27760867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nature.com/articles/s41593-020-00709-0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pmc.ncbi.nlm.nih.gov/articles/PMC1252727/" TargetMode="External"/><Relationship Id="rId19" Type="http://schemas.openxmlformats.org/officeDocument/2006/relationships/hyperlink" Target="https://pubmed.ncbi.nlm.nih.gov/33607464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mc.ncbi.nlm.nih.gov/articles/PMC3816929/" TargetMode="External"/><Relationship Id="rId14" Type="http://schemas.openxmlformats.org/officeDocument/2006/relationships/hyperlink" Target="https://www.nature.com/articles/s41398-023-02681-2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F37E84-5027-463B-B448-21977265A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4871</Words>
  <Characters>29228</Characters>
  <Application>Microsoft Office Word</Application>
  <DocSecurity>0</DocSecurity>
  <Lines>243</Lines>
  <Paragraphs>68</Paragraphs>
  <ScaleCrop>false</ScaleCrop>
  <HeadingPairs>
    <vt:vector size="6" baseType="variant">
      <vt:variant>
        <vt:lpstr>Tytuł</vt:lpstr>
      </vt:variant>
      <vt:variant>
        <vt:i4>1</vt:i4>
      </vt:variant>
      <vt:variant>
        <vt:lpstr>Nagłówki</vt:lpstr>
      </vt:variant>
      <vt:variant>
        <vt:i4>37</vt:i4>
      </vt:variant>
      <vt:variant>
        <vt:lpstr>Title</vt:lpstr>
      </vt:variant>
      <vt:variant>
        <vt:i4>1</vt:i4>
      </vt:variant>
    </vt:vector>
  </HeadingPairs>
  <TitlesOfParts>
    <vt:vector size="39" baseType="lpstr">
      <vt:lpstr>Elektroencefalografia, qEEG i potencjały związane ze zdarzeniem (ERP) – raport naukowy</vt:lpstr>
      <vt:lpstr>Streszczenie</vt:lpstr>
      <vt:lpstr>    Układ raportu</vt:lpstr>
      <vt:lpstr>1. Zakres i metodologia syntezy</vt:lpstr>
      <vt:lpstr>    1.1. Poziomy interpretacji</vt:lpstr>
      <vt:lpstr>2. Neurofizjologiczne podstawy EEG</vt:lpstr>
      <vt:lpstr>    2.1. Rytmy i ich ograniczenia</vt:lpstr>
      <vt:lpstr>3. qEEG: od sygnału do cech ilościowych</vt:lpstr>
      <vt:lpstr>    3.1. Mikrostany, łączność i sygnał aperiodyczny</vt:lpstr>
      <vt:lpstr>4. Potencjały wywołane i związane ze zdarzeniem</vt:lpstr>
      <vt:lpstr>    4.1. Charakterystyka głównych komponentów</vt:lpstr>
      <vt:lpstr>    4.2. P300 i N200 w badaniach uwagi</vt:lpstr>
      <vt:lpstr>    4.3. Znaczenie kliniczne i interfejsy mózg–komputer</vt:lpstr>
      <vt:lpstr>5. Rygor metodologiczny badań ERP</vt:lpstr>
      <vt:lpstr>6. Ugruntowane zastosowania EEG w praktyce klinicznej</vt:lpstr>
      <vt:lpstr>    6.1. Padaczka i zdarzenia napadowe</vt:lpstr>
      <vt:lpstr>    6.2. Encefalopatie i zaburzenia świadomości</vt:lpstr>
      <vt:lpstr>    6.3. Medycyna snu</vt:lpstr>
      <vt:lpstr>7. Markery EEG/qEEG/ERP w psychiatrii i neuropsychologii</vt:lpstr>
      <vt:lpstr>    7.1. Depresja oraz zaburzenia nastroju</vt:lpstr>
      <vt:lpstr>    7.2. ADHD</vt:lpstr>
      <vt:lpstr>    7.3. ASD</vt:lpstr>
      <vt:lpstr>    7.4. Schizofrenia i stany wysokiego ryzyka psychozy</vt:lpstr>
      <vt:lpstr>    7.5. Zaburzenia lękowe, OCD i PTSD</vt:lpstr>
      <vt:lpstr>8. Pozostałe wskazania i granice translacji</vt:lpstr>
      <vt:lpstr>    8.1. MCI i choroba Alzheimera</vt:lpstr>
      <vt:lpstr>    8.2. Łagodne urazowe uszkodzenie mózgu</vt:lpstr>
      <vt:lpstr>9. Macierz jakości dowodów i statusu klinicznego</vt:lpstr>
      <vt:lpstr>10. Minimalny standard pozyskiwania i analizy danych</vt:lpstr>
      <vt:lpstr>    10.1. Reprodukowany proces analityczny</vt:lpstr>
      <vt:lpstr>11. Uczenie maszynowe a wiarygodność biomarkerów</vt:lpstr>
      <vt:lpstr>    11.1. Wspólny format danych</vt:lpstr>
      <vt:lpstr>12. Interpretacja kliniczna, decyzje i etyka</vt:lpstr>
      <vt:lpstr>13. Kierunki badań i proponowane kryteria jakości</vt:lpstr>
      <vt:lpstr>14. Wnioski końcowe</vt:lpstr>
      <vt:lpstr>Bibliografia podstawowa</vt:lpstr>
      <vt:lpstr>Aneks. Dokumenty źródłowe i zakres wykorzystania</vt:lpstr>
      <vt:lpstr>    Aneks A. Słownik skrótów i terminów</vt:lpstr>
      <vt:lpstr/>
    </vt:vector>
  </TitlesOfParts>
  <Manager/>
  <Company/>
  <LinksUpToDate>false</LinksUpToDate>
  <CharactersWithSpaces>34031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Elektroencefalografia, qEEG i potencjały związane ze zdarzeniem (ERP) – raport naukowy</dc:title>
  <dc:subject>Synteza naukowa trzech źródeł EEG i qEEG</dc:subject>
  <dc:creator>Andromeda</dc:creator>
  <cp:keywords>EEG, qEEG, ERP, N200, P300, neurofizjologia, diagnostyka</cp:keywords>
  <dc:description>generated by python-docx</dc:description>
  <cp:lastModifiedBy>Mateusz Pomianek</cp:lastModifiedBy>
  <cp:revision>6</cp:revision>
  <cp:lastPrinted>2026-11-01T15:14:00Z</cp:lastPrinted>
  <dcterms:created xsi:type="dcterms:W3CDTF">2013-12-23T23:15:00Z</dcterms:created>
  <dcterms:modified xsi:type="dcterms:W3CDTF">2026-11-01T15:14:00Z</dcterms:modified>
  <cp:category/>
</cp:coreProperties>
</file>