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658" w:rsidRDefault="008E2658" w:rsidP="008E2658">
      <w:pPr>
        <w:spacing w:before="100" w:beforeAutospacing="1" w:after="12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Kalibracji kamery w urządzeniach mobilnych</w:t>
      </w:r>
    </w:p>
    <w:p w:rsidR="008E2658" w:rsidRPr="008E2658" w:rsidRDefault="008E2658" w:rsidP="008E2658">
      <w:pPr>
        <w:pStyle w:val="Nagwek2"/>
      </w:pPr>
      <w:r w:rsidRPr="008E2658">
        <w:t>1. Wstęp i znaczenie strategiczne kalibracji w geomatyce mobilnej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Współczesna geomatyka przechodzi transformację, w której urządzenia mobilne ewoluują z prostych narzędzi komunikacji w zaawansowane instrumenty metrologiczne. Integracja wysokorozdzielczych sensorów obrazu, systemów GNSS oraz inercyjnych jednostek pomiarowych (IMU) w ramach jednej platformy otwiera nowe horyzonty w fotogrametrii bliskiego zasięgu. Jednakże dynamiczny wzrost rozdzielczości matryc – osiągający obecnie pułap 64 MP – stawia przed inżynierami nowe wyzwania. Miniaturyzacja układów optycznych oraz powszechne stosowanie obiektywów szerokokątnych nieuchronnie wprowadza znaczne dystorsje, które muszą zostać precyzyjnie wyeliminowane w drodze certyfikacji parametrów wewnętrznych.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Proces ten, definiowany w fotogrametrii jako wyznaczenie </w:t>
      </w: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orientacji wewnętrznej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pełni krytyczną rolę w przywracaniu geometrii pęku promieni świetlnych. Jego celem jest odtworzenie drogi promienia łączącego punkt w przestrzeni obiektowej z jego obrazem na sensorze, w konfiguracji identycznej z momentem ekspozycji. Ze względu na fizyczne ograniczenia małych sensorów, konieczne jest zastosowanie rygorystycznych modeli matematycznych, które pozwolą na transformację surowego obrazu w wiarygodny materiał pomiarowy.</w:t>
      </w:r>
    </w:p>
    <w:p w:rsidR="008E2658" w:rsidRPr="008E2658" w:rsidRDefault="008E2658" w:rsidP="008E2658">
      <w:pPr>
        <w:pStyle w:val="Nagwek2"/>
      </w:pPr>
      <w:r w:rsidRPr="008E2658">
        <w:t>2. Model matematyczny kamery i składowe dystorsji obiektywu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Fundamentem matematycznym procedury kalibracyjnej jest model kamery otworkowej (</w:t>
      </w:r>
      <w:r w:rsidRPr="008E26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pinhole model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 W rzeczywistych systemach optycznych idealny rzut środkowy jest zaburzany przez dystorsję, którą dekomponujemy na składową radialną i tangencjalną.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Fizyczną przyczyną dystorsji radialnej jest sferyczny kształt soczewek, co opisujemy współczynnikami k_1, k_2, k_3. Dystorsja tangencjaln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 (p_1, p_2) wynika natomiast z 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niedoskonałości montażowych – de-centracji oraz braku ortogonalności soczewek względem osi optycznej. Relację między współrzędnymi idealnymi (x, y) a zniekształconymi (x_{distorted}, y_{distorted}) definiują równania:</w:t>
      </w:r>
    </w:p>
    <w:p w:rsidR="00BC79A3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Dystorsja radialna: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</w:p>
    <w:p w:rsidR="008E2658" w:rsidRPr="00C2308E" w:rsidRDefault="00BC79A3" w:rsidP="00BC79A3">
      <w:pPr>
        <w:spacing w:before="100" w:beforeAutospacing="1"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pl-PL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4"/>
                <w:lang w:eastAsia="pl-PL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4"/>
                <w:lang w:eastAsia="pl-PL"/>
                <w14:ligatures w14:val="none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4"/>
                    <w:lang w:eastAsia="pl-PL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distorted</m:t>
                </m:r>
              </m:e>
            </m:d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4"/>
            <w:lang w:eastAsia="pl-PL"/>
            <w14:ligatures w14:val="none"/>
          </w:rPr>
          <m:t>= x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4"/>
                <w:lang w:eastAsia="pl-P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4"/>
                <w:lang w:eastAsia="pl-PL"/>
                <w14:ligatures w14:val="none"/>
              </w:rPr>
              <m:t xml:space="preserve">1 + 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4"/>
                    <w:lang w:eastAsia="pl-PL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1r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kern w:val="0"/>
                <w:sz w:val="28"/>
                <w:szCs w:val="24"/>
                <w:lang w:eastAsia="pl-PL"/>
                <w14:ligatures w14:val="none"/>
              </w:rPr>
              <m:t xml:space="preserve">+ 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4"/>
                    <w:lang w:eastAsia="pl-PL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2r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4</m:t>
                </m:r>
              </m:sup>
            </m:sSubSup>
            <m:r>
              <w:rPr>
                <w:rFonts w:ascii="Cambria Math" w:eastAsia="Times New Roman" w:hAnsi="Cambria Math" w:cs="Times New Roman"/>
                <w:kern w:val="0"/>
                <w:sz w:val="28"/>
                <w:szCs w:val="24"/>
                <w:lang w:eastAsia="pl-PL"/>
                <w14:ligatures w14:val="none"/>
              </w:rPr>
              <m:t xml:space="preserve">+ 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4"/>
                    <w:lang w:eastAsia="pl-PL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3r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6</m:t>
                </m:r>
              </m:sup>
            </m:sSubSup>
          </m:e>
        </m:d>
        <m:r>
          <w:rPr>
            <w:rFonts w:ascii="Cambria Math" w:eastAsia="Times New Roman" w:hAnsi="Cambria Math" w:cs="Times New Roman"/>
            <w:kern w:val="0"/>
            <w:sz w:val="28"/>
            <w:szCs w:val="24"/>
            <w:lang w:eastAsia="pl-PL"/>
            <w14:ligatures w14:val="none"/>
          </w:rPr>
          <m:t xml:space="preserve"> , </m:t>
        </m:r>
      </m:oMath>
      <w:r w:rsidRPr="00C2308E">
        <w:rPr>
          <w:rFonts w:ascii="Times New Roman" w:eastAsia="Times New Roman" w:hAnsi="Times New Roman" w:cs="Times New Roman"/>
          <w:kern w:val="0"/>
          <w:sz w:val="28"/>
          <w:szCs w:val="24"/>
          <w:lang w:eastAsia="pl-PL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4"/>
                <w:lang w:eastAsia="pl-PL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4"/>
                <w:lang w:eastAsia="pl-PL"/>
                <w14:ligatures w14:val="none"/>
              </w:rPr>
              <m:t>y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4"/>
                    <w:lang w:eastAsia="pl-PL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distorted</m:t>
                </m:r>
              </m:e>
            </m:d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4"/>
            <w:lang w:eastAsia="pl-PL"/>
            <w14:ligatures w14:val="none"/>
          </w:rPr>
          <m:t>= y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4"/>
                <w:lang w:eastAsia="pl-P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4"/>
                <w:lang w:eastAsia="pl-PL"/>
                <w14:ligatures w14:val="none"/>
              </w:rPr>
              <m:t xml:space="preserve">1 + 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4"/>
                    <w:lang w:eastAsia="pl-PL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1r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2</m:t>
                </m:r>
              </m:sup>
            </m:sSubSup>
            <m:r>
              <w:rPr>
                <w:rFonts w:ascii="Cambria Math" w:eastAsia="Times New Roman" w:hAnsi="Cambria Math" w:cs="Times New Roman"/>
                <w:kern w:val="0"/>
                <w:sz w:val="28"/>
                <w:szCs w:val="24"/>
                <w:lang w:eastAsia="pl-PL"/>
                <w14:ligatures w14:val="none"/>
              </w:rPr>
              <m:t xml:space="preserve">+ 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4"/>
                    <w:lang w:eastAsia="pl-PL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2r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4</m:t>
                </m:r>
              </m:sup>
            </m:sSubSup>
            <m:r>
              <w:rPr>
                <w:rFonts w:ascii="Cambria Math" w:eastAsia="Times New Roman" w:hAnsi="Cambria Math" w:cs="Times New Roman"/>
                <w:kern w:val="0"/>
                <w:sz w:val="28"/>
                <w:szCs w:val="24"/>
                <w:lang w:eastAsia="pl-PL"/>
                <w14:ligatures w14:val="none"/>
              </w:rPr>
              <m:t xml:space="preserve">+ 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4"/>
                    <w:lang w:eastAsia="pl-PL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3r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pl-PL"/>
                    <w14:ligatures w14:val="none"/>
                  </w:rPr>
                  <m:t>6</m:t>
                </m:r>
              </m:sup>
            </m:sSubSup>
          </m:e>
        </m:d>
      </m:oMath>
    </w:p>
    <w:p w:rsidR="00BC79A3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Dystorsja tangencjalna: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</w:p>
    <w:p w:rsidR="008E2658" w:rsidRPr="008E2658" w:rsidRDefault="00761FE2" w:rsidP="00C2308E">
      <w:pPr>
        <w:tabs>
          <w:tab w:val="left" w:pos="0"/>
        </w:tabs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4"/>
                  <w:lang w:eastAsia="pl-PL"/>
                  <w14:ligatures w14:val="none"/>
                </w:rPr>
                <m:t>x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distorted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4"/>
              <w:lang w:eastAsia="pl-PL"/>
              <w14:ligatures w14:val="none"/>
            </w:rPr>
            <m:t xml:space="preserve">= x +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4"/>
                  <w:lang w:eastAsia="pl-PL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4"/>
                  <w:lang w:eastAsia="pl-PL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1xy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4"/>
                  <w:lang w:eastAsia="pl-PL"/>
                  <w14:ligatures w14:val="none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4"/>
                          <w:lang w:eastAsia="pl-PL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4"/>
                          <w:lang w:eastAsia="pl-PL"/>
                          <w14:ligatures w14:val="none"/>
                        </w:rPr>
                        <m:t>+ 2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4"/>
              <w:lang w:eastAsia="pl-PL"/>
              <w14:ligatures w14:val="none"/>
            </w:rPr>
            <m:t xml:space="preserve"> 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4"/>
                  <w:lang w:eastAsia="pl-PL"/>
                  <w14:ligatures w14:val="none"/>
                </w:rPr>
                <m:t>y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distorted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4"/>
              <w:lang w:eastAsia="pl-PL"/>
              <w14:ligatures w14:val="none"/>
            </w:rPr>
            <m:t xml:space="preserve">= y +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4"/>
                  <w:lang w:eastAsia="pl-PL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1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4"/>
                          <w:lang w:eastAsia="pl-PL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4"/>
                          <w:lang w:eastAsia="pl-PL"/>
                          <w14:ligatures w14:val="none"/>
                        </w:rPr>
                        <m:t>+ 2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4"/>
                              <w:lang w:eastAsia="pl-PL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4"/>
                  <w:lang w:eastAsia="pl-PL"/>
                  <w14:ligatures w14:val="none"/>
                </w:rPr>
                <m:t>+ 2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4"/>
                      <w:lang w:eastAsia="pl-PL"/>
                      <w14:ligatures w14:val="none"/>
                    </w:rPr>
                    <m:t>2xy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4"/>
              <w:lang w:eastAsia="pl-PL"/>
              <w14:ligatures w14:val="none"/>
            </w:rPr>
            <m:t xml:space="preserve"> </m:t>
          </m:r>
        </m:oMath>
      </m:oMathPara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Gdzie r to odległość radialna od punktu głównego. Jako ekspert podkreślam kluczowy detal implementacyjny: o ile standard OpenCV operuje na powyższych relacjach, o tyle w zaawansowanej metodzie wyrównania wiązek (Bundle Adjustment), dla zachowania spójności z projektowaniem równań kolinearności, wartości zniekształcone są wprowadzane po prawej stronie równań. Parametry te są estymowane w drodze wyrównania statystycznego, co stanowi bazę do dalszej korekcji metrycznej.</w:t>
      </w:r>
    </w:p>
    <w:p w:rsidR="0027453E" w:rsidRDefault="0027453E" w:rsidP="008E2658">
      <w:pPr>
        <w:pStyle w:val="Nagwek2"/>
      </w:pPr>
    </w:p>
    <w:p w:rsidR="008E2658" w:rsidRPr="008E2658" w:rsidRDefault="008E2658" w:rsidP="008E2658">
      <w:pPr>
        <w:pStyle w:val="Nagwek2"/>
      </w:pPr>
      <w:r w:rsidRPr="008E2658">
        <w:lastRenderedPageBreak/>
        <w:t>3. Procedury przetwarzania obrazów o wysokiej rozdzielczości (powyżej 20 MP)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Współczesne sensory 64 MP generują bariery technologiczne dla standardowych algorytmów wizji komputerowej. Powszechnie stosowana funkcja </w:t>
      </w:r>
      <w:r w:rsidRPr="008E2658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findChessboardCorners()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bibliotece OpenCV wykazuje brak stabilności przy tak dużych zbiorach danych – problemem nie jest sama rozdzielczość, lecz fakt, że funkcja przestaje zwracać przybliżone współrzędne narożników, co uniemożliwia poprawne działanie procedury </w:t>
      </w:r>
      <w:r w:rsidRPr="008E2658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cornerSubPix()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celu obejścia tego ograniczenia zaimplementowano mechanizm dynamicznego skalowania obrazu. Kluczowym elementem jest obliczenie współczynnika skalowania (</w:t>
      </w:r>
      <w:r w:rsidRPr="008E26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scale factor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zgodnie z zależnością: \text{scale factor} = \text{round}(\frac{\text{image size in MP}}{20 \text{ MP}} + 0.5)</w:t>
      </w:r>
    </w:p>
    <w:p w:rsidR="008E2658" w:rsidRPr="008E2658" w:rsidRDefault="008E2658" w:rsidP="008E2658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Procedura generowania współrzędnych i detekcji:</w:t>
      </w:r>
    </w:p>
    <w:p w:rsidR="008E2658" w:rsidRPr="008E2658" w:rsidRDefault="008E2658" w:rsidP="008E2658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Redukcja rozdzielczości obrazu przy użyciu wyznaczonego współczynnika.</w:t>
      </w:r>
    </w:p>
    <w:p w:rsidR="008E2658" w:rsidRPr="008E2658" w:rsidRDefault="008E2658" w:rsidP="008E2658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Lokalizacja przybliżonych narożników wzorca na obrazie o mniejszej skali.</w:t>
      </w:r>
    </w:p>
    <w:p w:rsidR="008E2658" w:rsidRPr="008E2658" w:rsidRDefault="008E2658" w:rsidP="008E2658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Rekonstrukcja współrzędnych na obrazie oryginalnym poprzez przemnożenie wyników przez </w:t>
      </w:r>
      <w:r w:rsidRPr="008E26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scale factor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8E2658" w:rsidRPr="008E2658" w:rsidRDefault="008E2658" w:rsidP="008E2658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Wyznaczenie współrzędnych obiektowych wzorca (Algorithm 1) poprzez iterację:</w:t>
      </w:r>
    </w:p>
    <w:p w:rsidR="008E2658" w:rsidRPr="008E2658" w:rsidRDefault="008E2658" w:rsidP="008E2658">
      <w:pPr>
        <w:numPr>
          <w:ilvl w:val="1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Dla każdego rzędu (j) i kolumny (i):</w:t>
      </w:r>
    </w:p>
    <w:p w:rsidR="008E2658" w:rsidRPr="008E2658" w:rsidRDefault="00363985" w:rsidP="008E2658">
      <w:pPr>
        <w:numPr>
          <w:ilvl w:val="1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pl-PL"/>
            <w14:ligatures w14:val="none"/>
          </w:rPr>
          <m:t>x = i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pl-PL"/>
            <w14:ligatures w14:val="none"/>
          </w:rPr>
          <m:t xml:space="preserve">× 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 w:eastAsia="pl-P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m:t>step</m:t>
            </m:r>
          </m:e>
        </m:d>
      </m:oMath>
    </w:p>
    <w:p w:rsidR="008E2658" w:rsidRPr="008E2658" w:rsidRDefault="0027453E" w:rsidP="008E2658">
      <w:pPr>
        <w:numPr>
          <w:ilvl w:val="1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pl-PL"/>
            <w14:ligatures w14:val="none"/>
          </w:rPr>
          <m:t xml:space="preserve">y = 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 w:eastAsia="pl-PL"/>
                <w14:ligatures w14:val="none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 w:eastAsia="pl-PL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 w:eastAsia="pl-PL"/>
                    <w14:ligatures w14:val="none"/>
                  </w:rPr>
                  <m:t>rows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m:t>- 1 - j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pl-PL"/>
            <w14:ligatures w14:val="none"/>
          </w:rPr>
          <m:t xml:space="preserve">× 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 w:eastAsia="pl-P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m:t>step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pl-PL"/>
            <w14:ligatures w14:val="none"/>
          </w:rPr>
          <m:t xml:space="preserve">  </m:t>
        </m:r>
      </m:oMath>
    </w:p>
    <w:p w:rsidR="008E2658" w:rsidRPr="008E2658" w:rsidRDefault="008E2658" w:rsidP="008E2658">
      <w:pPr>
        <w:numPr>
          <w:ilvl w:val="1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 = 0</w:t>
      </w:r>
    </w:p>
    <w:p w:rsidR="008E2658" w:rsidRPr="008E2658" w:rsidRDefault="008E2658" w:rsidP="008E2658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Finalne uściślenie pozycji z dokładnością subpikselową.</w:t>
      </w:r>
    </w:p>
    <w:p w:rsidR="008E2658" w:rsidRPr="008E2658" w:rsidRDefault="008E2658" w:rsidP="008E2658">
      <w:pPr>
        <w:pStyle w:val="Nagwek2"/>
      </w:pPr>
      <w:r w:rsidRPr="008E2658">
        <w:t xml:space="preserve">4. Porównanie metod: OpenCV vs. </w:t>
      </w:r>
      <w:r w:rsidR="002C301D">
        <w:t>w</w:t>
      </w:r>
      <w:r w:rsidRPr="008E2658">
        <w:t xml:space="preserve">yrównanie </w:t>
      </w:r>
      <w:r w:rsidR="002C301D">
        <w:t>w</w:t>
      </w:r>
      <w:r w:rsidRPr="008E2658">
        <w:t>iązek (Bundle Adjustment)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analizie zestawiono dwa podejścia: algorytm Zhanga (standard OpenCV) oraz fotogrametryczne wyrównanie wiązek z dodatkowymi parametrami. Metoda wyrównania wiązek opiera się na równaniach kolinearności, wymagając spełnienia warunku nadmiarowości obserwacji: \text{Liczba obserwacji} &gt; \text{Obrazy} \times 6 + \text{Punkty kontrolne} \times 3 + 8 \text{ (dodatkowe parametry)}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697"/>
        <w:gridCol w:w="5155"/>
      </w:tblGrid>
      <w:tr w:rsidR="008E2658" w:rsidRPr="008E2658" w:rsidTr="008E26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Cecha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Metoda OpenCV (Zhang)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Wyrównanie Wiązek (BA)</w:t>
            </w:r>
          </w:p>
        </w:tc>
      </w:tr>
      <w:tr w:rsidR="008E2658" w:rsidRPr="008E2658" w:rsidTr="008E26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Główna metryka błędu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Total Re-projection Error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Sigma (\sigma) oraz niepewność parametrów</w:t>
            </w:r>
          </w:p>
        </w:tc>
      </w:tr>
      <w:tr w:rsidR="008E2658" w:rsidRPr="008E2658" w:rsidTr="008E26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Metrologia błędów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Wynik zbiorczy dla zestawu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Estymacja niepewności parametrów (Standard Deviation)</w:t>
            </w:r>
          </w:p>
        </w:tc>
      </w:tr>
      <w:tr w:rsidR="008E2658" w:rsidRPr="008E2658" w:rsidTr="008E26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Weryfikacja punktowa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Brak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RMSE punktów kontrolnych</w:t>
            </w:r>
          </w:p>
        </w:tc>
      </w:tr>
      <w:tr w:rsidR="008E2658" w:rsidRPr="008E2658" w:rsidTr="008E26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Charakterystyka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Szybka kalibracja systemowa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E2658" w:rsidRPr="008E2658" w:rsidRDefault="008E2658" w:rsidP="008E2658">
            <w:pPr>
              <w:spacing w:before="100" w:beforeAutospacing="1" w:after="4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E26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Precyzyjne projekty inżynieryjne</w:t>
            </w:r>
          </w:p>
        </w:tc>
      </w:tr>
    </w:tbl>
    <w:p w:rsidR="00363985" w:rsidRDefault="00363985" w:rsidP="008E2658">
      <w:pPr>
        <w:pStyle w:val="Nagwek2"/>
      </w:pPr>
    </w:p>
    <w:p w:rsidR="008E2658" w:rsidRPr="008E2658" w:rsidRDefault="008E2658" w:rsidP="008E2658">
      <w:pPr>
        <w:pStyle w:val="Nagwek2"/>
      </w:pPr>
      <w:bookmarkStart w:id="0" w:name="_GoBack"/>
      <w:bookmarkEnd w:id="0"/>
      <w:r w:rsidRPr="008E2658">
        <w:t>5. Nowatorska metodologia oceny wyników: Wskaźnik „Rect”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Standardowy błąd re-projekcji często maskuje lokalne niedokładności modelu. Wprowadzono zatem autorski wskaźnik „Rect”, bazujący na rektyfikacji pojedynczego obrazu kontrolnego. Wykorzystuje on parametry rzutu środkowego do transformacji współrzędnych obrazowych na obiektowe (w mm): X = \frac{a_1x + b_1y + d_1}{a_3x + b_3y + 1}, \quad Y = \frac{a_2x + b_2y + d_2}{a_3x + b_3y + 1}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Wskaźnik „Rect” (wyrażony w %) definiuje zysk dokładności po kalibracji: \text{Rect} = 100 \times \frac{ac_{Distorted} - ac_{UnDistorted}}{ac_{Distorted}}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Interpretacja wizualizacji gradientowej pozwala na precyzyjną diagnostykę:</w:t>
      </w:r>
    </w:p>
    <w:p w:rsidR="008E2658" w:rsidRPr="008E2658" w:rsidRDefault="008E2658" w:rsidP="008E2658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diff &gt; 0.3 mm (kolor czerwony):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Krytyczne błędy modelu, zwykle w narożnikach.</w:t>
      </w:r>
    </w:p>
    <w:p w:rsidR="008E2658" w:rsidRPr="008E2658" w:rsidRDefault="008E2658" w:rsidP="008E2658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0.1–0.2 mm (żółty/pomarańczowy):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Akceptowalne odchylenia, bliskie granicy precyzji wydruku wzorca.</w:t>
      </w:r>
    </w:p>
    <w:p w:rsidR="008E2658" w:rsidRPr="008E2658" w:rsidRDefault="008E2658" w:rsidP="008E2658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Wartości ujemne: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Wadliwa kalibracja pogarszająca geometrię obrazu.</w:t>
      </w:r>
    </w:p>
    <w:p w:rsidR="008E2658" w:rsidRPr="008E2658" w:rsidRDefault="008E2658" w:rsidP="008E2658">
      <w:pPr>
        <w:pStyle w:val="Nagwek2"/>
      </w:pPr>
      <w:r w:rsidRPr="008E2658">
        <w:t>6. Analiza wydajności w zależności od konfiguracji zestawu zdjęć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Eksperymenty dowiodły, że geometria zdjęć ma nadrzędne znaczenie nad ich liczbą.</w:t>
      </w:r>
    </w:p>
    <w:p w:rsidR="008E2658" w:rsidRPr="008E2658" w:rsidRDefault="008E2658" w:rsidP="008E2658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Zestaw Optymalny (Set 2):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Zaledwie 5 zdjęć uwzględniających nachylenia i głębię pola. Wyniki: \sigma = 3.883, dokładność wyznaczenia ogniskowej (f) = 1.556 px, wskaźnik „Rect” = +48.2%.</w:t>
      </w:r>
    </w:p>
    <w:p w:rsidR="008E2658" w:rsidRPr="008E2658" w:rsidRDefault="008E2658" w:rsidP="008E2658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Zestaw Niedopuszczalny (Set 3):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9 zdjęć wykonanych niemal równolegle do wzorca (osie optyczne bliskie równoległości). Skutkowało to drastycznym spadkiem dokładności (f error = 85.709 px) i ujemnym wskaźnikiem „Rect” (-21.2%). Z punktu widzenia certyfikacji metrycznej, taka konfiguracja jest bezużyteczna.</w:t>
      </w:r>
    </w:p>
    <w:p w:rsidR="008E2658" w:rsidRPr="008E2658" w:rsidRDefault="008E2658" w:rsidP="008E2658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Nadmiarowość (Set 5 i 6):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30 zdjęć poprawiło błędy standardowe parametrów (np. f error = 0.722 px dla Set 6), ale nie przełożyło się na istotny wzrost wskaźnika „Rect” względem Set 2, generując jedynie zbędny koszt obliczeniowy.</w:t>
      </w:r>
    </w:p>
    <w:p w:rsidR="008E2658" w:rsidRPr="008E2658" w:rsidRDefault="008E2658" w:rsidP="008E2658">
      <w:pPr>
        <w:pStyle w:val="Nagwek2"/>
      </w:pPr>
      <w:r w:rsidRPr="008E2658">
        <w:t>7. Wnioski i rekomendacje dla profesjonalnych zastosowań fotogrametrycznych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Opracowana procedura stanowi kompletny protokół certyfikacji urządzeń mobilnych dla potrzeb metrologii cyfrowej. Główne konkluzje techniczne prezentują się następująco:</w:t>
      </w:r>
    </w:p>
    <w:p w:rsidR="008E2658" w:rsidRPr="008E2658" w:rsidRDefault="008E2658" w:rsidP="008E2658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Rekomendacja operacyjna: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Standardem pozyskiwania danych kalibracyjnych staje się konfiguracja oparta na </w:t>
      </w: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Photo Set 2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Wykonanie 5 zdjęć pod zróżnicowanymi kątami zapewnia najwyższą stabilność parametrów przy minimalnym nakładzie pracy.</w:t>
      </w:r>
    </w:p>
    <w:p w:rsidR="008E2658" w:rsidRPr="008E2658" w:rsidRDefault="008E2658" w:rsidP="008E2658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Przewaga wskaźnika „Rect”: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Wskaźnik ten wykazuje znacznie wyższą czułość na błędy geometrii niż błąd re-projekcji. Pozwala on na walidację wyników w jednostkach rzeczywistych (mm), co jest kluczowe dla inżynierii pomiarowej.</w:t>
      </w:r>
    </w:p>
    <w:p w:rsidR="008E2658" w:rsidRPr="008E2658" w:rsidRDefault="008E2658" w:rsidP="008E2658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Automatyzacja:</w:t>
      </w: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Wdrożenie dynamicznego skalowania jest obligatoryjne dla procesów automatycznych operujących na zdjęciach powyżej 20 MP, eliminując ryzyko błędów detekcji wzorca.</w:t>
      </w:r>
    </w:p>
    <w:p w:rsidR="008E2658" w:rsidRPr="008E2658" w:rsidRDefault="008E2658" w:rsidP="008E2658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E265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Zastosowanie przedstawionej metodologii pozwala na uzyskanie dokładności rzędu 0.1–0.2 mm na obiekcie, co w pełni predysponuje nowoczesne smartfony do roli pełnoprawnych sensorów w profesjonalnych systemach fotogrametrycznych. Dokument ten potwierdza gotowość technologii do wdrożenia w rygorystycznych projektach inżynieryjnych.</w:t>
      </w:r>
    </w:p>
    <w:p w:rsidR="002B0DD0" w:rsidRDefault="002B0DD0" w:rsidP="008E2658">
      <w:pPr>
        <w:spacing w:after="120" w:line="276" w:lineRule="auto"/>
      </w:pPr>
    </w:p>
    <w:sectPr w:rsidR="002B0DD0" w:rsidSect="0027453E">
      <w:footerReference w:type="default" r:id="rId7"/>
      <w:pgSz w:w="11906" w:h="16838"/>
      <w:pgMar w:top="851" w:right="851" w:bottom="851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50F" w:rsidRDefault="0072050F" w:rsidP="00376405">
      <w:pPr>
        <w:spacing w:after="0" w:line="240" w:lineRule="auto"/>
      </w:pPr>
      <w:r>
        <w:separator/>
      </w:r>
    </w:p>
  </w:endnote>
  <w:endnote w:type="continuationSeparator" w:id="0">
    <w:p w:rsidR="0072050F" w:rsidRDefault="0072050F" w:rsidP="00376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8168216"/>
      <w:docPartObj>
        <w:docPartGallery w:val="Page Numbers (Bottom of Page)"/>
        <w:docPartUnique/>
      </w:docPartObj>
    </w:sdtPr>
    <w:sdtEndPr/>
    <w:sdtContent>
      <w:p w:rsidR="00376405" w:rsidRDefault="00376405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050F">
          <w:rPr>
            <w:noProof/>
          </w:rPr>
          <w:t>1</w:t>
        </w:r>
        <w:r>
          <w:fldChar w:fldCharType="end"/>
        </w:r>
      </w:p>
    </w:sdtContent>
  </w:sdt>
  <w:p w:rsidR="00376405" w:rsidRDefault="0037640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50F" w:rsidRDefault="0072050F" w:rsidP="00376405">
      <w:pPr>
        <w:spacing w:after="0" w:line="240" w:lineRule="auto"/>
      </w:pPr>
      <w:r>
        <w:separator/>
      </w:r>
    </w:p>
  </w:footnote>
  <w:footnote w:type="continuationSeparator" w:id="0">
    <w:p w:rsidR="0072050F" w:rsidRDefault="0072050F" w:rsidP="003764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41640"/>
    <w:multiLevelType w:val="multilevel"/>
    <w:tmpl w:val="A02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0F71"/>
    <w:multiLevelType w:val="multilevel"/>
    <w:tmpl w:val="3CA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F68AC"/>
    <w:multiLevelType w:val="multilevel"/>
    <w:tmpl w:val="9D18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F018C6"/>
    <w:multiLevelType w:val="multilevel"/>
    <w:tmpl w:val="322E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3C4"/>
    <w:rsid w:val="000F7B1C"/>
    <w:rsid w:val="001E73C4"/>
    <w:rsid w:val="0027453E"/>
    <w:rsid w:val="002B0DD0"/>
    <w:rsid w:val="002C301D"/>
    <w:rsid w:val="00363985"/>
    <w:rsid w:val="00376405"/>
    <w:rsid w:val="00514A8E"/>
    <w:rsid w:val="0072050F"/>
    <w:rsid w:val="00761FE2"/>
    <w:rsid w:val="007D2599"/>
    <w:rsid w:val="008E2658"/>
    <w:rsid w:val="008E77CB"/>
    <w:rsid w:val="009B3166"/>
    <w:rsid w:val="00BC79A3"/>
    <w:rsid w:val="00C2308E"/>
    <w:rsid w:val="00D3603C"/>
    <w:rsid w:val="00F21112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A8366"/>
  <w14:defaultImageDpi w14:val="330"/>
  <w15:chartTrackingRefBased/>
  <w15:docId w15:val="{11438887-9DC8-4DC4-8669-1CB505CE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next w:val="Normalny"/>
    <w:link w:val="Nagwek2Znak"/>
    <w:autoRedefine/>
    <w:uiPriority w:val="9"/>
    <w:unhideWhenUsed/>
    <w:qFormat/>
    <w:rsid w:val="008E2658"/>
    <w:pPr>
      <w:spacing w:before="360" w:after="240" w:line="276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7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8E2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8E2658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8E2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8E2658"/>
    <w:rPr>
      <w:rFonts w:ascii="Courier New" w:eastAsia="Times New Roman" w:hAnsi="Courier New" w:cs="Courier New"/>
      <w:sz w:val="20"/>
      <w:szCs w:val="20"/>
    </w:rPr>
  </w:style>
  <w:style w:type="character" w:customStyle="1" w:styleId="Nagwek2Znak">
    <w:name w:val="Nagłówek 2 Znak"/>
    <w:basedOn w:val="Domylnaczcionkaakapitu"/>
    <w:link w:val="Nagwek2"/>
    <w:uiPriority w:val="9"/>
    <w:rsid w:val="008E2658"/>
    <w:rPr>
      <w:rFonts w:ascii="Times New Roman" w:eastAsia="Times New Roman" w:hAnsi="Times New Roman" w:cs="Times New Roman"/>
      <w:b/>
      <w:bCs/>
      <w:kern w:val="0"/>
      <w:sz w:val="28"/>
      <w:szCs w:val="27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3764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76405"/>
  </w:style>
  <w:style w:type="paragraph" w:styleId="Stopka">
    <w:name w:val="footer"/>
    <w:basedOn w:val="Normalny"/>
    <w:link w:val="StopkaZnak"/>
    <w:uiPriority w:val="99"/>
    <w:unhideWhenUsed/>
    <w:rsid w:val="003764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76405"/>
  </w:style>
  <w:style w:type="character" w:styleId="Tekstzastpczy">
    <w:name w:val="Placeholder Text"/>
    <w:basedOn w:val="Domylnaczcionkaakapitu"/>
    <w:uiPriority w:val="99"/>
    <w:semiHidden/>
    <w:rsid w:val="00C230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8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234"/>
    <w:rsid w:val="004F2234"/>
    <w:rsid w:val="008F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4F223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920x1200"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8</cp:revision>
  <cp:lastPrinted>2026-02-22T18:08:00Z</cp:lastPrinted>
  <dcterms:created xsi:type="dcterms:W3CDTF">2026-02-22T18:06:00Z</dcterms:created>
  <dcterms:modified xsi:type="dcterms:W3CDTF">2026-11-01T14:02:00Z</dcterms:modified>
</cp:coreProperties>
</file>