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08A" w:rsidRDefault="00673807">
      <w:pPr>
        <w:pStyle w:val="Tytu"/>
      </w:pPr>
      <w:r>
        <w:t>Wskaźniki informatyki afektywnej</w:t>
      </w:r>
      <w:r>
        <w:br/>
        <w:t>pozyskiwane z urządzeń mobilnych</w:t>
      </w:r>
    </w:p>
    <w:p w:rsidR="005E208A" w:rsidRDefault="00673807">
      <w:pPr>
        <w:pStyle w:val="Podtytu"/>
      </w:pPr>
      <w:r>
        <w:t>Definicje operacyjne, jakość pomiaru, korelaty psychopatologiczne i warunki walidacji</w:t>
      </w:r>
    </w:p>
    <w:p w:rsidR="005E208A" w:rsidRDefault="00673807">
      <w:pPr>
        <w:pStyle w:val="Small"/>
        <w:rPr>
          <w:rFonts w:hint="eastAsia"/>
        </w:rPr>
      </w:pPr>
      <w:r>
        <w:t xml:space="preserve">01 listopada 2026   |   Wersja 1.0.0   |   Krytyczny </w:t>
      </w:r>
      <w:r>
        <w:t>przegląd narracyjny i propozycja specyfikacji pomiarowej</w:t>
      </w:r>
    </w:p>
    <w:p w:rsidR="005E208A" w:rsidRDefault="00673807">
      <w:pPr>
        <w:pStyle w:val="Nagwek1"/>
      </w:pPr>
      <w:r>
        <w:t>Streszczenie</w:t>
      </w:r>
    </w:p>
    <w:p w:rsidR="005E208A" w:rsidRDefault="00673807" w:rsidP="006838EC">
      <w:pPr>
        <w:pStyle w:val="Abstract"/>
        <w:jc w:val="both"/>
        <w:rPr>
          <w:rFonts w:hint="eastAsia"/>
        </w:rPr>
      </w:pPr>
      <w:r>
        <w:t>Cele</w:t>
      </w:r>
      <w:r w:rsidR="006838EC">
        <w:t>m raportu jest integracja  materiałów opisujących wskaźniki</w:t>
      </w:r>
      <w:r>
        <w:t xml:space="preserve"> cyfrowego fenotypowania emocji i zachowania na podstawie pomiarów smartfonowych oraz, opcjonalnie, urządzeń nosz</w:t>
      </w:r>
      <w:r>
        <w:t xml:space="preserve">onych. Materiały obejmują aktywność psychomotoryczną, rytm dobowy, sen, mobilność, kontakty społeczne, korzystanie ze smartfona, fizjologię, metadane systemowe i wskaźniki złożone. W rozszerzonym materiale przedstawiono ponadto hipotetyczne związki części </w:t>
      </w:r>
      <w:r>
        <w:t>tych zmiennych z depresją, manią, lękiem, niestabilnością afektywną, anhedonią, zaburzeniami snu i stresem przewlekłym. Niniejsza synteza porządkuje ten katalog i wyraźnie oddziela pomiar behawioralny od wnioskowania klinicznego.</w:t>
      </w:r>
    </w:p>
    <w:p w:rsidR="005E208A" w:rsidRDefault="00673807" w:rsidP="006838EC">
      <w:pPr>
        <w:pStyle w:val="Abstract"/>
        <w:jc w:val="both"/>
        <w:rPr>
          <w:rFonts w:hint="eastAsia"/>
        </w:rPr>
      </w:pPr>
      <w:r>
        <w:t>Przeprowadzono audyt defin</w:t>
      </w:r>
      <w:r>
        <w:t>icji i wzorów. Zidentyfikowano m.in. niejednoznaczność normalizacji aktywności do czasu, nieprawidłową definicję stabilności międzydobowej, brak współczynników normalizacyjnych zmienności śródobowej, jednowymiarowy zapis promienia przemieszczania, niejedno</w:t>
      </w:r>
      <w:r>
        <w:t>rodne jednostki EDA oraz dwie nazwy tego samego wskaźnika używania telefonu w nocy. Złożone indeksy DBI, MAI i AII nie mają w źródłach określonych wag ani walidacji klinicznej; należy je traktować jako propozycje badawcze. Dane smartfonowe mogą ujawniać zm</w:t>
      </w:r>
      <w:r>
        <w:t>iany wewnątrzosobnicze, lecz nie stanowią samodzielnych testów diagnostycznych. Krytyczne są kontrola braków danych, identyfikacja noszenia urządzenia, porównanie z pomiarami referencyjnymi, walidacja u niezależnych uczestników oraz ochrona prywatności.</w:t>
      </w:r>
    </w:p>
    <w:p w:rsidR="005E208A" w:rsidRDefault="00673807">
      <w:pPr>
        <w:pStyle w:val="Small"/>
        <w:rPr>
          <w:rFonts w:hint="eastAsia"/>
        </w:rPr>
      </w:pPr>
      <w:r>
        <w:t>Sł</w:t>
      </w:r>
      <w:r>
        <w:t>owa kluczowe: informatyka afektywna; digital phenotyping; smartphone sensing; digital biomarkers; aktigrafia; psychometria; jakość danych; walidacja kliniczna.</w:t>
      </w:r>
    </w:p>
    <w:p w:rsidR="005E208A" w:rsidRDefault="00673807">
      <w:pPr>
        <w:pStyle w:val="Nagwek1"/>
      </w:pPr>
      <w:r>
        <w:t>1. Cel, źródła i charakter syntezy</w:t>
      </w:r>
    </w:p>
    <w:p w:rsidR="005E208A" w:rsidRDefault="00673807" w:rsidP="006838EC">
      <w:pPr>
        <w:jc w:val="both"/>
        <w:rPr>
          <w:rFonts w:hint="eastAsia"/>
        </w:rPr>
      </w:pPr>
      <w:r>
        <w:t>Przedmiotem raportu są wskaźniki tworzone z biernie pozyskiwa</w:t>
      </w:r>
      <w:r>
        <w:t>nych metadanych i sygnałów z telefonu lub kompatybilnego urządzenia noszonego. Stanowią one operacjonalizacje aktywności fizycznej i cyfrowej, wzorców przemieszczania, dynamiki dobowej oraz niektórych korelatów pobudzenia autonomicznego. Nie są bezpośredni</w:t>
      </w:r>
      <w:r>
        <w:t>mi pomiarami emocji, zamiaru, diagnozy ani kontaktu społecznego w pełnym znaczeniu psychologicznym.</w:t>
      </w:r>
    </w:p>
    <w:p w:rsidR="005E208A" w:rsidRDefault="00673807">
      <w:pPr>
        <w:pStyle w:val="Nagwek1"/>
      </w:pPr>
      <w:r>
        <w:t>2. Założenia pomiaru i poziomy interpretacji</w:t>
      </w:r>
    </w:p>
    <w:p w:rsidR="005E208A" w:rsidRDefault="00673807">
      <w:pPr>
        <w:pStyle w:val="Nagwek2"/>
      </w:pPr>
      <w:r>
        <w:t xml:space="preserve">2.1. </w:t>
      </w:r>
      <w:r>
        <w:t>Cztery poziomy wnioskowania</w:t>
      </w:r>
    </w:p>
    <w:tbl>
      <w:tblPr>
        <w:tblW w:w="9657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194"/>
        <w:gridCol w:w="5329"/>
      </w:tblGrid>
      <w:tr w:rsidR="005E208A" w:rsidTr="003F57E0">
        <w:trPr>
          <w:tblHeader/>
          <w:jc w:val="center"/>
        </w:trPr>
        <w:tc>
          <w:tcPr>
            <w:tcW w:w="1134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Poziom</w:t>
            </w:r>
          </w:p>
        </w:tc>
        <w:tc>
          <w:tcPr>
            <w:tcW w:w="3194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Przykład</w:t>
            </w:r>
          </w:p>
        </w:tc>
        <w:tc>
          <w:tcPr>
            <w:tcW w:w="5329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Zakres uzasadnionego wniosku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1. Sygnał</w:t>
            </w:r>
          </w:p>
        </w:tc>
        <w:tc>
          <w:tcPr>
            <w:tcW w:w="319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Akceleracja, GPS, znacznik odblokowania, interwały międzyuderzeniowe</w:t>
            </w:r>
          </w:p>
        </w:tc>
        <w:tc>
          <w:tcPr>
            <w:tcW w:w="5329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Urządzenie zarejestrowało dane techniczne.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2. Cecha</w:t>
            </w:r>
          </w:p>
        </w:tc>
        <w:tc>
          <w:tcPr>
            <w:tcW w:w="319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AVI, entropia lokalizacji, NUR, RMSSD</w:t>
            </w:r>
          </w:p>
        </w:tc>
        <w:tc>
          <w:tcPr>
            <w:tcW w:w="5329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 xml:space="preserve">Parametr </w:t>
            </w:r>
            <w:r>
              <w:rPr>
                <w:color w:val="24333D"/>
                <w:sz w:val="16"/>
              </w:rPr>
              <w:t>opisuje określony aspekt obserwowanego sygnału.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lastRenderedPageBreak/>
              <w:t>3. Korelat</w:t>
            </w:r>
          </w:p>
        </w:tc>
        <w:tc>
          <w:tcPr>
            <w:tcW w:w="319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Spadek LE równolegle ze wzrostem nasilenia objawów</w:t>
            </w:r>
          </w:p>
        </w:tc>
        <w:tc>
          <w:tcPr>
            <w:tcW w:w="5329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Zależność statystyczna wymagająca kontroli konfuzji i replikacji.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4. Zastosowanie kliniczne</w:t>
            </w:r>
          </w:p>
        </w:tc>
        <w:tc>
          <w:tcPr>
            <w:tcW w:w="319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Prognoza pogorszenia po walidacji zewnętrznej</w:t>
            </w:r>
          </w:p>
        </w:tc>
        <w:tc>
          <w:tcPr>
            <w:tcW w:w="5329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Wymaga</w:t>
            </w:r>
            <w:r>
              <w:rPr>
                <w:color w:val="24333D"/>
                <w:sz w:val="16"/>
              </w:rPr>
              <w:t xml:space="preserve"> określenia użyteczności, kalibracji, progów i konsekwencji klinicznych.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rPr>
          <w:rFonts w:hint="eastAsia"/>
        </w:rPr>
      </w:pPr>
      <w:r>
        <w:t>Różnice międzyosobnicze wynikają nie tylko ze stanu psychicznego, lecz także z pracy zmianowej, wieku, ograniczeń ruchowych, podróży, pory roku, obowiązków opiekuńczych i sposobu no</w:t>
      </w:r>
      <w:r>
        <w:t>szenia telefonu. Preferowane są modele longitudinalne oraz odchylenia od indywidualnego poziomu odniesienia, zamiast uniwersalnych progów wyliczonych na heterogenicznej próbie [3, 6, 7].</w:t>
      </w:r>
    </w:p>
    <w:p w:rsidR="005E208A" w:rsidRDefault="00673807">
      <w:pPr>
        <w:pStyle w:val="Nagwek2"/>
      </w:pPr>
      <w:r>
        <w:t>2.2. Minimalne dane towarzyszące</w:t>
      </w:r>
    </w:p>
    <w:p w:rsidR="005E208A" w:rsidRDefault="00673807">
      <w:pPr>
        <w:rPr>
          <w:rFonts w:hint="eastAsia"/>
        </w:rPr>
      </w:pPr>
      <w:r>
        <w:t>Każdy pomiar powinien zawierać ident</w:t>
      </w:r>
      <w:r>
        <w:t>yfikator uczestnika pseudonimizowany, znacznik czasu UTC wraz ze strefą lokalną, źródło i wersję systemu, jednostkę i częstotliwość próbkowania, informację o prawach dostępu, procent pokrycia okna oraz flagi jakości. Wynik nieobliczalny należy kodować jako</w:t>
      </w:r>
      <w:r>
        <w:t xml:space="preserve"> brak danych, a nie jako zero.</w:t>
      </w:r>
    </w:p>
    <w:p w:rsidR="005E208A" w:rsidRDefault="00673807">
      <w:pPr>
        <w:pStyle w:val="Nagwek1"/>
      </w:pPr>
      <w:r>
        <w:t>3. Katalog wskaźników i definicje operacyjne</w:t>
      </w:r>
    </w:p>
    <w:p w:rsidR="005E208A" w:rsidRDefault="00673807">
      <w:pPr>
        <w:rPr>
          <w:rFonts w:hint="eastAsia"/>
        </w:rPr>
      </w:pPr>
      <w:r>
        <w:t>Poniższe zestawienie zachowuje numerację 1–29 ze źródeł. Zapisy w kolumnie „proponowana definicja” są doprecyzowaną specyfikacją badawczą, a nie deklaracją, że oryginalne metody zo</w:t>
      </w:r>
      <w:r>
        <w:t>stały klinicznie zwalidowane. Wartości graniczne, parametry okien i algorytmy zdarzeń wymagają wstępnej rejestracji w protokole.</w:t>
      </w:r>
    </w:p>
    <w:p w:rsidR="005E208A" w:rsidRDefault="00673807">
      <w:pPr>
        <w:pStyle w:val="Nagwek2"/>
      </w:pPr>
      <w:r>
        <w:t>I. Aktywność psychomotoryczna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134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01 · AL</w:t>
            </w:r>
            <w:r>
              <w:rPr>
                <w:color w:val="24333D"/>
                <w:sz w:val="15"/>
              </w:rPr>
              <w:br/>
              <w:t xml:space="preserve">Activity </w:t>
            </w:r>
            <w:r>
              <w:rPr>
                <w:color w:val="24333D"/>
                <w:sz w:val="15"/>
              </w:rPr>
              <w:t>Level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średnia czasowa |a_dyn(t)|; przy próbkowaniu równym (1/N)Σ|a_dyn,i|. Jedn.: m/s².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IMU, kalibracja grawitacji; telefon musi być noszony.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02 · AVI</w:t>
            </w:r>
            <w:r>
              <w:rPr>
                <w:color w:val="24333D"/>
                <w:sz w:val="15"/>
              </w:rPr>
              <w:br/>
              <w:t>Activity Variability Index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Var(|a_dyn,i|) w oknie, jedn. (m/s²)².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Zależny od umiejscowienia urządzenia i</w:t>
            </w:r>
            <w:r>
              <w:rPr>
                <w:color w:val="24333D"/>
                <w:sz w:val="15"/>
              </w:rPr>
              <w:t xml:space="preserve"> filtracji.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03 · AF</w:t>
            </w:r>
            <w:r>
              <w:rPr>
                <w:color w:val="24333D"/>
                <w:sz w:val="15"/>
              </w:rPr>
              <w:br/>
              <w:t>Activity Fragmentation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liczba zmian aktywny↔nieaktywny / h, przy wcześniej ustalonym progu i wygładzaniu.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Wymaga klasyfikatora aktywności i okresów noszenia.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04 · ID</w:t>
            </w:r>
            <w:r>
              <w:rPr>
                <w:color w:val="24333D"/>
                <w:sz w:val="15"/>
              </w:rPr>
              <w:br/>
              <w:t>Inactivity Duration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średnia długość epizodu nieaktywności w min.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Brak ruchu telefonu ≠ bezruch człowieka.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II. Rytm dobowy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134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05 · CRI</w:t>
            </w:r>
            <w:r>
              <w:rPr>
                <w:color w:val="24333D"/>
                <w:sz w:val="15"/>
              </w:rPr>
              <w:br/>
              <w:t>Circadian Regularity Index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korelacja profilu aktywności z profilem przesuniętym o 24 h, przy wyrównanej siatce</w:t>
            </w:r>
            <w:r>
              <w:rPr>
                <w:color w:val="24333D"/>
                <w:sz w:val="15"/>
              </w:rPr>
              <w:t xml:space="preserve"> czasu.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Długi zapis; nie interpolować automatycznie długich luk.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06 · IS</w:t>
            </w:r>
            <w:r>
              <w:rPr>
                <w:color w:val="24333D"/>
                <w:sz w:val="15"/>
              </w:rPr>
              <w:br/>
              <w:t>Interdaily Stability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(n/p)·Σ_h(x̄_h−x̄)² / Σ_i(x_i−x̄)². Bezwymiarowy.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Standaryzowany wariant analizy nieparametrycznej; wymaga pełnych dni.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07 · IV</w:t>
            </w:r>
            <w:r>
              <w:rPr>
                <w:color w:val="24333D"/>
                <w:sz w:val="15"/>
              </w:rPr>
              <w:br/>
              <w:t>Intradaily Variability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[n/(n−1)]·Σ_i(x_i−x_{i−1})² / Σ_i(x_i−x̄)². Bezwymiarowy.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Mierzy fragmentację, wrażliwy na luki i rozdzielczość epok.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III. Sen i nocne korzystanie z telefonu</w:t>
      </w:r>
    </w:p>
    <w:tbl>
      <w:tblPr>
        <w:tblW w:w="1003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226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08 · SD</w:t>
            </w:r>
            <w:r>
              <w:rPr>
                <w:color w:val="24333D"/>
                <w:sz w:val="15"/>
              </w:rPr>
              <w:br/>
              <w:t xml:space="preserve">Sleep </w:t>
            </w:r>
            <w:r>
              <w:rPr>
                <w:color w:val="24333D"/>
                <w:sz w:val="15"/>
              </w:rPr>
              <w:t>Duration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różnica czasu końca i początku snu, w h; tylko gdy oba zdarzenia są zwalidowane.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Telefon daje wskaźnik pośredni; sensowniej użyć aktigrafii.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09 · SOL</w:t>
            </w:r>
            <w:r>
              <w:rPr>
                <w:color w:val="24333D"/>
                <w:sz w:val="15"/>
              </w:rPr>
              <w:br/>
              <w:t>Sleep Onset Latency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czas od podjęcia próby zaśnięcia do rzeczywistego początku snu, w min.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Czas </w:t>
            </w:r>
            <w:r>
              <w:rPr>
                <w:color w:val="24333D"/>
                <w:sz w:val="15"/>
              </w:rPr>
              <w:t>od ostatniego użycia telefonu to odrębny wskaźnik zastępczy.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10 · WASO</w:t>
            </w:r>
            <w:r>
              <w:rPr>
                <w:color w:val="24333D"/>
                <w:sz w:val="15"/>
              </w:rPr>
              <w:br/>
              <w:t>Wake After Sleep Onset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suma czasu czuwania po zaśnięciu, w min.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Ekran on/off samodzielnie nie pozwala wiarygodnie ustalić wybudzeń.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11 · NPU</w:t>
            </w:r>
            <w:r>
              <w:rPr>
                <w:color w:val="24333D"/>
                <w:sz w:val="15"/>
              </w:rPr>
              <w:br/>
              <w:t>Nocturnal Phone Usage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czas użycia w </w:t>
            </w:r>
            <w:r>
              <w:rPr>
                <w:color w:val="24333D"/>
                <w:sz w:val="15"/>
              </w:rPr>
              <w:t>zdefiniowanym oknie nocnym / całkowity czas użycia; 0–1.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To samo operacyjnie co NUR (poz. 21) w dokumentach źródłowych.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IV. Mobilność</w:t>
      </w:r>
    </w:p>
    <w:tbl>
      <w:tblPr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12 · LE</w:t>
            </w:r>
            <w:r>
              <w:rPr>
                <w:color w:val="24333D"/>
                <w:sz w:val="15"/>
              </w:rPr>
              <w:br/>
              <w:t>Location Entropy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−</w:t>
            </w:r>
            <w:r>
              <w:rPr>
                <w:color w:val="24333D"/>
                <w:sz w:val="15"/>
              </w:rPr>
              <w:t>Σ_j p_j ln(p_j),</w:t>
            </w:r>
            <w:r>
              <w:rPr>
                <w:color w:val="24333D"/>
                <w:sz w:val="15"/>
              </w:rPr>
              <w:t xml:space="preserve"> p_j = udział czasu w klastrze j.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Wymaga jawnej metody klasteryzacji i agregacji lokalizacji.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13 · RoG</w:t>
            </w:r>
            <w:r>
              <w:rPr>
                <w:color w:val="24333D"/>
                <w:sz w:val="15"/>
              </w:rPr>
              <w:br/>
              <w:t>Radius of Gyration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√[Σ_i w_i ||r_i−r̄||²/Σ_i w_i], w metrach.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Płaszczyzna 2D, transformacja współrzędnych, wagi czasowe.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14 · HSR</w:t>
            </w:r>
            <w:r>
              <w:rPr>
                <w:color w:val="24333D"/>
                <w:sz w:val="15"/>
              </w:rPr>
              <w:br/>
              <w:t>Home Stay Ratio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czas </w:t>
            </w:r>
            <w:r>
              <w:rPr>
                <w:color w:val="24333D"/>
                <w:sz w:val="15"/>
              </w:rPr>
              <w:t>w klastrze domu / czas z rozpoznaną lokalizacją, 0–1.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Identyfikacja domu silnie wrażliwa prywatnościowo.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V. Interakcje rejestrowane cyfrowo</w:t>
      </w:r>
    </w:p>
    <w:tbl>
      <w:tblPr>
        <w:tblW w:w="10035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226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15 · SIF</w:t>
            </w:r>
            <w:r>
              <w:rPr>
                <w:color w:val="24333D"/>
                <w:sz w:val="15"/>
              </w:rPr>
              <w:br/>
              <w:t xml:space="preserve">Social Interaction </w:t>
            </w:r>
            <w:r>
              <w:rPr>
                <w:color w:val="24333D"/>
                <w:sz w:val="15"/>
              </w:rPr>
              <w:t>Frequency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liczba połączeń/SMS na dzień lub godzinę (metryka i kanał jawnie określone).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Rejestr dotyczy kontaktów telefonicznych, nie całego życia społecznego.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16 · OR</w:t>
            </w:r>
            <w:r>
              <w:rPr>
                <w:color w:val="24333D"/>
                <w:sz w:val="15"/>
              </w:rPr>
              <w:br/>
              <w:t>Outgoing Ratio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n_wychodzących/(n_przychodzących+n_wychodzących), 0–1.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Gdy mianownik=0 wy</w:t>
            </w:r>
            <w:r>
              <w:rPr>
                <w:color w:val="24333D"/>
                <w:sz w:val="15"/>
              </w:rPr>
              <w:t>nik jest nieokreślony.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17 · RL</w:t>
            </w:r>
            <w:r>
              <w:rPr>
                <w:color w:val="24333D"/>
                <w:sz w:val="15"/>
              </w:rPr>
              <w:br/>
              <w:t>Response Latency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mediana albo średni czas od dostarczenia do odpowiedzi, w min.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Wymaga parowania zdarzeń, ograniczenia obserwacji i dostępu do API.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VI. Korzystanie z urządzenia</w:t>
      </w:r>
    </w:p>
    <w:tbl>
      <w:tblPr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18 · ST</w:t>
            </w:r>
            <w:r>
              <w:rPr>
                <w:color w:val="24333D"/>
                <w:sz w:val="15"/>
              </w:rPr>
              <w:br/>
              <w:t>Screen Time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Σ czasu aktywnego ekranu w min/dobę.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Włączony ekran nie gwarantuje aktywnego korzystania.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19 · UF</w:t>
            </w:r>
            <w:r>
              <w:rPr>
                <w:color w:val="24333D"/>
                <w:sz w:val="15"/>
              </w:rPr>
              <w:br/>
              <w:t>Unlock Frequency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liczba zdarzeń odblokowania / dobę.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Niektóre systemy ograniczają rejestrację.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20 · ASR</w:t>
            </w:r>
            <w:r>
              <w:rPr>
                <w:color w:val="24333D"/>
                <w:sz w:val="15"/>
              </w:rPr>
              <w:br/>
              <w:t>App Switching Rate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liczba zmian aplikacji pierwszoplanowej / h użycia.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Wymaga wiarygodnych zdarzeń aplikacji, często uprawnień specjalnych.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21 · NUR</w:t>
            </w:r>
            <w:r>
              <w:rPr>
                <w:color w:val="24333D"/>
                <w:sz w:val="15"/>
              </w:rPr>
              <w:br/>
              <w:t>Night Usage Ratio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według plików: usage_night/usage_total, jak NPU.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Alias poz. 11: nie traktować jako niez</w:t>
            </w:r>
            <w:r>
              <w:rPr>
                <w:color w:val="24333D"/>
                <w:sz w:val="15"/>
              </w:rPr>
              <w:t>ależnej cechy w modelu.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VII. Fizjologia (urządzenia noszone)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22 · HRV</w:t>
            </w:r>
            <w:r>
              <w:rPr>
                <w:color w:val="24333D"/>
                <w:sz w:val="15"/>
              </w:rPr>
              <w:br/>
              <w:t>Heart Rate Variability (RMSSD)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√[(1/(M−1))Σ_{i=1}^{M−1}(NN_{i+1}−NN_i)²], ms.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Jakość interwałów NN, </w:t>
            </w:r>
            <w:r>
              <w:rPr>
                <w:color w:val="24333D"/>
                <w:sz w:val="15"/>
              </w:rPr>
              <w:t>artefakty, ruch; PPG mierzy odstępy tętna.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23 · EDA</w:t>
            </w:r>
            <w:r>
              <w:rPr>
                <w:color w:val="24333D"/>
                <w:sz w:val="15"/>
              </w:rPr>
              <w:br/>
              <w:t>Electrodermal Activity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osobno: poziom tonic SCL (µS) i częstość/amplituda reakcji SCR.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Nie sumować średniej amplitudy i liczby reakcji bez normalizacji.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VIII. Metadane systemowe</w:t>
      </w:r>
    </w:p>
    <w:tbl>
      <w:tblPr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Definicja </w:t>
            </w:r>
            <w:r>
              <w:rPr>
                <w:b/>
                <w:color w:val="FFFFFF"/>
                <w:sz w:val="16"/>
              </w:rPr>
              <w:t>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24 · CRI_c</w:t>
            </w:r>
            <w:r>
              <w:rPr>
                <w:color w:val="24333D"/>
                <w:sz w:val="15"/>
              </w:rPr>
              <w:br/>
              <w:t>Charging Regularity Index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proponowana miara rozproszenia pór ładowania w cyklu dobowym.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Brak konkretnej formuły w źródłach; konieczna definicja a priori.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25 · BDR</w:t>
            </w:r>
            <w:r>
              <w:rPr>
                <w:color w:val="24333D"/>
                <w:sz w:val="15"/>
              </w:rPr>
              <w:br/>
              <w:t>Battery Depletion Rate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−</w:t>
            </w:r>
            <w:r>
              <w:rPr>
                <w:color w:val="24333D"/>
                <w:sz w:val="15"/>
              </w:rPr>
              <w:t>Δpoziomu naładowania / Δt w %/h, tylko bez ładowania.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Zależny od wieku baterii, sieci i obciążenia; nie jest miarą nastroju.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26 · NRT</w:t>
            </w:r>
            <w:r>
              <w:rPr>
                <w:color w:val="24333D"/>
                <w:sz w:val="15"/>
              </w:rPr>
              <w:br/>
              <w:t>Notification Response Time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czas od powiadomienia do zdefiniowanej interakcji, w s/min.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Uprawnienia do powiadomień; brak </w:t>
            </w:r>
            <w:r>
              <w:rPr>
                <w:color w:val="24333D"/>
                <w:sz w:val="15"/>
              </w:rPr>
              <w:t>reakcji to cenzurowanie, nie zero.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2"/>
      </w:pPr>
      <w:r>
        <w:t>IX. Proponowane indeksy złożone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195"/>
      </w:tblGrid>
      <w:tr w:rsidR="005E208A" w:rsidTr="003F57E0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Kod / cecha</w:t>
            </w:r>
          </w:p>
        </w:tc>
        <w:tc>
          <w:tcPr>
            <w:tcW w:w="3572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Definicja operacyjna / jednostka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Dane oraz kluczowe ograniczenie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27 · DBI</w:t>
            </w:r>
            <w:r>
              <w:rPr>
                <w:color w:val="24333D"/>
                <w:sz w:val="15"/>
              </w:rPr>
              <w:br/>
              <w:t>Depressive Behavior Index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Źródło: w₁/AVI+w₂/LE+w₃/SIF+w₄/HRV; proponowane: model z cechami </w:t>
            </w:r>
            <w:r>
              <w:rPr>
                <w:color w:val="24333D"/>
                <w:sz w:val="15"/>
              </w:rPr>
              <w:t>z-normalizowanymi.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Brak wag, definicji punktu odcięcia i walidacji; odwrotności niestabilne przy 0.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28 · MAI</w:t>
            </w:r>
            <w:r>
              <w:rPr>
                <w:color w:val="24333D"/>
                <w:sz w:val="15"/>
              </w:rPr>
              <w:br/>
              <w:t>Mania Activation Index</w:t>
            </w:r>
          </w:p>
        </w:tc>
        <w:tc>
          <w:tcPr>
            <w:tcW w:w="3572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Źródło: w₁·AVI+w₂·LE+w₃·SIF+w₄·ASR−w₅·SD.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Wagi nieokreślone; konieczna walidacja i kontrola niejednorodnych skal.</w:t>
            </w:r>
          </w:p>
        </w:tc>
      </w:tr>
      <w:tr w:rsidR="005E208A" w:rsidTr="003F57E0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29 · AII</w:t>
            </w:r>
            <w:r>
              <w:rPr>
                <w:color w:val="24333D"/>
                <w:sz w:val="15"/>
              </w:rPr>
              <w:br/>
              <w:t>Affective Instability Index</w:t>
            </w:r>
          </w:p>
        </w:tc>
        <w:tc>
          <w:tcPr>
            <w:tcW w:w="3572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Źródło: Σ_k Var(feature_k); proponowane: wariancja standaryzowanych cech w czasie.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Nieustalony zakres czasowy i brak oceny zmienności pomiarowej.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1"/>
      </w:pPr>
      <w:r>
        <w:t>4. Audyt poprawności matematycznej i redundancji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458"/>
        <w:gridCol w:w="4706"/>
      </w:tblGrid>
      <w:tr w:rsidR="005E208A" w:rsidTr="003F57E0">
        <w:trPr>
          <w:tblHeader/>
          <w:jc w:val="center"/>
        </w:trPr>
        <w:tc>
          <w:tcPr>
            <w:tcW w:w="1134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Zagadnienie</w:t>
            </w:r>
          </w:p>
        </w:tc>
        <w:tc>
          <w:tcPr>
            <w:tcW w:w="345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Zapis źródłowy / p</w:t>
            </w:r>
            <w:r>
              <w:rPr>
                <w:b/>
                <w:color w:val="FFFFFF"/>
                <w:sz w:val="16"/>
              </w:rPr>
              <w:t>roblem</w:t>
            </w:r>
          </w:p>
        </w:tc>
        <w:tc>
          <w:tcPr>
            <w:tcW w:w="4706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Stan po syntezie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AL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(1/T)·Σ|a_t| bez kroku czasowego: zależność od próbkowania</w:t>
            </w:r>
          </w:p>
        </w:tc>
        <w:tc>
          <w:tcPr>
            <w:tcW w:w="4706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Średnia po próbkach albo całka czasowa (1/T)∑|a_i|Δt; korekta przyspieszenia grawitacyjnego.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IS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„wariancja międzydniowa / wariancja całkowita” nie jest klasycznym IS</w:t>
            </w:r>
          </w:p>
        </w:tc>
        <w:tc>
          <w:tcPr>
            <w:tcW w:w="4706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Proporcja wariancji średniego profilu pór dnia do całkowitej wariancji [9].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IV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Pominięto czynnik zależny od liczby epok</w:t>
            </w:r>
          </w:p>
        </w:tc>
        <w:tc>
          <w:tcPr>
            <w:tcW w:w="4706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Przyjęto wariant n/(n−1) oraz zdefiniowano dokładnie siatkę epok [9].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RoG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Jednowymiarowe (x_i−x_c)² pomija drugą oś</w:t>
            </w:r>
          </w:p>
        </w:tc>
        <w:tc>
          <w:tcPr>
            <w:tcW w:w="4706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 xml:space="preserve">Odległość </w:t>
            </w:r>
            <w:r>
              <w:rPr>
                <w:color w:val="24333D"/>
                <w:sz w:val="16"/>
              </w:rPr>
              <w:t>euklidesowa 2D i wagi czasu pobytu w jednostkach metrycznych.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RMSSD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W mianowniku zapisano N mimo N−1 kolejnych różnic</w:t>
            </w:r>
          </w:p>
        </w:tc>
        <w:tc>
          <w:tcPr>
            <w:tcW w:w="4706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Jednoznaczne M interwałów i M−1 różnic NN; kontrola artefaktów.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EDA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Średnia amplituda + liczba reakcji sumuje różne jednostki</w:t>
            </w:r>
          </w:p>
        </w:tc>
        <w:tc>
          <w:tcPr>
            <w:tcW w:w="4706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 xml:space="preserve">Osobno </w:t>
            </w:r>
            <w:r>
              <w:rPr>
                <w:color w:val="24333D"/>
                <w:sz w:val="16"/>
              </w:rPr>
              <w:t>komponent toniczny i fazowy; brak arbitralnego dodawania.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NPU / NUR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Dwie identyczne definicje</w:t>
            </w:r>
          </w:p>
        </w:tc>
        <w:tc>
          <w:tcPr>
            <w:tcW w:w="4706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29 pozycji katalogowych, lecz 28 odrębnych definicji wskaźników.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DBI / MAI / AII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Nieustalone wagi; możliwe dzielenie przez zero; nieporównywalne skale</w:t>
            </w:r>
          </w:p>
        </w:tc>
        <w:tc>
          <w:tcPr>
            <w:tcW w:w="4706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 xml:space="preserve">Hipotezy </w:t>
            </w:r>
            <w:r>
              <w:rPr>
                <w:color w:val="24333D"/>
                <w:sz w:val="16"/>
              </w:rPr>
              <w:t>kompozytów, bez statusu zwalidowanych skal klinicznych.</w:t>
            </w:r>
          </w:p>
        </w:tc>
      </w:tr>
      <w:tr w:rsidR="005E208A" w:rsidTr="003F57E0">
        <w:trPr>
          <w:cantSplit/>
          <w:jc w:val="center"/>
        </w:trPr>
        <w:tc>
          <w:tcPr>
            <w:tcW w:w="1134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Sen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Brak korzystania z telefonu utożsamiono ze snem</w:t>
            </w:r>
          </w:p>
        </w:tc>
        <w:tc>
          <w:tcPr>
            <w:tcW w:w="4706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Rozdzielono pasywność telefonu od snu; ocena wobec aktigrafii/PSG.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1"/>
      </w:pPr>
      <w:r>
        <w:t>5. Powiązania z funkcjonowaniem psychicznym: interpretacja literatury</w:t>
      </w:r>
    </w:p>
    <w:p w:rsidR="005E208A" w:rsidRDefault="00673807">
      <w:pPr>
        <w:rPr>
          <w:rFonts w:hint="eastAsia"/>
        </w:rPr>
      </w:pPr>
      <w:r>
        <w:t>Rozszerzony plik S3 przyporządkowuje zmiany kierunkowe wskaźników do siedmiu obszarów. Przedstawiają one hipotezy o fenotypach cyfrowych, a nie specyficzne sygnatury jednostek diagnostycznych. Dla części korelacji istnieją badania obserwacyjne; ich kierune</w:t>
      </w:r>
      <w:r>
        <w:t>k może odwracać się zależnie od próby, fazy choroby i technologii [1–8].</w:t>
      </w:r>
    </w:p>
    <w:tbl>
      <w:tblPr>
        <w:tblW w:w="1009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4195"/>
      </w:tblGrid>
      <w:tr w:rsidR="005E208A" w:rsidTr="003F57E0">
        <w:trPr>
          <w:tblHeader/>
          <w:jc w:val="center"/>
        </w:trPr>
        <w:tc>
          <w:tcPr>
            <w:tcW w:w="226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Obszar w S3</w:t>
            </w:r>
          </w:p>
        </w:tc>
        <w:tc>
          <w:tcPr>
            <w:tcW w:w="362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Wzorce postulowane w materiale źródłowym</w:t>
            </w:r>
          </w:p>
        </w:tc>
        <w:tc>
          <w:tcPr>
            <w:tcW w:w="419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Ograniczenie interpretacji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Depresja</w:t>
            </w:r>
          </w:p>
        </w:tc>
        <w:tc>
          <w:tcPr>
            <w:tcW w:w="362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AVI↓, LE↓, HSR↑, SIF↓, RL↑, SD↓/↑, HRV↓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Korelaty aktywności i mobilności; zachowania związane</w:t>
            </w:r>
            <w:r>
              <w:rPr>
                <w:color w:val="24333D"/>
                <w:sz w:val="15"/>
              </w:rPr>
              <w:t xml:space="preserve"> z telefonem bywają niejednoznaczne.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Mania / hipomania</w:t>
            </w:r>
          </w:p>
        </w:tc>
        <w:tc>
          <w:tcPr>
            <w:tcW w:w="362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AVI↑, LE↑, RoG↑, SIF↑, OR↑, ASR↑, SD↓↓, NUR↑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Duża zależność od wieku, pracy, trybu życia i sposobu pomiaru snu.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Zaburzenia lękowe</w:t>
            </w:r>
          </w:p>
        </w:tc>
        <w:tc>
          <w:tcPr>
            <w:tcW w:w="362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IV↑, WASO↑, NPU↑, EDA↑, HRV↓, UF↑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Reaktywność autonomiczna jest mało </w:t>
            </w:r>
            <w:r>
              <w:rPr>
                <w:color w:val="24333D"/>
                <w:sz w:val="15"/>
              </w:rPr>
              <w:t>swoista; wymagana kontrola aktywności.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Niestabilność afektywna</w:t>
            </w:r>
          </w:p>
        </w:tc>
        <w:tc>
          <w:tcPr>
            <w:tcW w:w="362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AII↑, zmienność AVI, SIF i SD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Brak wystandaryzowanej definicji AII; źródło wymienia też niezdefiniowane VI/CPF.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Anhedonia / wycofanie</w:t>
            </w:r>
          </w:p>
        </w:tc>
        <w:tc>
          <w:tcPr>
            <w:tcW w:w="362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ST↓, SIF↓, LE↓; w S3 dodatkowo ACU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Wskaźnik ACU nie jest </w:t>
            </w:r>
            <w:r>
              <w:rPr>
                <w:color w:val="24333D"/>
                <w:sz w:val="15"/>
              </w:rPr>
              <w:t>zdefiniowany w katalogu; nie przypisywano mu równania.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Zaburzenia snu</w:t>
            </w:r>
          </w:p>
        </w:tc>
        <w:tc>
          <w:tcPr>
            <w:tcW w:w="362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SD↓/↑, SOL↑, WASO↑, NUR↑</w:t>
            </w:r>
          </w:p>
        </w:tc>
        <w:tc>
          <w:tcPr>
            <w:tcW w:w="419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Parametry snu z telefonu są pośrednie i wymagają metody referencyjnej.</w:t>
            </w:r>
          </w:p>
        </w:tc>
      </w:tr>
      <w:tr w:rsidR="005E208A" w:rsidTr="003F57E0">
        <w:trPr>
          <w:cantSplit/>
          <w:jc w:val="center"/>
        </w:trPr>
        <w:tc>
          <w:tcPr>
            <w:tcW w:w="226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Stres przewlekły</w:t>
            </w:r>
          </w:p>
        </w:tc>
        <w:tc>
          <w:tcPr>
            <w:tcW w:w="362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>HRV↓, EDA↑, NPU↑, IV↑</w:t>
            </w:r>
          </w:p>
        </w:tc>
        <w:tc>
          <w:tcPr>
            <w:tcW w:w="419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5"/>
              </w:rPr>
              <w:t xml:space="preserve">Zależności nie są specyficzne i silnie zależą od </w:t>
            </w:r>
            <w:r>
              <w:rPr>
                <w:color w:val="24333D"/>
                <w:sz w:val="15"/>
              </w:rPr>
              <w:t>kontekstu oraz jakości czujników.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 w:rsidP="006838EC">
      <w:pPr>
        <w:jc w:val="both"/>
        <w:rPr>
          <w:rFonts w:hint="eastAsia"/>
        </w:rPr>
      </w:pPr>
      <w:r>
        <w:t>Przykładowo Saeb i współautorzy odnotowali zależności pomiędzy cechami GPS a nasileniem objawów depresyjnych, lecz badanie z 2015 r. obejmowało jedynie 28 osób z dostatecznymi danymi. Replikacja z 2016 r. obejmowała 48 s</w:t>
      </w:r>
      <w:r>
        <w:t>tudentów, a istotne korelacje między m.in. entropią lokalizacji a PHQ-9 pozostawały zależnościami obserwacyjnymi [1, 2]. W chorobie afektywnej dwubiegunowej Faurholt-Jepsen i wsp. opisali relacje między aktywnością komunikacyjną a oceną kliniczną, ale zale</w:t>
      </w:r>
      <w:r>
        <w:t>żności nie odpowiadają prostym, uniwersalnym regułom „więcej kontaktów = mania” [4, 5].</w:t>
      </w:r>
    </w:p>
    <w:p w:rsidR="005E208A" w:rsidRDefault="00673807">
      <w:pPr>
        <w:pStyle w:val="Nagwek1"/>
      </w:pPr>
      <w:r>
        <w:t>6. Wiarygodność pomiaru i zarządzanie brakami danych</w:t>
      </w:r>
    </w:p>
    <w:p w:rsidR="005E208A" w:rsidRDefault="00673807">
      <w:pPr>
        <w:pStyle w:val="Nagwek2"/>
      </w:pPr>
      <w:r>
        <w:t>6.1. Rozróżnienie braku obserwacji i wartości zerowej</w:t>
      </w:r>
    </w:p>
    <w:p w:rsidR="005E208A" w:rsidRDefault="00673807" w:rsidP="006838EC">
      <w:pPr>
        <w:jc w:val="both"/>
        <w:rPr>
          <w:rFonts w:hint="eastAsia"/>
        </w:rPr>
      </w:pPr>
      <w:r>
        <w:t>Brak próbki akcelerometru, luka GPS, wyłączony telefon, zakaz</w:t>
      </w:r>
      <w:r>
        <w:t xml:space="preserve"> dostępu do danych lub zdjęcie urządzenia są odrębnymi mechanizmami braków, często zależnymi od zachowania badanego. Zalecane miary QC: procent pokrycia czasu, maksymalna ciągła luka, liczba dni użytecznych, udział próbek o niskiej jakości, dzienny czas no</w:t>
      </w:r>
      <w:r>
        <w:t>szenia oraz obecność wymaganych uprawnień. Wykazano, że niższe pokrycie GPS i akcelerometru może prowadzić do zniekształcenia cech behawioralnych [8].</w:t>
      </w:r>
    </w:p>
    <w:p w:rsidR="005E208A" w:rsidRDefault="00673807">
      <w:pPr>
        <w:pStyle w:val="Nagwek2"/>
      </w:pPr>
      <w:r>
        <w:t>6.2. Synchronizacja i źródło pomiaru</w:t>
      </w:r>
    </w:p>
    <w:p w:rsidR="005E208A" w:rsidRDefault="00673807" w:rsidP="006838EC">
      <w:pPr>
        <w:jc w:val="both"/>
        <w:rPr>
          <w:rFonts w:hint="eastAsia"/>
        </w:rPr>
      </w:pPr>
      <w:r>
        <w:t>Rozdzielić czas urządzenia (UTC), czas lokalny, zmiany strefy i prze</w:t>
      </w:r>
      <w:r>
        <w:t>stawienia zegara. Zapisywać rodzaj czujnika i pochodzenie danych. Akcelerometr telefonu mierzy jego własny ruch; ruch ręki z zegarkiem także nie musi odpowiadać lokomocji całego ciała. PPG i EDA są dostępne tylko wtedy, gdy konkretny wearable posiada odpow</w:t>
      </w:r>
      <w:r>
        <w:t>iedni sensor i udostępnia dane; nie należy zakładać ich obecności w typowym smartfonie.</w:t>
      </w:r>
    </w:p>
    <w:p w:rsidR="005E208A" w:rsidRDefault="00673807">
      <w:pPr>
        <w:pStyle w:val="Nagwek2"/>
      </w:pPr>
      <w:r>
        <w:t>6.3. Plan kontroli jakości</w:t>
      </w:r>
    </w:p>
    <w:p w:rsidR="005E208A" w:rsidRDefault="00673807" w:rsidP="006838EC">
      <w:pPr>
        <w:jc w:val="both"/>
        <w:rPr>
          <w:rFonts w:hint="eastAsia"/>
        </w:rPr>
      </w:pPr>
      <w:r>
        <w:t>Minimalny pipeline: (i) pobranie i pseudonimizacja, (ii) sprawdzenie uprawnień i pokrycia, (iii) odfiltrowanie artefaktów, (iv) segmentacja p</w:t>
      </w:r>
      <w:r>
        <w:t>rzy wspólnych regułach okien, (v) ekstrakcja cech z jednostkami, (vi) normalizacja względem własnej linii bazowej, (vii) estymacja niepewności, (viii) walidacja modelu. Należy przechowywać także metadane dotyczące wersji algorytmu i parametrów filtrowania.</w:t>
      </w:r>
    </w:p>
    <w:p w:rsidR="005E208A" w:rsidRDefault="00673807">
      <w:pPr>
        <w:pStyle w:val="Nagwek1"/>
      </w:pPr>
      <w:r>
        <w:t>7. Modelowanie statystyczne i walidacja kliniczna</w:t>
      </w:r>
    </w:p>
    <w:p w:rsidR="005E208A" w:rsidRDefault="00673807">
      <w:pPr>
        <w:pStyle w:val="Nagwek2"/>
      </w:pPr>
      <w:r>
        <w:t>7.1. Zmienność wewnątrz- i międzyosobnicza</w:t>
      </w:r>
    </w:p>
    <w:p w:rsidR="005E208A" w:rsidRDefault="00673807" w:rsidP="006838EC">
      <w:pPr>
        <w:jc w:val="both"/>
        <w:rPr>
          <w:rFonts w:hint="eastAsia"/>
        </w:rPr>
      </w:pPr>
      <w:r>
        <w:t>Dla cechy x_it zalecane jest oddzielne raportowanie średniej wewnątrzosobniczej μ_i oraz odchylenia x_it−μ_i, wyliczanych z okresu odniesienia ustalonego przed an</w:t>
      </w:r>
      <w:r>
        <w:t>alizą. Nie wolno definiować baseline za pomocą późniejszych danych z okresu testowego (przeciek informacji). Należy rozważyć model mieszany z losowym wyrazem wolnym, czasem jako zmienną i efektami dnia tygodnia oraz pory roku.</w:t>
      </w:r>
    </w:p>
    <w:p w:rsidR="005E208A" w:rsidRDefault="00673807">
      <w:pPr>
        <w:pStyle w:val="Nagwek2"/>
      </w:pPr>
      <w:r>
        <w:t>7.2. Punkt odniesienia i kryt</w:t>
      </w:r>
      <w:r>
        <w:t>erium zewnętrzne</w:t>
      </w:r>
    </w:p>
    <w:p w:rsidR="005E208A" w:rsidRDefault="00673807" w:rsidP="006838EC">
      <w:pPr>
        <w:jc w:val="both"/>
        <w:rPr>
          <w:rFonts w:hint="eastAsia"/>
        </w:rPr>
      </w:pPr>
      <w:r>
        <w:t>Dane referencyjne powinny odpowiadać celowi badania: natężenie objawów depresyjnych (np. PHQ-9), manii (np. YMRS), zmienność objawów w EMA, sen w aktigrafii/polisomnografii, aktywność w zwalidowanej aktigrafii. Testować zgodność między nar</w:t>
      </w:r>
      <w:r>
        <w:t>zędziami, a nie przypisywać „prawdziwego nastroju” z samego sensora. Etykiety uzyskane w tym samym oknie co cechy powinny być odróżnione od prawdziwego prognozowania przyszłego zdarzenia.</w:t>
      </w:r>
    </w:p>
    <w:p w:rsidR="005E208A" w:rsidRDefault="00673807">
      <w:pPr>
        <w:pStyle w:val="Nagwek2"/>
      </w:pPr>
      <w:r>
        <w:t>7.3. Projekt oceny modeli</w:t>
      </w:r>
    </w:p>
    <w:p w:rsidR="005E208A" w:rsidRDefault="00673807" w:rsidP="006838EC">
      <w:pPr>
        <w:jc w:val="both"/>
        <w:rPr>
          <w:rFonts w:hint="eastAsia"/>
        </w:rPr>
      </w:pPr>
      <w:r>
        <w:t xml:space="preserve">Podział treningowy, walidacyjny i testowy </w:t>
      </w:r>
      <w:r>
        <w:t>musi być rozdzielony na poziomie osoby, jeśli celem jest uogólnianie do nowych uczestników. W monitorowaniu jednej osoby wymagane są chronologiczne podziały i ocena przesunięcia rozkładów. Należy ocenić kalibrację, AUROC/AUPRC wraz z bazową częstością zdar</w:t>
      </w:r>
      <w:r>
        <w:t>zeń, czułość i swoistość przy określonych progach, błędy, predykcję względem modelu naiwnego, a także niesprawiedliwe różnice między grupami. Przejrzystość raportowania wspierają TRIPOD+AI, a ryzyko błędu i zastosowalność można oceniać narzędziem PROBAST+A</w:t>
      </w:r>
      <w:r>
        <w:t>I [10, 11].</w:t>
      </w:r>
    </w:p>
    <w:p w:rsidR="005E208A" w:rsidRDefault="00673807">
      <w:pPr>
        <w:pStyle w:val="Nagwek1"/>
      </w:pPr>
      <w:r>
        <w:t>8. Etyka, prywatność i wykonalność techniczna</w:t>
      </w:r>
    </w:p>
    <w:p w:rsidR="005E208A" w:rsidRDefault="00673807" w:rsidP="006838EC">
      <w:pPr>
        <w:jc w:val="both"/>
        <w:rPr>
          <w:rFonts w:hint="eastAsia"/>
        </w:rPr>
      </w:pPr>
      <w:r>
        <w:t>GPS i identyfikacja miejsca zamieszkania, logi rozmów oraz znaczniki reakcji na powiadomienia mogą ujawniać zachowania i relacje osób trzecich. Zbierać wyłącznie niezbędne sygnały, preferować lokaln</w:t>
      </w:r>
      <w:r>
        <w:t>e wyliczanie cech i usuwanie surowych współrzędnych po agregacji, stosować szyfrowanie, pseudonimizację, role dostępu i ograniczony czas retencji. W projekcie należy ustalić właściwą podstawę prawną przetwarzania, ocenić potrzebę DPIA i szczególnie chronić</w:t>
      </w:r>
      <w:r>
        <w:t xml:space="preserve"> potencjalnie wrażliwe dane o zdrowiu. Zgoda udziału w badaniu i podstawa prawna przetwarzania danych nie są pojęciami automatycznie tożsamymi.</w:t>
      </w:r>
    </w:p>
    <w:p w:rsidR="005E208A" w:rsidRDefault="00673807" w:rsidP="006838EC">
      <w:pPr>
        <w:jc w:val="both"/>
        <w:rPr>
          <w:rFonts w:hint="eastAsia"/>
        </w:rPr>
      </w:pPr>
      <w:r>
        <w:t>Samo istnienie wskaźnika w katalogu nie oznacza możliwości jego pozyskania ze współczesnego systemu mobilnego. D</w:t>
      </w:r>
      <w:r>
        <w:t>ostęp do GPS w tle, logów SMS i połączeń, powiadomień lub czasu użycia aplikacji zależy od wersji OS, uprawnień, polityk dystrybucji aplikacji i decyzji użytkownika. Dla każdego strumienia trzeba wykonać test wykonalności dla docelowego urządzenia oraz udo</w:t>
      </w:r>
      <w:r>
        <w:t>kumentować brak możliwości obserwacji, zamiast zastępować ją nieoznaczoną imputacją.</w:t>
      </w:r>
    </w:p>
    <w:p w:rsidR="005E208A" w:rsidRDefault="00673807">
      <w:pPr>
        <w:pStyle w:val="Nagwek1"/>
      </w:pPr>
      <w:r>
        <w:t>9. Proponowany protokół badania pilotażowego</w:t>
      </w:r>
    </w:p>
    <w:tbl>
      <w:tblPr>
        <w:tblW w:w="969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3458"/>
      </w:tblGrid>
      <w:tr w:rsidR="005E208A" w:rsidTr="004F188F">
        <w:trPr>
          <w:tblHeader/>
          <w:jc w:val="center"/>
        </w:trPr>
        <w:tc>
          <w:tcPr>
            <w:tcW w:w="1701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Etap</w:t>
            </w:r>
          </w:p>
        </w:tc>
        <w:tc>
          <w:tcPr>
            <w:tcW w:w="4535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Minimalne działania</w:t>
            </w:r>
          </w:p>
        </w:tc>
        <w:tc>
          <w:tcPr>
            <w:tcW w:w="3458" w:type="dxa"/>
            <w:shd w:val="clear" w:color="auto" w:fill="1B3044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:rsidR="005E208A" w:rsidRDefault="00673807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Kryterium wyjścia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0. Definicja</w:t>
            </w:r>
          </w:p>
        </w:tc>
        <w:tc>
          <w:tcPr>
            <w:tcW w:w="453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 xml:space="preserve">Hipotezy dla 3–5 priorytetowych wskaźników; słownik danych i </w:t>
            </w:r>
            <w:r>
              <w:rPr>
                <w:color w:val="24333D"/>
                <w:sz w:val="16"/>
              </w:rPr>
              <w:t>konkretne okna.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Wstępnie zarejestrowane cechy, wagi i reguły braków.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1. Feasibility</w:t>
            </w:r>
          </w:p>
        </w:tc>
        <w:tc>
          <w:tcPr>
            <w:tcW w:w="453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Różne modele telefonu/wersje OS, rejestrowanie zdarzeń i obciążenia baterii.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Raport faktycznej dostępności strumieni i kompletności.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2. Rzetelność</w:t>
            </w:r>
          </w:p>
        </w:tc>
        <w:tc>
          <w:tcPr>
            <w:tcW w:w="453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Powtarzalność, zgodność</w:t>
            </w:r>
            <w:r>
              <w:rPr>
                <w:color w:val="24333D"/>
                <w:sz w:val="16"/>
              </w:rPr>
              <w:t xml:space="preserve"> pomiaru ruchu i snu z metodą referencyjną.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Oszacowane błędy i granice wykrywalności zmian.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3. Trafność</w:t>
            </w:r>
          </w:p>
        </w:tc>
        <w:tc>
          <w:tcPr>
            <w:tcW w:w="453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EMA i skale kliniczne; modelowanie zmian wewnątrz osoby.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Efekty z przedziałami ufności, testy odporności i analiza braków.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4. Predykcja</w:t>
            </w:r>
          </w:p>
        </w:tc>
        <w:tc>
          <w:tcPr>
            <w:tcW w:w="4535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Niezależna pró</w:t>
            </w:r>
            <w:r>
              <w:rPr>
                <w:color w:val="24333D"/>
                <w:sz w:val="16"/>
              </w:rPr>
              <w:t>ba, predykcja przyszłego wyniku, porównanie z baseline.</w:t>
            </w:r>
          </w:p>
        </w:tc>
        <w:tc>
          <w:tcPr>
            <w:tcW w:w="3458" w:type="dxa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Zewnętrzna walidacja i analiza kalibracji.</w:t>
            </w:r>
          </w:p>
        </w:tc>
      </w:tr>
      <w:tr w:rsidR="005E208A" w:rsidTr="004F188F">
        <w:trPr>
          <w:cantSplit/>
          <w:jc w:val="center"/>
        </w:trPr>
        <w:tc>
          <w:tcPr>
            <w:tcW w:w="1701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5. Wdrożenie</w:t>
            </w:r>
          </w:p>
        </w:tc>
        <w:tc>
          <w:tcPr>
            <w:tcW w:w="4535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Procedury kontroli dostępu, informacji zwrotnej i reakcji na błędy.</w:t>
            </w:r>
          </w:p>
        </w:tc>
        <w:tc>
          <w:tcPr>
            <w:tcW w:w="3458" w:type="dxa"/>
            <w:shd w:val="clear" w:color="auto" w:fill="F2F6F8"/>
            <w:tcMar>
              <w:top w:w="65" w:type="dxa"/>
              <w:left w:w="90" w:type="dxa"/>
              <w:bottom w:w="65" w:type="dxa"/>
              <w:right w:w="90" w:type="dxa"/>
            </w:tcMar>
          </w:tcPr>
          <w:p w:rsidR="005E208A" w:rsidRDefault="00673807">
            <w:pPr>
              <w:spacing w:after="40" w:line="259" w:lineRule="auto"/>
              <w:rPr>
                <w:rFonts w:hint="eastAsia"/>
              </w:rPr>
            </w:pPr>
            <w:r>
              <w:rPr>
                <w:color w:val="24333D"/>
                <w:sz w:val="16"/>
              </w:rPr>
              <w:t>Akceptowalność użytkownika i ocena potencjalnych szkód.</w:t>
            </w:r>
          </w:p>
        </w:tc>
      </w:tr>
    </w:tbl>
    <w:p w:rsidR="005E208A" w:rsidRDefault="005E208A">
      <w:pPr>
        <w:spacing w:after="20"/>
        <w:rPr>
          <w:rFonts w:hint="eastAsia"/>
        </w:rPr>
      </w:pPr>
    </w:p>
    <w:p w:rsidR="005E208A" w:rsidRDefault="00673807">
      <w:pPr>
        <w:pStyle w:val="Nagwek1"/>
      </w:pPr>
      <w:r>
        <w:t>10. Wnioski</w:t>
      </w:r>
    </w:p>
    <w:p w:rsidR="005E208A" w:rsidRDefault="00673807" w:rsidP="006838EC">
      <w:pPr>
        <w:jc w:val="both"/>
        <w:rPr>
          <w:rFonts w:hint="eastAsia"/>
        </w:rPr>
      </w:pPr>
      <w:r>
        <w:t>Katalog 29 pozycji dostarcza użytecznej podstawy do budowy systemu longitudinalnego monitorowania zachowania. Jednocześnie tylko 28 pozycji ma odrębne definicje operacyjne: NPU i NUR są tożsame. Część oryginalnych równań jest szkicowa lub niepoprawnie znor</w:t>
      </w:r>
      <w:r>
        <w:t>malizowana. W badaniu naukowym należy wykorzystać doprecyzowane wzory oraz jawny słownik metadanych, zachowując informację o dokonanych zmianach.</w:t>
      </w:r>
    </w:p>
    <w:p w:rsidR="005E208A" w:rsidRDefault="00673807" w:rsidP="006838EC">
      <w:pPr>
        <w:jc w:val="both"/>
        <w:rPr>
          <w:rFonts w:hint="eastAsia"/>
        </w:rPr>
      </w:pPr>
      <w:r>
        <w:t>Najbardziej bezpośrednio obserwowalne są aktywność urządzenia, mobilność oraz harmonogram korzystania z telefo</w:t>
      </w:r>
      <w:r>
        <w:t>nu. Sen, interakcje społeczne, pobudzenie autonomiczne i stan emocjonalny wymagają znacznie ostrożniejszego wnioskowania. Wskaźniki nie pozwalają niezależnie rozpoznać depresji, manii, lęku czy stresu, a proponowane DBI/MAI/AII nie mogą być użyte jako skal</w:t>
      </w:r>
      <w:r>
        <w:t>e kliniczne bez walidacji. Rozwój projektu należy ukierunkować na jakość danych, rzetelność, walidację niezależną od uczestników i ochronę prywatności [3, 6–11].</w:t>
      </w:r>
    </w:p>
    <w:p w:rsidR="005E208A" w:rsidRDefault="00673807">
      <w:pPr>
        <w:pStyle w:val="Nagwek1"/>
      </w:pPr>
      <w:r>
        <w:t>Bibliografia naukowa i źródła metodyczne</w:t>
      </w:r>
    </w:p>
    <w:p w:rsidR="005E208A" w:rsidRDefault="00673807">
      <w:pPr>
        <w:pStyle w:val="Ref"/>
        <w:rPr>
          <w:rFonts w:hint="eastAsia"/>
        </w:rPr>
      </w:pPr>
      <w:r>
        <w:t>[1] Saeb S, Zhang M, Karr CJ, et al. Mobile Phone Sen</w:t>
      </w:r>
      <w:r>
        <w:t>sor Correlates of Depressive Symptom Severity in Daily-Life Behavior: An Exploratory Study. Journal of Medical Internet Research. 2015;17(7):e175. doi:10.2196/jmir.4273.</w:t>
      </w:r>
    </w:p>
    <w:p w:rsidR="005E208A" w:rsidRDefault="00673807">
      <w:pPr>
        <w:pStyle w:val="Ref"/>
        <w:rPr>
          <w:rFonts w:hint="eastAsia"/>
        </w:rPr>
      </w:pPr>
      <w:r>
        <w:t xml:space="preserve">[2] Saeb S, Lattie EG, Schueller SM, Kording KP, Mohr DC. The relationship between </w:t>
      </w:r>
      <w:r>
        <w:t>mobile phone location sensor data and depressive symptom severity. PeerJ. 2016;4:e2537. doi:10.7717/peerj.2537.</w:t>
      </w:r>
    </w:p>
    <w:p w:rsidR="005E208A" w:rsidRDefault="00673807">
      <w:pPr>
        <w:pStyle w:val="Ref"/>
        <w:rPr>
          <w:rFonts w:hint="eastAsia"/>
        </w:rPr>
      </w:pPr>
      <w:r>
        <w:t>[3] Wang R, Chen F, Chen Z, et al. StudentLife: Assessing Mental Health, Academic Performance and Behavioral Trends of College Students Using Sm</w:t>
      </w:r>
      <w:r>
        <w:t>artphones. UbiComp 2014. doi:10.1145/2632048.2632054.</w:t>
      </w:r>
    </w:p>
    <w:p w:rsidR="005E208A" w:rsidRDefault="00673807">
      <w:pPr>
        <w:pStyle w:val="Ref"/>
        <w:rPr>
          <w:rFonts w:hint="eastAsia"/>
        </w:rPr>
      </w:pPr>
      <w:r>
        <w:t>[4] Faurholt-Jepsen M, Vinberg M, Frost M, et al. Smartphone data as an electronic biomarker of illness activity in bipolar disorder. Bipolar Disorders. 2015;17(7):715–728. doi:10.1111/bdi.12332.</w:t>
      </w:r>
    </w:p>
    <w:p w:rsidR="005E208A" w:rsidRDefault="00673807">
      <w:pPr>
        <w:pStyle w:val="Ref"/>
        <w:rPr>
          <w:rFonts w:hint="eastAsia"/>
        </w:rPr>
      </w:pPr>
      <w:r>
        <w:t>[5] Gr</w:t>
      </w:r>
      <w:r>
        <w:t>ünerbl A, Muaremi A, Osmani V, et al. Smartphone-based recognition of states and state changes in bipolar disorder patients. IEEE Journal of Biomedical and Health Informatics. 2015;19(1):140–148. doi:10.1109/JBHI.2014.2343154.</w:t>
      </w:r>
    </w:p>
    <w:p w:rsidR="005E208A" w:rsidRDefault="00673807">
      <w:pPr>
        <w:pStyle w:val="Ref"/>
        <w:rPr>
          <w:rFonts w:hint="eastAsia"/>
        </w:rPr>
      </w:pPr>
      <w:r>
        <w:t>[6] Leaning IE, Ikani N, Sava</w:t>
      </w:r>
      <w:r>
        <w:t>ge HS, et al. From smartphone data to clinically relevant predictions: A systematic review of digital phenotyping methods in depression. Neuroscience &amp; Biobehavioral Reviews. 2024;158:105541. doi:10.1016/j.neubiorev.2024.105541.</w:t>
      </w:r>
    </w:p>
    <w:p w:rsidR="005E208A" w:rsidRDefault="00673807">
      <w:pPr>
        <w:pStyle w:val="Ref"/>
        <w:rPr>
          <w:rFonts w:hint="eastAsia"/>
        </w:rPr>
      </w:pPr>
      <w:r>
        <w:t>[7] Linardon J, Chen K, Gaj</w:t>
      </w:r>
      <w:r>
        <w:t>jar S, et al. Smartphone digital phenotyping in mental health disorders: A review of raw sensors utilized, machine learning processing pipelines, and derived behavioral features. Psychiatry Research. 2025;348:116483. doi:10.1016/j.psychres.2025.116483.</w:t>
      </w:r>
    </w:p>
    <w:p w:rsidR="005E208A" w:rsidRDefault="00673807">
      <w:pPr>
        <w:pStyle w:val="Ref"/>
        <w:rPr>
          <w:rFonts w:hint="eastAsia"/>
        </w:rPr>
      </w:pPr>
      <w:r>
        <w:t>[8]</w:t>
      </w:r>
      <w:r>
        <w:t xml:space="preserve"> Currey D, Torous J. Increasing the value of digital phenotyping through reducing missingness: a retrospective review and analysis of prior studies. BMJ Mental Health. 2023;26:e300718. doi:10.1136/bmjment-2023-300718.</w:t>
      </w:r>
    </w:p>
    <w:p w:rsidR="005E208A" w:rsidRDefault="00673807">
      <w:pPr>
        <w:pStyle w:val="Ref"/>
        <w:rPr>
          <w:rFonts w:hint="eastAsia"/>
        </w:rPr>
      </w:pPr>
      <w:r>
        <w:t>[9] Van Someren EJW, Swaab DF, Colenda</w:t>
      </w:r>
      <w:r>
        <w:t xml:space="preserve"> CC, et al. Bright light therapy: improved sensitivity to its effects on rest–activity rhythms in Alzheimer patients by application of nonparametric methods. Chronobiology International. 1999;16(4):505–518. doi:10.3109/07420529908998724.</w:t>
      </w:r>
    </w:p>
    <w:p w:rsidR="005E208A" w:rsidRDefault="00673807">
      <w:pPr>
        <w:pStyle w:val="Ref"/>
        <w:rPr>
          <w:rFonts w:hint="eastAsia"/>
        </w:rPr>
      </w:pPr>
      <w:r>
        <w:t>[10] Collins GS, M</w:t>
      </w:r>
      <w:r>
        <w:t>oons KGM, Dhiman P, et al. TRIPOD+AI statement: updated guidance for reporting clinical prediction models that use regression or machine learning methods. BMJ. 2024;385:e078378. doi:10.1136/bmj-2023-078378.</w:t>
      </w:r>
    </w:p>
    <w:p w:rsidR="005E208A" w:rsidRDefault="00673807" w:rsidP="006838EC">
      <w:pPr>
        <w:pStyle w:val="Ref"/>
        <w:rPr>
          <w:rFonts w:hint="eastAsia"/>
        </w:rPr>
      </w:pPr>
      <w:r>
        <w:t>[11] Moons KGM, Damen JAA, Kaul T, et al. PROBAST</w:t>
      </w:r>
      <w:r>
        <w:t xml:space="preserve">+AI: an updated quality, risk of bias, and applicability assessment tool for prediction models using regression </w:t>
      </w:r>
      <w:bookmarkStart w:id="0" w:name="_GoBack"/>
      <w:bookmarkEnd w:id="0"/>
      <w:r>
        <w:t>or artificial intelligence methods. BMJ. 2025;388:e082505. doi:10.1136/bmj-2024-082505.</w:t>
      </w:r>
    </w:p>
    <w:sectPr w:rsidR="005E208A" w:rsidSect="00034616">
      <w:headerReference w:type="default" r:id="rId8"/>
      <w:footerReference w:type="default" r:id="rId9"/>
      <w:pgSz w:w="11906" w:h="16838"/>
      <w:pgMar w:top="1191" w:right="1162" w:bottom="1049" w:left="1162" w:header="510" w:footer="48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807" w:rsidRDefault="006738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673807" w:rsidRDefault="006738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EE"/>
    <w:family w:val="swiss"/>
    <w:pitch w:val="variable"/>
    <w:sig w:usb0="E00002FF" w:usb1="4000201F" w:usb2="08000029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08A" w:rsidRDefault="00673807">
    <w:pPr>
      <w:pStyle w:val="Small"/>
      <w:jc w:val="right"/>
      <w:rPr>
        <w:rFonts w:hint="eastAsia"/>
      </w:rPr>
    </w:pPr>
    <w:r>
      <w:t xml:space="preserve">Wersja 1.0.0  |  01.11.2026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807" w:rsidRDefault="006738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673807" w:rsidRDefault="006738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08A" w:rsidRDefault="00673807">
    <w:pPr>
      <w:pStyle w:val="Small"/>
      <w:jc w:val="right"/>
      <w:rPr>
        <w:rFonts w:hint="eastAsia"/>
      </w:rPr>
    </w:pPr>
    <w:r>
      <w:rPr>
        <w:color w:val="196070"/>
      </w:rPr>
      <w:t>PRZEGLĄD NAUKOWY  /  INFORMATYKA AFEKTYWNA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7E0"/>
    <w:rsid w:val="004F188F"/>
    <w:rsid w:val="005E208A"/>
    <w:rsid w:val="00673807"/>
    <w:rsid w:val="006838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8843B4"/>
  <w14:defaultImageDpi w14:val="300"/>
  <w15:docId w15:val="{F70088C0-37CD-4717-9453-DCAA57A0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C693F"/>
    <w:pPr>
      <w:spacing w:after="120" w:line="278" w:lineRule="auto"/>
    </w:pPr>
    <w:rPr>
      <w:rFonts w:ascii="Noto Sans" w:hAnsi="Noto Sans"/>
      <w:color w:val="263138"/>
      <w:sz w:val="18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B3044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96070"/>
      <w:sz w:val="21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B3044"/>
      <w:sz w:val="19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after="260"/>
      <w:contextualSpacing/>
    </w:pPr>
    <w:rPr>
      <w:rFonts w:asciiTheme="majorHAnsi" w:eastAsiaTheme="majorEastAsia" w:hAnsiTheme="majorHAnsi" w:cstheme="majorBidi"/>
      <w:b/>
      <w:color w:val="1B3044"/>
      <w:spacing w:val="5"/>
      <w:kern w:val="28"/>
      <w:sz w:val="48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color w:val="196070"/>
      <w:spacing w:val="15"/>
      <w:sz w:val="2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before="80" w:after="180"/>
    </w:pPr>
    <w:rPr>
      <w:bCs/>
      <w:color w:val="52616F"/>
      <w:sz w:val="16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 w:line="278" w:lineRule="auto"/>
    </w:pPr>
    <w:rPr>
      <w:rFonts w:ascii="Noto Sans" w:hAnsi="Noto Sans"/>
      <w:color w:val="52616F"/>
      <w:sz w:val="16"/>
    </w:rPr>
  </w:style>
  <w:style w:type="paragraph" w:customStyle="1" w:styleId="Ref">
    <w:name w:val="Ref"/>
    <w:pPr>
      <w:spacing w:after="80" w:line="278" w:lineRule="auto"/>
    </w:pPr>
    <w:rPr>
      <w:rFonts w:ascii="Noto Sans" w:hAnsi="Noto Sans"/>
      <w:color w:val="34414A"/>
      <w:sz w:val="16"/>
    </w:rPr>
  </w:style>
  <w:style w:type="paragraph" w:customStyle="1" w:styleId="Abstract">
    <w:name w:val="Abstract"/>
    <w:pPr>
      <w:spacing w:after="140" w:line="278" w:lineRule="auto"/>
    </w:pPr>
    <w:rPr>
      <w:rFonts w:ascii="Noto Sans" w:hAnsi="Noto Sans"/>
      <w:color w:val="233741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503400-C7F5-49D6-AF38-C856B0BF2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3027</Words>
  <Characters>18164</Characters>
  <Application>Microsoft Office Word</Application>
  <DocSecurity>0</DocSecurity>
  <Lines>151</Lines>
  <Paragraphs>42</Paragraphs>
  <ScaleCrop>false</ScaleCrop>
  <HeadingPairs>
    <vt:vector size="6" baseType="variant">
      <vt:variant>
        <vt:lpstr>Tytuł</vt:lpstr>
      </vt:variant>
      <vt:variant>
        <vt:i4>1</vt:i4>
      </vt:variant>
      <vt:variant>
        <vt:lpstr>Nagłówki</vt:lpstr>
      </vt:variant>
      <vt:variant>
        <vt:i4>29</vt:i4>
      </vt:variant>
      <vt:variant>
        <vt:lpstr>Title</vt:lpstr>
      </vt:variant>
      <vt:variant>
        <vt:i4>1</vt:i4>
      </vt:variant>
    </vt:vector>
  </HeadingPairs>
  <TitlesOfParts>
    <vt:vector size="31" baseType="lpstr">
      <vt:lpstr>Wskaźniki informatyki afektywnej pozyskiwane z urządzeń mobilnych</vt:lpstr>
      <vt:lpstr>Streszczenie</vt:lpstr>
      <vt:lpstr>1. Cel, źródła i charakter syntezy</vt:lpstr>
      <vt:lpstr>2. Założenia pomiaru i poziomy interpretacji</vt:lpstr>
      <vt:lpstr>    2.1. Cztery poziomy wnioskowania</vt:lpstr>
      <vt:lpstr>    2.2. Minimalne dane towarzyszące</vt:lpstr>
      <vt:lpstr>3. Katalog wskaźników i definicje operacyjne</vt:lpstr>
      <vt:lpstr>    I. Aktywność psychomotoryczna</vt:lpstr>
      <vt:lpstr>    II. Rytm dobowy</vt:lpstr>
      <vt:lpstr>    III. Sen i nocne korzystanie z telefonu</vt:lpstr>
      <vt:lpstr>    IV. Mobilność</vt:lpstr>
      <vt:lpstr>    V. Interakcje rejestrowane cyfrowo</vt:lpstr>
      <vt:lpstr>    VI. Korzystanie z urządzenia</vt:lpstr>
      <vt:lpstr>    VII. Fizjologia (urządzenia noszone)</vt:lpstr>
      <vt:lpstr>    VIII. Metadane systemowe</vt:lpstr>
      <vt:lpstr>    IX. Proponowane indeksy złożone</vt:lpstr>
      <vt:lpstr>4. Audyt poprawności matematycznej i redundancji</vt:lpstr>
      <vt:lpstr>5. Powiązania z funkcjonowaniem psychicznym: interpretacja literatury</vt:lpstr>
      <vt:lpstr>6. Wiarygodność pomiaru i zarządzanie brakami danych</vt:lpstr>
      <vt:lpstr>    6.1. Rozróżnienie braku obserwacji i wartości zerowej</vt:lpstr>
      <vt:lpstr>    6.2. Synchronizacja i źródło pomiaru</vt:lpstr>
      <vt:lpstr>    6.3. Plan kontroli jakości</vt:lpstr>
      <vt:lpstr>7. Modelowanie statystyczne i walidacja kliniczna</vt:lpstr>
      <vt:lpstr>    7.1. Zmienność wewnątrz- i międzyosobnicza</vt:lpstr>
      <vt:lpstr>    7.2. Punkt odniesienia i kryterium zewnętrzne</vt:lpstr>
      <vt:lpstr>    7.3. Projekt oceny modeli</vt:lpstr>
      <vt:lpstr>8. Etyka, prywatność i wykonalność techniczna</vt:lpstr>
      <vt:lpstr>9. Proponowany protokół badania pilotażowego</vt:lpstr>
      <vt:lpstr>10. Wnioski</vt:lpstr>
      <vt:lpstr>Bibliografia naukowa i źródła metodyczne</vt:lpstr>
      <vt:lpstr/>
    </vt:vector>
  </TitlesOfParts>
  <Manager/>
  <Company/>
  <LinksUpToDate>false</LinksUpToDate>
  <CharactersWithSpaces>21149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Wskaźniki informatyki afektywnej pozyskiwane z urządzeń mobilnych</dc:title>
  <dc:subject>Krytyczna synteza naukowa trzech dokumentów</dc:subject>
  <dc:creator>Opracowanie naukowe</dc:creator>
  <cp:keywords>digital phenotyping; informatyka afektywna; smartfon; biomarkery cyfrowe</cp:keywords>
  <dc:description>generated by python-docx</dc:description>
  <cp:lastModifiedBy>Mateusz Pomianek</cp:lastModifiedBy>
  <cp:revision>2</cp:revision>
  <dcterms:created xsi:type="dcterms:W3CDTF">2013-12-23T23:15:00Z</dcterms:created>
  <dcterms:modified xsi:type="dcterms:W3CDTF">2026-11-01T15:21:00Z</dcterms:modified>
  <cp:category/>
</cp:coreProperties>
</file>