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131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2019-12-07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2019-12-07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kasmetinių</w:t>
      </w:r>
      <w:r>
        <w:t xml:space="preserve"> </w:t>
      </w:r>
      <w:r w:rsidR="003D00A2">
        <w:t>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2019-12-09 </w:t>
      </w:r>
      <w:r w:rsidR="004E6FE3">
        <w:t xml:space="preserve">iki </w:t>
      </w:r>
      <w:r w:rsidR="005D49E3">
        <w:t>2019-12-11 imtinai</w:t>
      </w:r>
      <w:r w:rsidR="00431C84">
        <w:t xml:space="preserve"> </w:t>
      </w:r>
      <w:r w:rsidR="0027460F">
        <w:t>(</w:t>
      </w:r>
      <w:r w:rsidR="005D49E3">
        <w:t>3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>Atostoginius prie darbo užmokesčio išmokėti su atitinkamo mėn. darbo užmokesčiu.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