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6653E" w14:textId="77777777" w:rsidR="00AF7F17" w:rsidRDefault="00000000">
      <w:pPr>
        <w:pStyle w:val="Heading1"/>
      </w:pPr>
      <w:r>
        <w:t>1. Executive decision summary</w:t>
      </w:r>
    </w:p>
    <w:p w14:paraId="5D96D8E2" w14:textId="77777777" w:rsidR="00AF7F17" w:rsidRDefault="00000000">
      <w:pPr>
        <w:jc w:val="both"/>
      </w:pPr>
      <w:proofErr w:type="spellStart"/>
      <w:r>
        <w:t>CivicConnect</w:t>
      </w:r>
      <w:proofErr w:type="spellEnd"/>
      <w:r>
        <w:t xml:space="preserve"> should be implemented as a layered modular monolith: a React browser interface communicates with one Node.js/Express application, which stores transactional data in PostgreSQL. The backend remains one deployable unit while enforcing internal boundaries for Identity and Access, Request Management, Workflow, Audit and History, Reporting, and Administration. This structure gives the three-person team clear responsibilities without introducing the network, deployment, observability and distributed-data overhead of microservices.</w:t>
      </w:r>
    </w:p>
    <w:p w14:paraId="7F0B3C60" w14:textId="06B5AA39" w:rsidR="00AF7F17" w:rsidRDefault="00000000">
      <w:pPr>
        <w:jc w:val="both"/>
      </w:pPr>
      <w:r>
        <w:t>The decision directly answers the Milestone 1 deferment of architecture, database, framework and hosting choices. It also addresses the small-team, limited-schedule and low-cost constraints while preserving a deliberate path to later extraction if measured load, independent deployment needs or organisational growth justify it</w:t>
      </w:r>
      <w:r w:rsidR="006F03BE">
        <w:t>.</w:t>
      </w:r>
    </w:p>
    <w:p w14:paraId="6D182CC1" w14:textId="77777777" w:rsidR="00AF7F17" w:rsidRDefault="00000000">
      <w:pPr>
        <w:jc w:val="both"/>
      </w:pPr>
      <w:r>
        <w:t>Layering separates presentation, business logic and infrastructure through defined interfaces, while a modular structure aims for high cohesion within modules and low coupling between them. These properties support maintainability, testability and controlled evolution (Sharma, Kumar and Agarwal, 2015; Skiada et al., 2018).</w:t>
      </w:r>
    </w:p>
    <w:p w14:paraId="5379C7F2" w14:textId="77777777" w:rsidR="00AF7F17" w:rsidRDefault="00000000">
      <w:pPr>
        <w:jc w:val="both"/>
      </w:pPr>
      <w:r>
        <w:t>A monolith is proportionate for the current workload and team because single-machine evaluations show that a monolith can outperform microservices, while microservice boundaries add orchestration, data consistency and resource costs that may outweigh their benefits for smaller systems (</w:t>
      </w:r>
      <w:proofErr w:type="spellStart"/>
      <w:r>
        <w:t>Blinowski</w:t>
      </w:r>
      <w:proofErr w:type="spellEnd"/>
      <w:r>
        <w:t xml:space="preserve">, </w:t>
      </w:r>
      <w:proofErr w:type="spellStart"/>
      <w:r>
        <w:t>Ojdowska</w:t>
      </w:r>
      <w:proofErr w:type="spellEnd"/>
      <w:r>
        <w:t xml:space="preserve"> and </w:t>
      </w:r>
      <w:proofErr w:type="spellStart"/>
      <w:r>
        <w:t>Przybyłek</w:t>
      </w:r>
      <w:proofErr w:type="spellEnd"/>
      <w:r>
        <w:t>, 2022).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56"/>
      </w:tblGrid>
      <w:tr w:rsidR="00AF7F17" w14:paraId="33AEF094" w14:textId="77777777">
        <w:tblPrEx>
          <w:tblCellMar>
            <w:top w:w="0" w:type="dxa"/>
            <w:bottom w:w="0" w:type="dxa"/>
          </w:tblCellMar>
        </w:tblPrEx>
        <w:tc>
          <w:tcPr>
            <w:tcW w:w="0" w:type="auto"/>
            <w:tcBorders>
              <w:top w:val="single" w:sz="4" w:space="0" w:color="C7D0D8"/>
              <w:left w:val="single" w:sz="4" w:space="0" w:color="C7D0D8"/>
              <w:bottom w:val="single" w:sz="4" w:space="0" w:color="C7D0D8"/>
              <w:right w:val="single" w:sz="4" w:space="0" w:color="C7D0D8"/>
            </w:tcBorders>
            <w:shd w:val="clear" w:color="auto" w:fill="EAF2F8"/>
            <w:tcMar>
              <w:top w:w="130" w:type="dxa"/>
              <w:left w:w="160" w:type="dxa"/>
              <w:bottom w:w="130" w:type="dxa"/>
              <w:right w:w="160" w:type="dxa"/>
            </w:tcMar>
          </w:tcPr>
          <w:p w14:paraId="01F8750C" w14:textId="77777777" w:rsidR="00AF7F17" w:rsidRDefault="00000000">
            <w:pPr>
              <w:spacing w:after="0"/>
              <w:jc w:val="both"/>
            </w:pPr>
            <w:r>
              <w:rPr>
                <w:b/>
                <w:bCs/>
                <w:color w:val="2A8C82"/>
              </w:rPr>
              <w:t xml:space="preserve">Decision outcome: </w:t>
            </w:r>
            <w:r>
              <w:t>Select the layered modular monolith now. Defer microservices and an external message broker. Reconsider only when measurable evidence shows that a module needs independent scaling or release autonomy.</w:t>
            </w:r>
          </w:p>
        </w:tc>
      </w:tr>
    </w:tbl>
    <w:p w14:paraId="59501F7B" w14:textId="77777777" w:rsidR="00AF7F17" w:rsidRDefault="00000000">
      <w:pPr>
        <w:pStyle w:val="Heading1"/>
      </w:pPr>
      <w:r>
        <w:t>2. Milestone 1 baseline review</w:t>
      </w:r>
    </w:p>
    <w:p w14:paraId="71D487A0" w14:textId="551696D1" w:rsidR="00AF7F17" w:rsidRDefault="00000000">
      <w:pPr>
        <w:jc w:val="both"/>
      </w:pPr>
      <w:r>
        <w:t>Milestone 1 established the stakeholder needs, scope, prioritised requirements, measurable acceptance criteria, constraints, risk register and initial traceability foundation. It deliberately deferred authentication, architecture, database, frameworks and hosting to Milestone 2. The architecture work below keeps the responsive web scope and does not reopen deferred external notifications or other excluded features.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405"/>
        <w:gridCol w:w="3660"/>
        <w:gridCol w:w="2091"/>
      </w:tblGrid>
      <w:tr w:rsidR="00AF7F17" w14:paraId="04393D6B" w14:textId="77777777">
        <w:tblPrEx>
          <w:tblCellMar>
            <w:top w:w="0" w:type="dxa"/>
            <w:bottom w:w="0" w:type="dxa"/>
          </w:tblCellMar>
        </w:tblPrEx>
        <w:trPr>
          <w:cantSplit/>
          <w:tblHeader/>
        </w:trPr>
        <w:tc>
          <w:tcPr>
            <w:tcW w:w="1100" w:type="pct"/>
            <w:tcBorders>
              <w:top w:val="single" w:sz="4" w:space="0" w:color="C7D0D8"/>
              <w:left w:val="single" w:sz="4" w:space="0" w:color="C7D0D8"/>
              <w:bottom w:val="single" w:sz="4" w:space="0" w:color="C7D0D8"/>
              <w:right w:val="single" w:sz="4" w:space="0" w:color="C7D0D8"/>
            </w:tcBorders>
            <w:shd w:val="clear" w:color="auto" w:fill="17324D"/>
            <w:tcMar>
              <w:top w:w="90" w:type="dxa"/>
              <w:left w:w="95" w:type="dxa"/>
              <w:bottom w:w="90" w:type="dxa"/>
              <w:right w:w="95" w:type="dxa"/>
            </w:tcMar>
            <w:vAlign w:val="center"/>
          </w:tcPr>
          <w:p w14:paraId="0163EC15" w14:textId="77777777" w:rsidR="00AF7F17" w:rsidRDefault="00000000">
            <w:pPr>
              <w:spacing w:after="0"/>
            </w:pPr>
            <w:r>
              <w:rPr>
                <w:b/>
                <w:bCs/>
                <w:color w:val="FFFFFF"/>
                <w:sz w:val="18"/>
                <w:szCs w:val="18"/>
              </w:rPr>
              <w:t>M1 baseline item</w:t>
            </w:r>
          </w:p>
        </w:tc>
        <w:tc>
          <w:tcPr>
            <w:tcW w:w="1150" w:type="pct"/>
            <w:tcBorders>
              <w:top w:val="single" w:sz="4" w:space="0" w:color="C7D0D8"/>
              <w:left w:val="single" w:sz="4" w:space="0" w:color="C7D0D8"/>
              <w:bottom w:val="single" w:sz="4" w:space="0" w:color="C7D0D8"/>
              <w:right w:val="single" w:sz="4" w:space="0" w:color="C7D0D8"/>
            </w:tcBorders>
            <w:shd w:val="clear" w:color="auto" w:fill="17324D"/>
            <w:tcMar>
              <w:top w:w="90" w:type="dxa"/>
              <w:left w:w="95" w:type="dxa"/>
              <w:bottom w:w="90" w:type="dxa"/>
              <w:right w:w="95" w:type="dxa"/>
            </w:tcMar>
            <w:vAlign w:val="center"/>
          </w:tcPr>
          <w:p w14:paraId="716484EB" w14:textId="77777777" w:rsidR="00AF7F17" w:rsidRDefault="00000000">
            <w:pPr>
              <w:spacing w:after="0"/>
            </w:pPr>
            <w:r>
              <w:rPr>
                <w:b/>
                <w:bCs/>
                <w:color w:val="FFFFFF"/>
                <w:sz w:val="18"/>
                <w:szCs w:val="18"/>
              </w:rPr>
              <w:t>Continuity into M2</w:t>
            </w:r>
          </w:p>
        </w:tc>
        <w:tc>
          <w:tcPr>
            <w:tcW w:w="1750" w:type="pct"/>
            <w:tcBorders>
              <w:top w:val="single" w:sz="4" w:space="0" w:color="C7D0D8"/>
              <w:left w:val="single" w:sz="4" w:space="0" w:color="C7D0D8"/>
              <w:bottom w:val="single" w:sz="4" w:space="0" w:color="C7D0D8"/>
              <w:right w:val="single" w:sz="4" w:space="0" w:color="C7D0D8"/>
            </w:tcBorders>
            <w:shd w:val="clear" w:color="auto" w:fill="17324D"/>
            <w:tcMar>
              <w:top w:w="90" w:type="dxa"/>
              <w:left w:w="95" w:type="dxa"/>
              <w:bottom w:w="90" w:type="dxa"/>
              <w:right w:w="95" w:type="dxa"/>
            </w:tcMar>
            <w:vAlign w:val="center"/>
          </w:tcPr>
          <w:p w14:paraId="384C1A6B" w14:textId="77777777" w:rsidR="00AF7F17" w:rsidRDefault="00000000">
            <w:pPr>
              <w:spacing w:after="0"/>
            </w:pPr>
            <w:r>
              <w:rPr>
                <w:b/>
                <w:bCs/>
                <w:color w:val="FFFFFF"/>
                <w:sz w:val="18"/>
                <w:szCs w:val="18"/>
              </w:rPr>
              <w:t>M2 evolution / decision</w:t>
            </w:r>
          </w:p>
        </w:tc>
        <w:tc>
          <w:tcPr>
            <w:tcW w:w="1000" w:type="pct"/>
            <w:tcBorders>
              <w:top w:val="single" w:sz="4" w:space="0" w:color="C7D0D8"/>
              <w:left w:val="single" w:sz="4" w:space="0" w:color="C7D0D8"/>
              <w:bottom w:val="single" w:sz="4" w:space="0" w:color="C7D0D8"/>
              <w:right w:val="single" w:sz="4" w:space="0" w:color="C7D0D8"/>
            </w:tcBorders>
            <w:shd w:val="clear" w:color="auto" w:fill="17324D"/>
            <w:tcMar>
              <w:top w:w="90" w:type="dxa"/>
              <w:left w:w="95" w:type="dxa"/>
              <w:bottom w:w="90" w:type="dxa"/>
              <w:right w:w="95" w:type="dxa"/>
            </w:tcMar>
            <w:vAlign w:val="center"/>
          </w:tcPr>
          <w:p w14:paraId="5A9E413A" w14:textId="77777777" w:rsidR="00AF7F17" w:rsidRDefault="00000000">
            <w:pPr>
              <w:spacing w:after="0"/>
            </w:pPr>
            <w:r>
              <w:rPr>
                <w:b/>
                <w:bCs/>
                <w:color w:val="FFFFFF"/>
                <w:sz w:val="18"/>
                <w:szCs w:val="18"/>
              </w:rPr>
              <w:t>Evidence status</w:t>
            </w:r>
          </w:p>
        </w:tc>
      </w:tr>
      <w:tr w:rsidR="00AF7F17" w14:paraId="339805DC" w14:textId="77777777">
        <w:tblPrEx>
          <w:tblCellMar>
            <w:top w:w="0" w:type="dxa"/>
            <w:bottom w:w="0" w:type="dxa"/>
          </w:tblCellMar>
        </w:tblPrEx>
        <w:trPr>
          <w:cantSplit/>
        </w:trPr>
        <w:tc>
          <w:tcPr>
            <w:tcW w:w="11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22F5E234" w14:textId="77777777" w:rsidR="00AF7F17" w:rsidRDefault="00000000">
            <w:pPr>
              <w:spacing w:after="0" w:line="220" w:lineRule="auto"/>
            </w:pPr>
            <w:r>
              <w:rPr>
                <w:sz w:val="17"/>
                <w:szCs w:val="17"/>
              </w:rPr>
              <w:t>RD-10 technology and architecture deferment</w:t>
            </w:r>
          </w:p>
        </w:tc>
        <w:tc>
          <w:tcPr>
            <w:tcW w:w="11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4DF39E6F" w14:textId="77777777" w:rsidR="00AF7F17" w:rsidRDefault="00000000">
            <w:pPr>
              <w:spacing w:after="0" w:line="220" w:lineRule="auto"/>
            </w:pPr>
            <w:r>
              <w:rPr>
                <w:sz w:val="17"/>
                <w:szCs w:val="17"/>
              </w:rPr>
              <w:t>Must now be resolved through research and ADRs</w:t>
            </w:r>
          </w:p>
        </w:tc>
        <w:tc>
          <w:tcPr>
            <w:tcW w:w="17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1611F559" w14:textId="77777777" w:rsidR="00AF7F17" w:rsidRDefault="00000000">
            <w:pPr>
              <w:spacing w:after="0" w:line="220" w:lineRule="auto"/>
            </w:pPr>
            <w:r>
              <w:rPr>
                <w:sz w:val="17"/>
                <w:szCs w:val="17"/>
              </w:rPr>
              <w:t>Resolved by ADR-ARCH-001 and ADR-TECH-001</w:t>
            </w:r>
          </w:p>
        </w:tc>
        <w:tc>
          <w:tcPr>
            <w:tcW w:w="10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49FE15D2" w14:textId="77777777" w:rsidR="00AF7F17" w:rsidRDefault="00000000">
            <w:pPr>
              <w:spacing w:after="0" w:line="220" w:lineRule="auto"/>
            </w:pPr>
            <w:r>
              <w:rPr>
                <w:sz w:val="17"/>
                <w:szCs w:val="17"/>
              </w:rPr>
              <w:t>Research complete; team approval pending</w:t>
            </w:r>
          </w:p>
        </w:tc>
      </w:tr>
      <w:tr w:rsidR="00AF7F17" w14:paraId="0CDF9D2B" w14:textId="77777777">
        <w:tblPrEx>
          <w:tblCellMar>
            <w:top w:w="0" w:type="dxa"/>
            <w:bottom w:w="0" w:type="dxa"/>
          </w:tblCellMar>
        </w:tblPrEx>
        <w:trPr>
          <w:cantSplit/>
        </w:trPr>
        <w:tc>
          <w:tcPr>
            <w:tcW w:w="11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6A25AA54" w14:textId="77777777" w:rsidR="00AF7F17" w:rsidRDefault="00000000">
            <w:pPr>
              <w:spacing w:after="0" w:line="220" w:lineRule="auto"/>
            </w:pPr>
            <w:r>
              <w:rPr>
                <w:sz w:val="17"/>
                <w:szCs w:val="17"/>
              </w:rPr>
              <w:t>CON-001: three-person team</w:t>
            </w:r>
          </w:p>
        </w:tc>
        <w:tc>
          <w:tcPr>
            <w:tcW w:w="11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42043773" w14:textId="77777777" w:rsidR="00AF7F17" w:rsidRDefault="00000000">
            <w:pPr>
              <w:spacing w:after="0" w:line="220" w:lineRule="auto"/>
            </w:pPr>
            <w:r>
              <w:rPr>
                <w:sz w:val="17"/>
                <w:szCs w:val="17"/>
              </w:rPr>
              <w:t>Architecture must be understandable and operable by a small team</w:t>
            </w:r>
          </w:p>
        </w:tc>
        <w:tc>
          <w:tcPr>
            <w:tcW w:w="17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36D015F0" w14:textId="77777777" w:rsidR="00AF7F17" w:rsidRDefault="00000000">
            <w:pPr>
              <w:spacing w:after="0" w:line="220" w:lineRule="auto"/>
            </w:pPr>
            <w:r>
              <w:rPr>
                <w:sz w:val="17"/>
                <w:szCs w:val="17"/>
              </w:rPr>
              <w:t>One backend deployable, one database, explicit internal modules</w:t>
            </w:r>
          </w:p>
        </w:tc>
        <w:tc>
          <w:tcPr>
            <w:tcW w:w="10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67E665E3" w14:textId="77777777" w:rsidR="00AF7F17" w:rsidRDefault="00000000">
            <w:pPr>
              <w:spacing w:after="0" w:line="220" w:lineRule="auto"/>
            </w:pPr>
            <w:r>
              <w:rPr>
                <w:sz w:val="17"/>
                <w:szCs w:val="17"/>
              </w:rPr>
              <w:t>Proposed</w:t>
            </w:r>
          </w:p>
        </w:tc>
      </w:tr>
      <w:tr w:rsidR="00AF7F17" w14:paraId="590815B0" w14:textId="77777777">
        <w:tblPrEx>
          <w:tblCellMar>
            <w:top w:w="0" w:type="dxa"/>
            <w:bottom w:w="0" w:type="dxa"/>
          </w:tblCellMar>
        </w:tblPrEx>
        <w:trPr>
          <w:cantSplit/>
        </w:trPr>
        <w:tc>
          <w:tcPr>
            <w:tcW w:w="11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799D3D14" w14:textId="77777777" w:rsidR="00AF7F17" w:rsidRDefault="00000000">
            <w:pPr>
              <w:spacing w:after="0" w:line="220" w:lineRule="auto"/>
            </w:pPr>
            <w:r>
              <w:rPr>
                <w:sz w:val="17"/>
                <w:szCs w:val="17"/>
              </w:rPr>
              <w:t>CON-002/003: schedule and low cost</w:t>
            </w:r>
          </w:p>
        </w:tc>
        <w:tc>
          <w:tcPr>
            <w:tcW w:w="11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203D2CE4" w14:textId="77777777" w:rsidR="00AF7F17" w:rsidRDefault="00000000">
            <w:pPr>
              <w:spacing w:after="0" w:line="220" w:lineRule="auto"/>
            </w:pPr>
            <w:r>
              <w:rPr>
                <w:sz w:val="17"/>
                <w:szCs w:val="17"/>
              </w:rPr>
              <w:t>Avoid unnecessary infrastructure and coordination overhead</w:t>
            </w:r>
          </w:p>
        </w:tc>
        <w:tc>
          <w:tcPr>
            <w:tcW w:w="17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65EFEDC9" w14:textId="77777777" w:rsidR="00AF7F17" w:rsidRDefault="00000000">
            <w:pPr>
              <w:spacing w:after="0" w:line="220" w:lineRule="auto"/>
            </w:pPr>
            <w:r>
              <w:rPr>
                <w:sz w:val="17"/>
                <w:szCs w:val="17"/>
              </w:rPr>
              <w:t>No microservices, broker or distributed datastore in M2</w:t>
            </w:r>
          </w:p>
        </w:tc>
        <w:tc>
          <w:tcPr>
            <w:tcW w:w="10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40821262" w14:textId="77777777" w:rsidR="00AF7F17" w:rsidRDefault="00000000">
            <w:pPr>
              <w:spacing w:after="0" w:line="220" w:lineRule="auto"/>
            </w:pPr>
            <w:r>
              <w:rPr>
                <w:sz w:val="17"/>
                <w:szCs w:val="17"/>
              </w:rPr>
              <w:t>Proposed</w:t>
            </w:r>
          </w:p>
        </w:tc>
      </w:tr>
      <w:tr w:rsidR="00AF7F17" w14:paraId="1BE6C7D0" w14:textId="77777777">
        <w:tblPrEx>
          <w:tblCellMar>
            <w:top w:w="0" w:type="dxa"/>
            <w:bottom w:w="0" w:type="dxa"/>
          </w:tblCellMar>
        </w:tblPrEx>
        <w:trPr>
          <w:cantSplit/>
        </w:trPr>
        <w:tc>
          <w:tcPr>
            <w:tcW w:w="11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2634E3D8" w14:textId="77777777" w:rsidR="00AF7F17" w:rsidRDefault="00000000">
            <w:pPr>
              <w:spacing w:after="0" w:line="220" w:lineRule="auto"/>
            </w:pPr>
            <w:r>
              <w:rPr>
                <w:sz w:val="17"/>
                <w:szCs w:val="17"/>
              </w:rPr>
              <w:t>CON-004: responsive web application</w:t>
            </w:r>
          </w:p>
        </w:tc>
        <w:tc>
          <w:tcPr>
            <w:tcW w:w="11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5615A651" w14:textId="77777777" w:rsidR="00AF7F17" w:rsidRDefault="00000000">
            <w:pPr>
              <w:spacing w:after="0" w:line="220" w:lineRule="auto"/>
            </w:pPr>
            <w:r>
              <w:rPr>
                <w:sz w:val="17"/>
                <w:szCs w:val="17"/>
              </w:rPr>
              <w:t>Preserve browser-based scope</w:t>
            </w:r>
          </w:p>
        </w:tc>
        <w:tc>
          <w:tcPr>
            <w:tcW w:w="17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179A4AE5" w14:textId="77777777" w:rsidR="00AF7F17" w:rsidRDefault="00000000">
            <w:pPr>
              <w:spacing w:after="0" w:line="220" w:lineRule="auto"/>
            </w:pPr>
            <w:r>
              <w:rPr>
                <w:sz w:val="17"/>
                <w:szCs w:val="17"/>
              </w:rPr>
              <w:t>React UI over HTTPS/JSON API</w:t>
            </w:r>
          </w:p>
        </w:tc>
        <w:tc>
          <w:tcPr>
            <w:tcW w:w="10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1537E206" w14:textId="77777777" w:rsidR="00AF7F17" w:rsidRDefault="00000000">
            <w:pPr>
              <w:spacing w:after="0" w:line="220" w:lineRule="auto"/>
            </w:pPr>
            <w:r>
              <w:rPr>
                <w:sz w:val="17"/>
                <w:szCs w:val="17"/>
              </w:rPr>
              <w:t>Proposed</w:t>
            </w:r>
          </w:p>
        </w:tc>
      </w:tr>
      <w:tr w:rsidR="00AF7F17" w14:paraId="5210C926" w14:textId="77777777">
        <w:tblPrEx>
          <w:tblCellMar>
            <w:top w:w="0" w:type="dxa"/>
            <w:bottom w:w="0" w:type="dxa"/>
          </w:tblCellMar>
        </w:tblPrEx>
        <w:trPr>
          <w:cantSplit/>
        </w:trPr>
        <w:tc>
          <w:tcPr>
            <w:tcW w:w="11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7F8C42E9" w14:textId="77777777" w:rsidR="00AF7F17" w:rsidRDefault="00000000">
            <w:pPr>
              <w:spacing w:after="0" w:line="220" w:lineRule="auto"/>
            </w:pPr>
            <w:r>
              <w:rPr>
                <w:sz w:val="17"/>
                <w:szCs w:val="17"/>
              </w:rPr>
              <w:t>CON-005: measurable quality</w:t>
            </w:r>
          </w:p>
        </w:tc>
        <w:tc>
          <w:tcPr>
            <w:tcW w:w="11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42EFE85E" w14:textId="77777777" w:rsidR="00AF7F17" w:rsidRDefault="00000000">
            <w:pPr>
              <w:spacing w:after="0" w:line="220" w:lineRule="auto"/>
            </w:pPr>
            <w:r>
              <w:rPr>
                <w:sz w:val="17"/>
                <w:szCs w:val="17"/>
              </w:rPr>
              <w:t>Quality claims must be testable</w:t>
            </w:r>
          </w:p>
        </w:tc>
        <w:tc>
          <w:tcPr>
            <w:tcW w:w="17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08B24494" w14:textId="77777777" w:rsidR="00AF7F17" w:rsidRDefault="00000000">
            <w:pPr>
              <w:spacing w:after="0" w:line="220" w:lineRule="auto"/>
            </w:pPr>
            <w:r>
              <w:rPr>
                <w:sz w:val="17"/>
                <w:szCs w:val="17"/>
              </w:rPr>
              <w:t>ASRs and architecture tests are defined below</w:t>
            </w:r>
          </w:p>
        </w:tc>
        <w:tc>
          <w:tcPr>
            <w:tcW w:w="10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39FDA0DB" w14:textId="77777777" w:rsidR="00AF7F17" w:rsidRDefault="00000000">
            <w:pPr>
              <w:spacing w:after="0" w:line="220" w:lineRule="auto"/>
            </w:pPr>
            <w:r>
              <w:rPr>
                <w:sz w:val="17"/>
                <w:szCs w:val="17"/>
              </w:rPr>
              <w:t>Planned evidence</w:t>
            </w:r>
          </w:p>
        </w:tc>
      </w:tr>
      <w:tr w:rsidR="00AF7F17" w14:paraId="55A512FB" w14:textId="77777777">
        <w:tblPrEx>
          <w:tblCellMar>
            <w:top w:w="0" w:type="dxa"/>
            <w:bottom w:w="0" w:type="dxa"/>
          </w:tblCellMar>
        </w:tblPrEx>
        <w:trPr>
          <w:cantSplit/>
        </w:trPr>
        <w:tc>
          <w:tcPr>
            <w:tcW w:w="11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69019D9B" w14:textId="77777777" w:rsidR="00AF7F17" w:rsidRDefault="00000000">
            <w:pPr>
              <w:spacing w:after="0" w:line="220" w:lineRule="auto"/>
            </w:pPr>
            <w:r>
              <w:rPr>
                <w:sz w:val="17"/>
                <w:szCs w:val="17"/>
              </w:rPr>
              <w:t>CON-006: security and privacy</w:t>
            </w:r>
          </w:p>
        </w:tc>
        <w:tc>
          <w:tcPr>
            <w:tcW w:w="11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7E08253D" w14:textId="77777777" w:rsidR="00AF7F17" w:rsidRDefault="00000000">
            <w:pPr>
              <w:spacing w:after="0" w:line="220" w:lineRule="auto"/>
            </w:pPr>
            <w:r>
              <w:rPr>
                <w:sz w:val="17"/>
                <w:szCs w:val="17"/>
              </w:rPr>
              <w:t>Least privilege and data protection remain mandatory</w:t>
            </w:r>
          </w:p>
        </w:tc>
        <w:tc>
          <w:tcPr>
            <w:tcW w:w="17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19897E83" w14:textId="77777777" w:rsidR="00AF7F17" w:rsidRDefault="00000000">
            <w:pPr>
              <w:spacing w:after="0" w:line="220" w:lineRule="auto"/>
            </w:pPr>
            <w:r>
              <w:rPr>
                <w:sz w:val="17"/>
                <w:szCs w:val="17"/>
              </w:rPr>
              <w:t>Central authentication/authorisation middleware and RBAC policy</w:t>
            </w:r>
          </w:p>
        </w:tc>
        <w:tc>
          <w:tcPr>
            <w:tcW w:w="10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4AC72A0D" w14:textId="77777777" w:rsidR="00AF7F17" w:rsidRDefault="00000000">
            <w:pPr>
              <w:spacing w:after="0" w:line="220" w:lineRule="auto"/>
            </w:pPr>
            <w:r>
              <w:rPr>
                <w:sz w:val="17"/>
                <w:szCs w:val="17"/>
              </w:rPr>
              <w:t>Proposed</w:t>
            </w:r>
          </w:p>
        </w:tc>
      </w:tr>
      <w:tr w:rsidR="00AF7F17" w14:paraId="034D9BF3" w14:textId="77777777">
        <w:tblPrEx>
          <w:tblCellMar>
            <w:top w:w="0" w:type="dxa"/>
            <w:bottom w:w="0" w:type="dxa"/>
          </w:tblCellMar>
        </w:tblPrEx>
        <w:trPr>
          <w:cantSplit/>
        </w:trPr>
        <w:tc>
          <w:tcPr>
            <w:tcW w:w="11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38D6145B" w14:textId="77777777" w:rsidR="00AF7F17" w:rsidRDefault="00000000">
            <w:pPr>
              <w:spacing w:after="0" w:line="220" w:lineRule="auto"/>
            </w:pPr>
            <w:r>
              <w:rPr>
                <w:sz w:val="17"/>
                <w:szCs w:val="17"/>
              </w:rPr>
              <w:t>CON-008: compare technology options</w:t>
            </w:r>
          </w:p>
        </w:tc>
        <w:tc>
          <w:tcPr>
            <w:tcW w:w="11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07D7B37D" w14:textId="77777777" w:rsidR="00AF7F17" w:rsidRDefault="00000000">
            <w:pPr>
              <w:spacing w:after="0" w:line="220" w:lineRule="auto"/>
            </w:pPr>
            <w:r>
              <w:rPr>
                <w:sz w:val="17"/>
                <w:szCs w:val="17"/>
              </w:rPr>
              <w:t>Selection requires evidence and trade-offs</w:t>
            </w:r>
          </w:p>
        </w:tc>
        <w:tc>
          <w:tcPr>
            <w:tcW w:w="17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790D805F" w14:textId="77777777" w:rsidR="00AF7F17" w:rsidRDefault="00000000">
            <w:pPr>
              <w:spacing w:after="0" w:line="220" w:lineRule="auto"/>
            </w:pPr>
            <w:r>
              <w:rPr>
                <w:sz w:val="17"/>
                <w:szCs w:val="17"/>
              </w:rPr>
              <w:t>Alternatives compared in Sections 4 and 6</w:t>
            </w:r>
          </w:p>
        </w:tc>
        <w:tc>
          <w:tcPr>
            <w:tcW w:w="10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1602C509" w14:textId="77777777" w:rsidR="00AF7F17" w:rsidRDefault="00000000">
            <w:pPr>
              <w:spacing w:after="0" w:line="220" w:lineRule="auto"/>
            </w:pPr>
            <w:r>
              <w:rPr>
                <w:sz w:val="17"/>
                <w:szCs w:val="17"/>
              </w:rPr>
              <w:t>Complete</w:t>
            </w:r>
          </w:p>
        </w:tc>
      </w:tr>
      <w:tr w:rsidR="00AF7F17" w14:paraId="17BBF983" w14:textId="77777777">
        <w:tblPrEx>
          <w:tblCellMar>
            <w:top w:w="0" w:type="dxa"/>
            <w:bottom w:w="0" w:type="dxa"/>
          </w:tblCellMar>
        </w:tblPrEx>
        <w:trPr>
          <w:cantSplit/>
        </w:trPr>
        <w:tc>
          <w:tcPr>
            <w:tcW w:w="11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53647D29" w14:textId="77777777" w:rsidR="00AF7F17" w:rsidRDefault="00000000">
            <w:pPr>
              <w:spacing w:after="0" w:line="220" w:lineRule="auto"/>
            </w:pPr>
            <w:r>
              <w:rPr>
                <w:sz w:val="17"/>
                <w:szCs w:val="17"/>
              </w:rPr>
              <w:t>RISK-001: unfamiliar stack</w:t>
            </w:r>
          </w:p>
        </w:tc>
        <w:tc>
          <w:tcPr>
            <w:tcW w:w="11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51227D77" w14:textId="77777777" w:rsidR="00AF7F17" w:rsidRDefault="00000000">
            <w:pPr>
              <w:spacing w:after="0" w:line="220" w:lineRule="auto"/>
            </w:pPr>
            <w:r>
              <w:rPr>
                <w:sz w:val="17"/>
                <w:szCs w:val="17"/>
              </w:rPr>
              <w:t>Learning curve can threaten delivery</w:t>
            </w:r>
          </w:p>
        </w:tc>
        <w:tc>
          <w:tcPr>
            <w:tcW w:w="17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33341A78" w14:textId="77777777" w:rsidR="00AF7F17" w:rsidRDefault="00000000">
            <w:pPr>
              <w:spacing w:after="0" w:line="220" w:lineRule="auto"/>
            </w:pPr>
            <w:r>
              <w:rPr>
                <w:sz w:val="17"/>
                <w:szCs w:val="17"/>
              </w:rPr>
              <w:t xml:space="preserve">Shared JavaScript runtime reduces language switching; </w:t>
            </w:r>
            <w:proofErr w:type="spellStart"/>
            <w:r>
              <w:rPr>
                <w:sz w:val="17"/>
                <w:szCs w:val="17"/>
              </w:rPr>
              <w:t>PoCs</w:t>
            </w:r>
            <w:proofErr w:type="spellEnd"/>
            <w:r>
              <w:rPr>
                <w:sz w:val="17"/>
                <w:szCs w:val="17"/>
              </w:rPr>
              <w:t xml:space="preserve"> gate confirmation</w:t>
            </w:r>
          </w:p>
        </w:tc>
        <w:tc>
          <w:tcPr>
            <w:tcW w:w="10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70E83812" w14:textId="77777777" w:rsidR="00AF7F17" w:rsidRDefault="00000000">
            <w:pPr>
              <w:spacing w:after="0" w:line="220" w:lineRule="auto"/>
            </w:pPr>
            <w:r>
              <w:rPr>
                <w:sz w:val="17"/>
                <w:szCs w:val="17"/>
              </w:rPr>
              <w:t>Open — mitigation planned</w:t>
            </w:r>
          </w:p>
        </w:tc>
      </w:tr>
      <w:tr w:rsidR="00AF7F17" w14:paraId="743D09BC" w14:textId="77777777">
        <w:tblPrEx>
          <w:tblCellMar>
            <w:top w:w="0" w:type="dxa"/>
            <w:bottom w:w="0" w:type="dxa"/>
          </w:tblCellMar>
        </w:tblPrEx>
        <w:trPr>
          <w:cantSplit/>
        </w:trPr>
        <w:tc>
          <w:tcPr>
            <w:tcW w:w="11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215FCA84" w14:textId="77777777" w:rsidR="00AF7F17" w:rsidRDefault="00000000">
            <w:pPr>
              <w:spacing w:after="0" w:line="220" w:lineRule="auto"/>
            </w:pPr>
            <w:r>
              <w:rPr>
                <w:sz w:val="17"/>
                <w:szCs w:val="17"/>
              </w:rPr>
              <w:t>NFR-007/008: integrity and auditability</w:t>
            </w:r>
          </w:p>
        </w:tc>
        <w:tc>
          <w:tcPr>
            <w:tcW w:w="11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72E8FF12" w14:textId="77777777" w:rsidR="00AF7F17" w:rsidRDefault="00000000">
            <w:pPr>
              <w:spacing w:after="0" w:line="220" w:lineRule="auto"/>
            </w:pPr>
            <w:r>
              <w:rPr>
                <w:sz w:val="17"/>
                <w:szCs w:val="17"/>
              </w:rPr>
              <w:t>No partial records; complete actor/action/time history</w:t>
            </w:r>
          </w:p>
        </w:tc>
        <w:tc>
          <w:tcPr>
            <w:tcW w:w="17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6F8E3C90" w14:textId="77777777" w:rsidR="00AF7F17" w:rsidRDefault="00000000">
            <w:pPr>
              <w:spacing w:after="0" w:line="220" w:lineRule="auto"/>
            </w:pPr>
            <w:r>
              <w:rPr>
                <w:sz w:val="17"/>
                <w:szCs w:val="17"/>
              </w:rPr>
              <w:t>PostgreSQL transactions and append-only audit path</w:t>
            </w:r>
          </w:p>
        </w:tc>
        <w:tc>
          <w:tcPr>
            <w:tcW w:w="10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3EB65739" w14:textId="77777777" w:rsidR="00AF7F17" w:rsidRDefault="00000000">
            <w:pPr>
              <w:spacing w:after="0" w:line="220" w:lineRule="auto"/>
            </w:pPr>
            <w:r>
              <w:rPr>
                <w:sz w:val="17"/>
                <w:szCs w:val="17"/>
              </w:rPr>
              <w:t>Proposed</w:t>
            </w:r>
          </w:p>
        </w:tc>
      </w:tr>
      <w:tr w:rsidR="00AF7F17" w14:paraId="7F93854B" w14:textId="77777777">
        <w:tblPrEx>
          <w:tblCellMar>
            <w:top w:w="0" w:type="dxa"/>
            <w:bottom w:w="0" w:type="dxa"/>
          </w:tblCellMar>
        </w:tblPrEx>
        <w:trPr>
          <w:cantSplit/>
        </w:trPr>
        <w:tc>
          <w:tcPr>
            <w:tcW w:w="11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64AB5DF1" w14:textId="77777777" w:rsidR="00AF7F17" w:rsidRDefault="00000000">
            <w:pPr>
              <w:spacing w:after="0" w:line="220" w:lineRule="auto"/>
            </w:pPr>
            <w:r>
              <w:rPr>
                <w:sz w:val="17"/>
                <w:szCs w:val="17"/>
              </w:rPr>
              <w:lastRenderedPageBreak/>
              <w:t>NFR-012: maintainability</w:t>
            </w:r>
          </w:p>
        </w:tc>
        <w:tc>
          <w:tcPr>
            <w:tcW w:w="11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1D3FCF14" w14:textId="77777777" w:rsidR="00AF7F17" w:rsidRDefault="00000000">
            <w:pPr>
              <w:spacing w:after="0" w:line="220" w:lineRule="auto"/>
            </w:pPr>
            <w:r>
              <w:rPr>
                <w:sz w:val="17"/>
                <w:szCs w:val="17"/>
              </w:rPr>
              <w:t>Reviewed and checked changes</w:t>
            </w:r>
          </w:p>
        </w:tc>
        <w:tc>
          <w:tcPr>
            <w:tcW w:w="17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33F7F4A7" w14:textId="77777777" w:rsidR="00AF7F17" w:rsidRDefault="00000000">
            <w:pPr>
              <w:spacing w:after="0" w:line="220" w:lineRule="auto"/>
            </w:pPr>
            <w:r>
              <w:rPr>
                <w:sz w:val="17"/>
                <w:szCs w:val="17"/>
              </w:rPr>
              <w:t>Module rules plus protected-main CI workflow</w:t>
            </w:r>
          </w:p>
        </w:tc>
        <w:tc>
          <w:tcPr>
            <w:tcW w:w="10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4A7181F6" w14:textId="77777777" w:rsidR="00AF7F17" w:rsidRDefault="00000000">
            <w:pPr>
              <w:spacing w:after="0" w:line="220" w:lineRule="auto"/>
            </w:pPr>
            <w:r>
              <w:rPr>
                <w:sz w:val="17"/>
                <w:szCs w:val="17"/>
              </w:rPr>
              <w:t>Planned evidence</w:t>
            </w:r>
          </w:p>
        </w:tc>
      </w:tr>
    </w:tbl>
    <w:p w14:paraId="596D80A9" w14:textId="77777777" w:rsidR="00AF7F17" w:rsidRDefault="00000000">
      <w:pPr>
        <w:pStyle w:val="Heading1"/>
      </w:pPr>
      <w:r>
        <w:t>3. Architecture-significant requirements and quality drivers</w:t>
      </w:r>
    </w:p>
    <w:p w14:paraId="58EDBB52" w14:textId="77777777" w:rsidR="00AF7F17" w:rsidRDefault="00000000">
      <w:pPr>
        <w:jc w:val="both"/>
      </w:pPr>
      <w:r>
        <w:t xml:space="preserve">An architecture-significant requirement (ASR) is a requirement whose satisfaction materially changes structure, technology, boundaries or deployment. The quality drivers below were derived from the M1 FRs, NFRs, constraints and risks rather than treated as generic desirable qualities. Web systems need explicit attention to quality and reliable, rapid updates; architecture should therefore make those qualities visible and verifiable (Offutt, 2002; </w:t>
      </w:r>
      <w:proofErr w:type="spellStart"/>
      <w:r>
        <w:t>CivicConnect</w:t>
      </w:r>
      <w:proofErr w:type="spellEnd"/>
      <w:r>
        <w:t xml:space="preserve"> Team, 2026a).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0"/>
        <w:gridCol w:w="3212"/>
        <w:gridCol w:w="3841"/>
        <w:gridCol w:w="2063"/>
      </w:tblGrid>
      <w:tr w:rsidR="00AF7F17" w14:paraId="627E87F6" w14:textId="77777777">
        <w:tblPrEx>
          <w:tblCellMar>
            <w:top w:w="0" w:type="dxa"/>
            <w:bottom w:w="0" w:type="dxa"/>
          </w:tblCellMar>
        </w:tblPrEx>
        <w:trPr>
          <w:cantSplit/>
          <w:tblHeader/>
        </w:trPr>
        <w:tc>
          <w:tcPr>
            <w:tcW w:w="600" w:type="pct"/>
            <w:tcBorders>
              <w:top w:val="single" w:sz="4" w:space="0" w:color="C7D0D8"/>
              <w:left w:val="single" w:sz="4" w:space="0" w:color="C7D0D8"/>
              <w:bottom w:val="single" w:sz="4" w:space="0" w:color="C7D0D8"/>
              <w:right w:val="single" w:sz="4" w:space="0" w:color="C7D0D8"/>
            </w:tcBorders>
            <w:shd w:val="clear" w:color="auto" w:fill="17324D"/>
            <w:tcMar>
              <w:top w:w="90" w:type="dxa"/>
              <w:left w:w="95" w:type="dxa"/>
              <w:bottom w:w="90" w:type="dxa"/>
              <w:right w:w="95" w:type="dxa"/>
            </w:tcMar>
            <w:vAlign w:val="center"/>
          </w:tcPr>
          <w:p w14:paraId="33381028" w14:textId="77777777" w:rsidR="00AF7F17" w:rsidRDefault="00000000">
            <w:pPr>
              <w:spacing w:after="0"/>
            </w:pPr>
            <w:r>
              <w:rPr>
                <w:b/>
                <w:bCs/>
                <w:color w:val="FFFFFF"/>
                <w:sz w:val="18"/>
                <w:szCs w:val="18"/>
              </w:rPr>
              <w:t>ASR</w:t>
            </w:r>
          </w:p>
        </w:tc>
        <w:tc>
          <w:tcPr>
            <w:tcW w:w="1550" w:type="pct"/>
            <w:tcBorders>
              <w:top w:val="single" w:sz="4" w:space="0" w:color="C7D0D8"/>
              <w:left w:val="single" w:sz="4" w:space="0" w:color="C7D0D8"/>
              <w:bottom w:val="single" w:sz="4" w:space="0" w:color="C7D0D8"/>
              <w:right w:val="single" w:sz="4" w:space="0" w:color="C7D0D8"/>
            </w:tcBorders>
            <w:shd w:val="clear" w:color="auto" w:fill="17324D"/>
            <w:tcMar>
              <w:top w:w="90" w:type="dxa"/>
              <w:left w:w="95" w:type="dxa"/>
              <w:bottom w:w="90" w:type="dxa"/>
              <w:right w:w="95" w:type="dxa"/>
            </w:tcMar>
            <w:vAlign w:val="center"/>
          </w:tcPr>
          <w:p w14:paraId="08D0A06E" w14:textId="77777777" w:rsidR="00AF7F17" w:rsidRDefault="00000000">
            <w:pPr>
              <w:spacing w:after="0"/>
            </w:pPr>
            <w:r>
              <w:rPr>
                <w:b/>
                <w:bCs/>
                <w:color w:val="FFFFFF"/>
                <w:sz w:val="18"/>
                <w:szCs w:val="18"/>
              </w:rPr>
              <w:t>Source and measurable expectation</w:t>
            </w:r>
          </w:p>
        </w:tc>
        <w:tc>
          <w:tcPr>
            <w:tcW w:w="1850" w:type="pct"/>
            <w:tcBorders>
              <w:top w:val="single" w:sz="4" w:space="0" w:color="C7D0D8"/>
              <w:left w:val="single" w:sz="4" w:space="0" w:color="C7D0D8"/>
              <w:bottom w:val="single" w:sz="4" w:space="0" w:color="C7D0D8"/>
              <w:right w:val="single" w:sz="4" w:space="0" w:color="C7D0D8"/>
            </w:tcBorders>
            <w:shd w:val="clear" w:color="auto" w:fill="17324D"/>
            <w:tcMar>
              <w:top w:w="90" w:type="dxa"/>
              <w:left w:w="95" w:type="dxa"/>
              <w:bottom w:w="90" w:type="dxa"/>
              <w:right w:w="95" w:type="dxa"/>
            </w:tcMar>
            <w:vAlign w:val="center"/>
          </w:tcPr>
          <w:p w14:paraId="46A763E4" w14:textId="77777777" w:rsidR="00AF7F17" w:rsidRDefault="00000000">
            <w:pPr>
              <w:spacing w:after="0"/>
            </w:pPr>
            <w:r>
              <w:rPr>
                <w:b/>
                <w:bCs/>
                <w:color w:val="FFFFFF"/>
                <w:sz w:val="18"/>
                <w:szCs w:val="18"/>
              </w:rPr>
              <w:t>Architectural response</w:t>
            </w:r>
          </w:p>
        </w:tc>
        <w:tc>
          <w:tcPr>
            <w:tcW w:w="1000" w:type="pct"/>
            <w:tcBorders>
              <w:top w:val="single" w:sz="4" w:space="0" w:color="C7D0D8"/>
              <w:left w:val="single" w:sz="4" w:space="0" w:color="C7D0D8"/>
              <w:bottom w:val="single" w:sz="4" w:space="0" w:color="C7D0D8"/>
              <w:right w:val="single" w:sz="4" w:space="0" w:color="C7D0D8"/>
            </w:tcBorders>
            <w:shd w:val="clear" w:color="auto" w:fill="17324D"/>
            <w:tcMar>
              <w:top w:w="90" w:type="dxa"/>
              <w:left w:w="95" w:type="dxa"/>
              <w:bottom w:w="90" w:type="dxa"/>
              <w:right w:w="95" w:type="dxa"/>
            </w:tcMar>
            <w:vAlign w:val="center"/>
          </w:tcPr>
          <w:p w14:paraId="1EB00A0E" w14:textId="77777777" w:rsidR="00AF7F17" w:rsidRDefault="00000000">
            <w:pPr>
              <w:spacing w:after="0"/>
            </w:pPr>
            <w:r>
              <w:rPr>
                <w:b/>
                <w:bCs/>
                <w:color w:val="FFFFFF"/>
                <w:sz w:val="18"/>
                <w:szCs w:val="18"/>
              </w:rPr>
              <w:t>Priority / trade-off</w:t>
            </w:r>
          </w:p>
        </w:tc>
      </w:tr>
      <w:tr w:rsidR="00AF7F17" w14:paraId="7AE4A999" w14:textId="77777777">
        <w:tblPrEx>
          <w:tblCellMar>
            <w:top w:w="0" w:type="dxa"/>
            <w:bottom w:w="0" w:type="dxa"/>
          </w:tblCellMar>
        </w:tblPrEx>
        <w:trPr>
          <w:cantSplit/>
        </w:trPr>
        <w:tc>
          <w:tcPr>
            <w:tcW w:w="6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2B32D025" w14:textId="77777777" w:rsidR="00AF7F17" w:rsidRDefault="00000000">
            <w:pPr>
              <w:spacing w:after="0" w:line="220" w:lineRule="auto"/>
            </w:pPr>
            <w:r>
              <w:rPr>
                <w:sz w:val="17"/>
                <w:szCs w:val="17"/>
              </w:rPr>
              <w:t>ASR-01 Security and privacy</w:t>
            </w:r>
          </w:p>
        </w:tc>
        <w:tc>
          <w:tcPr>
            <w:tcW w:w="15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5767E4DF" w14:textId="77777777" w:rsidR="00AF7F17" w:rsidRDefault="00000000">
            <w:pPr>
              <w:spacing w:after="0" w:line="220" w:lineRule="auto"/>
            </w:pPr>
            <w:r>
              <w:rPr>
                <w:sz w:val="17"/>
                <w:szCs w:val="17"/>
              </w:rPr>
              <w:t>NFR-001/002; 100% of unauthorised access attempts denied; no sensitive content in prohibited views, logs or errors</w:t>
            </w:r>
          </w:p>
        </w:tc>
        <w:tc>
          <w:tcPr>
            <w:tcW w:w="18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47C41926" w14:textId="77777777" w:rsidR="00AF7F17" w:rsidRDefault="00000000">
            <w:pPr>
              <w:spacing w:after="0" w:line="220" w:lineRule="auto"/>
            </w:pPr>
            <w:r>
              <w:rPr>
                <w:sz w:val="17"/>
                <w:szCs w:val="17"/>
              </w:rPr>
              <w:t>Central authentication middleware; role-policy service; least-privilege checks at API and service boundaries; log redaction</w:t>
            </w:r>
          </w:p>
        </w:tc>
        <w:tc>
          <w:tcPr>
            <w:tcW w:w="10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4905B45A" w14:textId="77777777" w:rsidR="00AF7F17" w:rsidRDefault="00000000">
            <w:pPr>
              <w:spacing w:after="0" w:line="220" w:lineRule="auto"/>
            </w:pPr>
            <w:r>
              <w:rPr>
                <w:sz w:val="17"/>
                <w:szCs w:val="17"/>
              </w:rPr>
              <w:t>Critical. Extra checks are accepted over marginal latency.</w:t>
            </w:r>
          </w:p>
        </w:tc>
      </w:tr>
      <w:tr w:rsidR="00AF7F17" w14:paraId="43F030FB" w14:textId="77777777">
        <w:tblPrEx>
          <w:tblCellMar>
            <w:top w:w="0" w:type="dxa"/>
            <w:bottom w:w="0" w:type="dxa"/>
          </w:tblCellMar>
        </w:tblPrEx>
        <w:trPr>
          <w:cantSplit/>
        </w:trPr>
        <w:tc>
          <w:tcPr>
            <w:tcW w:w="6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314B48AC" w14:textId="77777777" w:rsidR="00AF7F17" w:rsidRDefault="00000000">
            <w:pPr>
              <w:spacing w:after="0" w:line="220" w:lineRule="auto"/>
            </w:pPr>
            <w:r>
              <w:rPr>
                <w:sz w:val="17"/>
                <w:szCs w:val="17"/>
              </w:rPr>
              <w:t>ASR-02 Integrity</w:t>
            </w:r>
          </w:p>
        </w:tc>
        <w:tc>
          <w:tcPr>
            <w:tcW w:w="15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302FAC27" w14:textId="77777777" w:rsidR="00AF7F17" w:rsidRDefault="00000000">
            <w:pPr>
              <w:spacing w:after="0" w:line="220" w:lineRule="auto"/>
            </w:pPr>
            <w:r>
              <w:rPr>
                <w:sz w:val="17"/>
                <w:szCs w:val="17"/>
              </w:rPr>
              <w:t>NFR-007; zero duplicate references; failed operations create no partial request or unmatched history</w:t>
            </w:r>
          </w:p>
        </w:tc>
        <w:tc>
          <w:tcPr>
            <w:tcW w:w="18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2FEC1A74" w14:textId="77777777" w:rsidR="00AF7F17" w:rsidRDefault="00000000">
            <w:pPr>
              <w:spacing w:after="0" w:line="220" w:lineRule="auto"/>
            </w:pPr>
            <w:r>
              <w:rPr>
                <w:sz w:val="17"/>
                <w:szCs w:val="17"/>
              </w:rPr>
              <w:t>PostgreSQL transaction for request + initial history; uniqueness and foreign-key constraints; rollback on failure</w:t>
            </w:r>
          </w:p>
        </w:tc>
        <w:tc>
          <w:tcPr>
            <w:tcW w:w="10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0FBF9628" w14:textId="77777777" w:rsidR="00AF7F17" w:rsidRDefault="00000000">
            <w:pPr>
              <w:spacing w:after="0" w:line="220" w:lineRule="auto"/>
            </w:pPr>
            <w:r>
              <w:rPr>
                <w:sz w:val="17"/>
                <w:szCs w:val="17"/>
              </w:rPr>
              <w:t>Critical. Strong consistency is selected over eventual consistency.</w:t>
            </w:r>
          </w:p>
        </w:tc>
      </w:tr>
      <w:tr w:rsidR="00AF7F17" w14:paraId="5316F84B" w14:textId="77777777">
        <w:tblPrEx>
          <w:tblCellMar>
            <w:top w:w="0" w:type="dxa"/>
            <w:bottom w:w="0" w:type="dxa"/>
          </w:tblCellMar>
        </w:tblPrEx>
        <w:trPr>
          <w:cantSplit/>
        </w:trPr>
        <w:tc>
          <w:tcPr>
            <w:tcW w:w="6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7093ECB7" w14:textId="77777777" w:rsidR="00AF7F17" w:rsidRDefault="00000000">
            <w:pPr>
              <w:spacing w:after="0" w:line="220" w:lineRule="auto"/>
            </w:pPr>
            <w:r>
              <w:rPr>
                <w:sz w:val="17"/>
                <w:szCs w:val="17"/>
              </w:rPr>
              <w:t>ASR-03 Auditability</w:t>
            </w:r>
          </w:p>
        </w:tc>
        <w:tc>
          <w:tcPr>
            <w:tcW w:w="15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75ED1905" w14:textId="77777777" w:rsidR="00AF7F17" w:rsidRDefault="00000000">
            <w:pPr>
              <w:spacing w:after="0" w:line="220" w:lineRule="auto"/>
            </w:pPr>
            <w:r>
              <w:rPr>
                <w:sz w:val="17"/>
                <w:szCs w:val="17"/>
              </w:rPr>
              <w:t>FR-017 and NFR-008; actor, action, record and time captured for all required events</w:t>
            </w:r>
          </w:p>
        </w:tc>
        <w:tc>
          <w:tcPr>
            <w:tcW w:w="18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23E5CE6D" w14:textId="77777777" w:rsidR="00AF7F17" w:rsidRDefault="00000000">
            <w:pPr>
              <w:spacing w:after="0" w:line="220" w:lineRule="auto"/>
            </w:pPr>
            <w:r>
              <w:rPr>
                <w:sz w:val="17"/>
                <w:szCs w:val="17"/>
              </w:rPr>
              <w:t>Dedicated audit/history module; append-only writes in the same transaction where correctness requires it</w:t>
            </w:r>
          </w:p>
        </w:tc>
        <w:tc>
          <w:tcPr>
            <w:tcW w:w="10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422CFDF2" w14:textId="77777777" w:rsidR="00AF7F17" w:rsidRDefault="00000000">
            <w:pPr>
              <w:spacing w:after="0" w:line="220" w:lineRule="auto"/>
            </w:pPr>
            <w:r>
              <w:rPr>
                <w:sz w:val="17"/>
                <w:szCs w:val="17"/>
              </w:rPr>
              <w:t>Critical. Storage growth is accepted and managed through retention/indexing.</w:t>
            </w:r>
          </w:p>
        </w:tc>
      </w:tr>
      <w:tr w:rsidR="00AF7F17" w14:paraId="35B880BD" w14:textId="77777777">
        <w:tblPrEx>
          <w:tblCellMar>
            <w:top w:w="0" w:type="dxa"/>
            <w:bottom w:w="0" w:type="dxa"/>
          </w:tblCellMar>
        </w:tblPrEx>
        <w:trPr>
          <w:cantSplit/>
        </w:trPr>
        <w:tc>
          <w:tcPr>
            <w:tcW w:w="6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334024BF" w14:textId="77777777" w:rsidR="00AF7F17" w:rsidRDefault="00000000">
            <w:pPr>
              <w:spacing w:after="0" w:line="220" w:lineRule="auto"/>
            </w:pPr>
            <w:r>
              <w:rPr>
                <w:sz w:val="17"/>
                <w:szCs w:val="17"/>
              </w:rPr>
              <w:t>ASR-04 Performance and scale</w:t>
            </w:r>
          </w:p>
        </w:tc>
        <w:tc>
          <w:tcPr>
            <w:tcW w:w="15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3ECE8283" w14:textId="77777777" w:rsidR="00AF7F17" w:rsidRDefault="00000000">
            <w:pPr>
              <w:spacing w:after="0" w:line="220" w:lineRule="auto"/>
            </w:pPr>
            <w:r>
              <w:rPr>
                <w:sz w:val="17"/>
                <w:szCs w:val="17"/>
              </w:rPr>
              <w:t>NFR-003; 10,000 requests / 50 concurrent users; 95% core actions &lt;2s; summaries &lt;5s</w:t>
            </w:r>
          </w:p>
        </w:tc>
        <w:tc>
          <w:tcPr>
            <w:tcW w:w="18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1371AE3D" w14:textId="77777777" w:rsidR="00AF7F17" w:rsidRDefault="00000000">
            <w:pPr>
              <w:spacing w:after="0" w:line="220" w:lineRule="auto"/>
            </w:pPr>
            <w:r>
              <w:rPr>
                <w:sz w:val="17"/>
                <w:szCs w:val="17"/>
              </w:rPr>
              <w:t>Stateless API where practical; indexed queries; pagination; measured React bundle; database connection pool</w:t>
            </w:r>
          </w:p>
        </w:tc>
        <w:tc>
          <w:tcPr>
            <w:tcW w:w="10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0B361B0D" w14:textId="77777777" w:rsidR="00AF7F17" w:rsidRDefault="00000000">
            <w:pPr>
              <w:spacing w:after="0" w:line="220" w:lineRule="auto"/>
            </w:pPr>
            <w:r>
              <w:rPr>
                <w:sz w:val="17"/>
                <w:szCs w:val="17"/>
              </w:rPr>
              <w:t>High. Optimise after profiling, not by adding distributed services prematurely.</w:t>
            </w:r>
          </w:p>
        </w:tc>
      </w:tr>
      <w:tr w:rsidR="00AF7F17" w14:paraId="3BD5810E" w14:textId="77777777">
        <w:tblPrEx>
          <w:tblCellMar>
            <w:top w:w="0" w:type="dxa"/>
            <w:bottom w:w="0" w:type="dxa"/>
          </w:tblCellMar>
        </w:tblPrEx>
        <w:trPr>
          <w:cantSplit/>
        </w:trPr>
        <w:tc>
          <w:tcPr>
            <w:tcW w:w="6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022FA349" w14:textId="77777777" w:rsidR="00AF7F17" w:rsidRDefault="00000000">
            <w:pPr>
              <w:spacing w:after="0" w:line="220" w:lineRule="auto"/>
            </w:pPr>
            <w:r>
              <w:rPr>
                <w:sz w:val="17"/>
                <w:szCs w:val="17"/>
              </w:rPr>
              <w:t>ASR-05 Maintainability and testability</w:t>
            </w:r>
          </w:p>
        </w:tc>
        <w:tc>
          <w:tcPr>
            <w:tcW w:w="15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7897EC13" w14:textId="77777777" w:rsidR="00AF7F17" w:rsidRDefault="00000000">
            <w:pPr>
              <w:spacing w:after="0" w:line="220" w:lineRule="auto"/>
            </w:pPr>
            <w:r>
              <w:rPr>
                <w:sz w:val="17"/>
                <w:szCs w:val="17"/>
              </w:rPr>
              <w:t>NFR-009/012; each Must Have linked to a test; reviewed changes and automated checks</w:t>
            </w:r>
          </w:p>
        </w:tc>
        <w:tc>
          <w:tcPr>
            <w:tcW w:w="18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77489CD2" w14:textId="77777777" w:rsidR="00AF7F17" w:rsidRDefault="00000000">
            <w:pPr>
              <w:spacing w:after="0" w:line="220" w:lineRule="auto"/>
            </w:pPr>
            <w:r>
              <w:rPr>
                <w:sz w:val="17"/>
                <w:szCs w:val="17"/>
              </w:rPr>
              <w:t>Layered modules; dependency rules; unit/service/API tests; CI quality gates</w:t>
            </w:r>
          </w:p>
        </w:tc>
        <w:tc>
          <w:tcPr>
            <w:tcW w:w="10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37B5283D" w14:textId="77777777" w:rsidR="00AF7F17" w:rsidRDefault="00000000">
            <w:pPr>
              <w:spacing w:after="0" w:line="220" w:lineRule="auto"/>
            </w:pPr>
            <w:r>
              <w:rPr>
                <w:sz w:val="17"/>
                <w:szCs w:val="17"/>
              </w:rPr>
              <w:t>High. Some interface boilerplate is accepted to preserve boundaries.</w:t>
            </w:r>
          </w:p>
        </w:tc>
      </w:tr>
      <w:tr w:rsidR="00AF7F17" w14:paraId="7A13D190" w14:textId="77777777">
        <w:tblPrEx>
          <w:tblCellMar>
            <w:top w:w="0" w:type="dxa"/>
            <w:bottom w:w="0" w:type="dxa"/>
          </w:tblCellMar>
        </w:tblPrEx>
        <w:trPr>
          <w:cantSplit/>
        </w:trPr>
        <w:tc>
          <w:tcPr>
            <w:tcW w:w="6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08C4C836" w14:textId="77777777" w:rsidR="00AF7F17" w:rsidRDefault="00000000">
            <w:pPr>
              <w:spacing w:after="0" w:line="220" w:lineRule="auto"/>
            </w:pPr>
            <w:r>
              <w:rPr>
                <w:sz w:val="17"/>
                <w:szCs w:val="17"/>
              </w:rPr>
              <w:t>ASR-06 Availability and recovery</w:t>
            </w:r>
          </w:p>
        </w:tc>
        <w:tc>
          <w:tcPr>
            <w:tcW w:w="15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00417618" w14:textId="77777777" w:rsidR="00AF7F17" w:rsidRDefault="00000000">
            <w:pPr>
              <w:spacing w:after="0" w:line="220" w:lineRule="auto"/>
            </w:pPr>
            <w:r>
              <w:rPr>
                <w:sz w:val="17"/>
                <w:szCs w:val="17"/>
              </w:rPr>
              <w:t>NFR-010/011; 99% production availability; daily backups; RPO ≤24h; RTO ≤4h</w:t>
            </w:r>
          </w:p>
        </w:tc>
        <w:tc>
          <w:tcPr>
            <w:tcW w:w="18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6A5C2C37" w14:textId="77777777" w:rsidR="00AF7F17" w:rsidRDefault="00000000">
            <w:pPr>
              <w:spacing w:after="0" w:line="220" w:lineRule="auto"/>
            </w:pPr>
            <w:r>
              <w:rPr>
                <w:sz w:val="17"/>
                <w:szCs w:val="17"/>
              </w:rPr>
              <w:t>Health endpoint; automated deployment rollback; scheduled backups and restore rehearsal</w:t>
            </w:r>
          </w:p>
        </w:tc>
        <w:tc>
          <w:tcPr>
            <w:tcW w:w="10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6D192E58" w14:textId="77777777" w:rsidR="00AF7F17" w:rsidRDefault="00000000">
            <w:pPr>
              <w:spacing w:after="0" w:line="220" w:lineRule="auto"/>
            </w:pPr>
            <w:r>
              <w:rPr>
                <w:sz w:val="17"/>
                <w:szCs w:val="17"/>
              </w:rPr>
              <w:t>Should. Single instance is acceptable initially if monitoring and recovery evidence exist.</w:t>
            </w:r>
          </w:p>
        </w:tc>
      </w:tr>
      <w:tr w:rsidR="00AF7F17" w14:paraId="5A2AD848" w14:textId="77777777">
        <w:tblPrEx>
          <w:tblCellMar>
            <w:top w:w="0" w:type="dxa"/>
            <w:bottom w:w="0" w:type="dxa"/>
          </w:tblCellMar>
        </w:tblPrEx>
        <w:trPr>
          <w:cantSplit/>
        </w:trPr>
        <w:tc>
          <w:tcPr>
            <w:tcW w:w="6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655B7B38" w14:textId="77777777" w:rsidR="00AF7F17" w:rsidRDefault="00000000">
            <w:pPr>
              <w:spacing w:after="0" w:line="220" w:lineRule="auto"/>
            </w:pPr>
            <w:r>
              <w:rPr>
                <w:sz w:val="17"/>
                <w:szCs w:val="17"/>
              </w:rPr>
              <w:t>ASR-07 Accessibility and responsiveness</w:t>
            </w:r>
          </w:p>
        </w:tc>
        <w:tc>
          <w:tcPr>
            <w:tcW w:w="15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01930191" w14:textId="77777777" w:rsidR="00AF7F17" w:rsidRDefault="00000000">
            <w:pPr>
              <w:spacing w:after="0" w:line="220" w:lineRule="auto"/>
            </w:pPr>
            <w:r>
              <w:rPr>
                <w:sz w:val="17"/>
                <w:szCs w:val="17"/>
              </w:rPr>
              <w:t>NFR-005/006; WCAG 2.2 AA; 360/768/1280px on named browsers</w:t>
            </w:r>
          </w:p>
        </w:tc>
        <w:tc>
          <w:tcPr>
            <w:tcW w:w="18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7FAFD291" w14:textId="77777777" w:rsidR="00AF7F17" w:rsidRDefault="00000000">
            <w:pPr>
              <w:spacing w:after="0" w:line="220" w:lineRule="auto"/>
            </w:pPr>
            <w:r>
              <w:rPr>
                <w:sz w:val="17"/>
                <w:szCs w:val="17"/>
              </w:rPr>
              <w:t>Reusable accessible React components; responsive layout; automated and manual accessibility checks</w:t>
            </w:r>
          </w:p>
        </w:tc>
        <w:tc>
          <w:tcPr>
            <w:tcW w:w="10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172DFC0A" w14:textId="77777777" w:rsidR="00AF7F17" w:rsidRDefault="00000000">
            <w:pPr>
              <w:spacing w:after="0" w:line="220" w:lineRule="auto"/>
            </w:pPr>
            <w:r>
              <w:rPr>
                <w:sz w:val="17"/>
                <w:szCs w:val="17"/>
              </w:rPr>
              <w:t>High. UI consistency takes priority over one-off page customisation.</w:t>
            </w:r>
          </w:p>
        </w:tc>
      </w:tr>
    </w:tbl>
    <w:p w14:paraId="38B83B64" w14:textId="77777777" w:rsidR="00AF7F17" w:rsidRDefault="00000000">
      <w:pPr>
        <w:jc w:val="both"/>
      </w:pPr>
      <w:r>
        <w:t xml:space="preserve">Role-based access control associates privileges with roles and scales access-policy administration across many users. </w:t>
      </w:r>
      <w:proofErr w:type="spellStart"/>
      <w:r>
        <w:t>CivicConnect</w:t>
      </w:r>
      <w:proofErr w:type="spellEnd"/>
      <w:r>
        <w:t xml:space="preserve"> should therefore keep role and permission decisions in one policy component while still checking record-level context where a simple role is insufficient (Bacon, Moody and Yao, 2002).</w:t>
      </w:r>
    </w:p>
    <w:p w14:paraId="0ECB4120" w14:textId="77777777" w:rsidR="00AF7F17" w:rsidRDefault="00000000">
      <w:pPr>
        <w:jc w:val="both"/>
      </w:pPr>
      <w:r>
        <w:t>Security must remain traceable from requirements into design, implementation and verification activities. A security mapping approach is useful because it converts broad security expectations into operational steps and auditable evidence (Lee et al., 2025).</w:t>
      </w:r>
    </w:p>
    <w:p w14:paraId="268E1B47" w14:textId="77777777" w:rsidR="00AF7F17" w:rsidRDefault="00000000">
      <w:pPr>
        <w:pStyle w:val="Heading2"/>
      </w:pPr>
      <w:r>
        <w:t>3.1 Quality scenarios used for architecture evaluation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8"/>
        <w:gridCol w:w="3137"/>
        <w:gridCol w:w="3346"/>
        <w:gridCol w:w="2405"/>
      </w:tblGrid>
      <w:tr w:rsidR="00AF7F17" w14:paraId="02D6311C" w14:textId="77777777">
        <w:tblPrEx>
          <w:tblCellMar>
            <w:top w:w="0" w:type="dxa"/>
            <w:bottom w:w="0" w:type="dxa"/>
          </w:tblCellMar>
        </w:tblPrEx>
        <w:trPr>
          <w:cantSplit/>
          <w:tblHeader/>
        </w:trPr>
        <w:tc>
          <w:tcPr>
            <w:tcW w:w="750" w:type="pct"/>
            <w:tcBorders>
              <w:top w:val="single" w:sz="4" w:space="0" w:color="C7D0D8"/>
              <w:left w:val="single" w:sz="4" w:space="0" w:color="C7D0D8"/>
              <w:bottom w:val="single" w:sz="4" w:space="0" w:color="C7D0D8"/>
              <w:right w:val="single" w:sz="4" w:space="0" w:color="C7D0D8"/>
            </w:tcBorders>
            <w:shd w:val="clear" w:color="auto" w:fill="17324D"/>
            <w:tcMar>
              <w:top w:w="90" w:type="dxa"/>
              <w:left w:w="95" w:type="dxa"/>
              <w:bottom w:w="90" w:type="dxa"/>
              <w:right w:w="95" w:type="dxa"/>
            </w:tcMar>
            <w:vAlign w:val="center"/>
          </w:tcPr>
          <w:p w14:paraId="34B9448A" w14:textId="77777777" w:rsidR="00AF7F17" w:rsidRDefault="00000000">
            <w:pPr>
              <w:spacing w:after="0"/>
            </w:pPr>
            <w:r>
              <w:rPr>
                <w:b/>
                <w:bCs/>
                <w:color w:val="FFFFFF"/>
                <w:sz w:val="18"/>
                <w:szCs w:val="18"/>
              </w:rPr>
              <w:t>Driver</w:t>
            </w:r>
          </w:p>
        </w:tc>
        <w:tc>
          <w:tcPr>
            <w:tcW w:w="1500" w:type="pct"/>
            <w:tcBorders>
              <w:top w:val="single" w:sz="4" w:space="0" w:color="C7D0D8"/>
              <w:left w:val="single" w:sz="4" w:space="0" w:color="C7D0D8"/>
              <w:bottom w:val="single" w:sz="4" w:space="0" w:color="C7D0D8"/>
              <w:right w:val="single" w:sz="4" w:space="0" w:color="C7D0D8"/>
            </w:tcBorders>
            <w:shd w:val="clear" w:color="auto" w:fill="17324D"/>
            <w:tcMar>
              <w:top w:w="90" w:type="dxa"/>
              <w:left w:w="95" w:type="dxa"/>
              <w:bottom w:w="90" w:type="dxa"/>
              <w:right w:w="95" w:type="dxa"/>
            </w:tcMar>
            <w:vAlign w:val="center"/>
          </w:tcPr>
          <w:p w14:paraId="4287427E" w14:textId="77777777" w:rsidR="00AF7F17" w:rsidRDefault="00000000">
            <w:pPr>
              <w:spacing w:after="0"/>
            </w:pPr>
            <w:r>
              <w:rPr>
                <w:b/>
                <w:bCs/>
                <w:color w:val="FFFFFF"/>
                <w:sz w:val="18"/>
                <w:szCs w:val="18"/>
              </w:rPr>
              <w:t>Stimulus and environment</w:t>
            </w:r>
          </w:p>
        </w:tc>
        <w:tc>
          <w:tcPr>
            <w:tcW w:w="1600" w:type="pct"/>
            <w:tcBorders>
              <w:top w:val="single" w:sz="4" w:space="0" w:color="C7D0D8"/>
              <w:left w:val="single" w:sz="4" w:space="0" w:color="C7D0D8"/>
              <w:bottom w:val="single" w:sz="4" w:space="0" w:color="C7D0D8"/>
              <w:right w:val="single" w:sz="4" w:space="0" w:color="C7D0D8"/>
            </w:tcBorders>
            <w:shd w:val="clear" w:color="auto" w:fill="17324D"/>
            <w:tcMar>
              <w:top w:w="90" w:type="dxa"/>
              <w:left w:w="95" w:type="dxa"/>
              <w:bottom w:w="90" w:type="dxa"/>
              <w:right w:w="95" w:type="dxa"/>
            </w:tcMar>
            <w:vAlign w:val="center"/>
          </w:tcPr>
          <w:p w14:paraId="5A0EA5E0" w14:textId="77777777" w:rsidR="00AF7F17" w:rsidRDefault="00000000">
            <w:pPr>
              <w:spacing w:after="0"/>
            </w:pPr>
            <w:r>
              <w:rPr>
                <w:b/>
                <w:bCs/>
                <w:color w:val="FFFFFF"/>
                <w:sz w:val="18"/>
                <w:szCs w:val="18"/>
              </w:rPr>
              <w:t>Required response</w:t>
            </w:r>
          </w:p>
        </w:tc>
        <w:tc>
          <w:tcPr>
            <w:tcW w:w="1150" w:type="pct"/>
            <w:tcBorders>
              <w:top w:val="single" w:sz="4" w:space="0" w:color="C7D0D8"/>
              <w:left w:val="single" w:sz="4" w:space="0" w:color="C7D0D8"/>
              <w:bottom w:val="single" w:sz="4" w:space="0" w:color="C7D0D8"/>
              <w:right w:val="single" w:sz="4" w:space="0" w:color="C7D0D8"/>
            </w:tcBorders>
            <w:shd w:val="clear" w:color="auto" w:fill="17324D"/>
            <w:tcMar>
              <w:top w:w="90" w:type="dxa"/>
              <w:left w:w="95" w:type="dxa"/>
              <w:bottom w:w="90" w:type="dxa"/>
              <w:right w:w="95" w:type="dxa"/>
            </w:tcMar>
            <w:vAlign w:val="center"/>
          </w:tcPr>
          <w:p w14:paraId="7EFE74DD" w14:textId="77777777" w:rsidR="00AF7F17" w:rsidRDefault="00000000">
            <w:pPr>
              <w:spacing w:after="0"/>
            </w:pPr>
            <w:r>
              <w:rPr>
                <w:b/>
                <w:bCs/>
                <w:color w:val="FFFFFF"/>
                <w:sz w:val="18"/>
                <w:szCs w:val="18"/>
              </w:rPr>
              <w:t>Measure / evidence</w:t>
            </w:r>
          </w:p>
        </w:tc>
      </w:tr>
      <w:tr w:rsidR="00AF7F17" w14:paraId="5B2CEA20" w14:textId="77777777">
        <w:tblPrEx>
          <w:tblCellMar>
            <w:top w:w="0" w:type="dxa"/>
            <w:bottom w:w="0" w:type="dxa"/>
          </w:tblCellMar>
        </w:tblPrEx>
        <w:trPr>
          <w:cantSplit/>
        </w:trPr>
        <w:tc>
          <w:tcPr>
            <w:tcW w:w="7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6E26A528" w14:textId="77777777" w:rsidR="00AF7F17" w:rsidRDefault="00000000">
            <w:pPr>
              <w:spacing w:after="0" w:line="220" w:lineRule="auto"/>
            </w:pPr>
            <w:r>
              <w:rPr>
                <w:sz w:val="17"/>
                <w:szCs w:val="17"/>
              </w:rPr>
              <w:t>Security</w:t>
            </w:r>
          </w:p>
        </w:tc>
        <w:tc>
          <w:tcPr>
            <w:tcW w:w="15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5B9AF342" w14:textId="77777777" w:rsidR="00AF7F17" w:rsidRDefault="00000000">
            <w:pPr>
              <w:spacing w:after="0" w:line="220" w:lineRule="auto"/>
            </w:pPr>
            <w:r>
              <w:rPr>
                <w:sz w:val="17"/>
                <w:szCs w:val="17"/>
              </w:rPr>
              <w:t>A community user requests a staff-only endpoint in normal operation</w:t>
            </w:r>
          </w:p>
        </w:tc>
        <w:tc>
          <w:tcPr>
            <w:tcW w:w="16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627301F7" w14:textId="77777777" w:rsidR="00AF7F17" w:rsidRDefault="00000000">
            <w:pPr>
              <w:spacing w:after="0" w:line="220" w:lineRule="auto"/>
            </w:pPr>
            <w:r>
              <w:rPr>
                <w:sz w:val="17"/>
                <w:szCs w:val="17"/>
              </w:rPr>
              <w:t>API rejects before business operation; no sensitive payload is returned</w:t>
            </w:r>
          </w:p>
        </w:tc>
        <w:tc>
          <w:tcPr>
            <w:tcW w:w="11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711F5C82" w14:textId="77777777" w:rsidR="00AF7F17" w:rsidRDefault="00000000">
            <w:pPr>
              <w:spacing w:after="0" w:line="220" w:lineRule="auto"/>
            </w:pPr>
            <w:r>
              <w:rPr>
                <w:sz w:val="17"/>
                <w:szCs w:val="17"/>
              </w:rPr>
              <w:t xml:space="preserve">403 </w:t>
            </w:r>
            <w:proofErr w:type="gramStart"/>
            <w:r>
              <w:rPr>
                <w:sz w:val="17"/>
                <w:szCs w:val="17"/>
              </w:rPr>
              <w:t>response</w:t>
            </w:r>
            <w:proofErr w:type="gramEnd"/>
            <w:r>
              <w:rPr>
                <w:sz w:val="17"/>
                <w:szCs w:val="17"/>
              </w:rPr>
              <w:t>; security test; redacted log entry</w:t>
            </w:r>
          </w:p>
        </w:tc>
      </w:tr>
      <w:tr w:rsidR="00AF7F17" w14:paraId="2FA93DD8" w14:textId="77777777">
        <w:tblPrEx>
          <w:tblCellMar>
            <w:top w:w="0" w:type="dxa"/>
            <w:bottom w:w="0" w:type="dxa"/>
          </w:tblCellMar>
        </w:tblPrEx>
        <w:trPr>
          <w:cantSplit/>
        </w:trPr>
        <w:tc>
          <w:tcPr>
            <w:tcW w:w="7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651EB40D" w14:textId="77777777" w:rsidR="00AF7F17" w:rsidRDefault="00000000">
            <w:pPr>
              <w:spacing w:after="0" w:line="220" w:lineRule="auto"/>
            </w:pPr>
            <w:r>
              <w:rPr>
                <w:sz w:val="17"/>
                <w:szCs w:val="17"/>
              </w:rPr>
              <w:t>Integrity</w:t>
            </w:r>
          </w:p>
        </w:tc>
        <w:tc>
          <w:tcPr>
            <w:tcW w:w="15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65EE3C2C" w14:textId="77777777" w:rsidR="00AF7F17" w:rsidRDefault="00000000">
            <w:pPr>
              <w:spacing w:after="0" w:line="220" w:lineRule="auto"/>
            </w:pPr>
            <w:r>
              <w:rPr>
                <w:sz w:val="17"/>
                <w:szCs w:val="17"/>
              </w:rPr>
              <w:t>Database failure occurs after the request insert but before initial history insert</w:t>
            </w:r>
          </w:p>
        </w:tc>
        <w:tc>
          <w:tcPr>
            <w:tcW w:w="16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7F8761EF" w14:textId="77777777" w:rsidR="00AF7F17" w:rsidRDefault="00000000">
            <w:pPr>
              <w:spacing w:after="0" w:line="220" w:lineRule="auto"/>
            </w:pPr>
            <w:r>
              <w:rPr>
                <w:sz w:val="17"/>
                <w:szCs w:val="17"/>
              </w:rPr>
              <w:t>Whole unit of work is rolled back</w:t>
            </w:r>
          </w:p>
        </w:tc>
        <w:tc>
          <w:tcPr>
            <w:tcW w:w="11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07C51AFE" w14:textId="77777777" w:rsidR="00AF7F17" w:rsidRDefault="00000000">
            <w:pPr>
              <w:spacing w:after="0" w:line="220" w:lineRule="auto"/>
            </w:pPr>
            <w:r>
              <w:rPr>
                <w:sz w:val="17"/>
                <w:szCs w:val="17"/>
              </w:rPr>
              <w:t>No request row and no orphan history row; integration test</w:t>
            </w:r>
          </w:p>
        </w:tc>
      </w:tr>
      <w:tr w:rsidR="00AF7F17" w14:paraId="141FF1A7" w14:textId="77777777">
        <w:tblPrEx>
          <w:tblCellMar>
            <w:top w:w="0" w:type="dxa"/>
            <w:bottom w:w="0" w:type="dxa"/>
          </w:tblCellMar>
        </w:tblPrEx>
        <w:trPr>
          <w:cantSplit/>
        </w:trPr>
        <w:tc>
          <w:tcPr>
            <w:tcW w:w="7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0AB64A75" w14:textId="77777777" w:rsidR="00AF7F17" w:rsidRDefault="00000000">
            <w:pPr>
              <w:spacing w:after="0" w:line="220" w:lineRule="auto"/>
            </w:pPr>
            <w:r>
              <w:rPr>
                <w:sz w:val="17"/>
                <w:szCs w:val="17"/>
              </w:rPr>
              <w:lastRenderedPageBreak/>
              <w:t>Performance</w:t>
            </w:r>
          </w:p>
        </w:tc>
        <w:tc>
          <w:tcPr>
            <w:tcW w:w="15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0E532CD2" w14:textId="77777777" w:rsidR="00AF7F17" w:rsidRDefault="00000000">
            <w:pPr>
              <w:spacing w:after="0" w:line="220" w:lineRule="auto"/>
            </w:pPr>
            <w:r>
              <w:rPr>
                <w:sz w:val="17"/>
                <w:szCs w:val="17"/>
              </w:rPr>
              <w:t>50 concurrent users submit/search within a database of 10,000 requests</w:t>
            </w:r>
          </w:p>
        </w:tc>
        <w:tc>
          <w:tcPr>
            <w:tcW w:w="16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27EB1E40" w14:textId="77777777" w:rsidR="00AF7F17" w:rsidRDefault="00000000">
            <w:pPr>
              <w:spacing w:after="0" w:line="220" w:lineRule="auto"/>
            </w:pPr>
            <w:r>
              <w:rPr>
                <w:sz w:val="17"/>
                <w:szCs w:val="17"/>
              </w:rPr>
              <w:t>System remains responsive under defined workload</w:t>
            </w:r>
          </w:p>
        </w:tc>
        <w:tc>
          <w:tcPr>
            <w:tcW w:w="11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01F44C4E" w14:textId="77777777" w:rsidR="00AF7F17" w:rsidRDefault="00000000">
            <w:pPr>
              <w:spacing w:after="0" w:line="220" w:lineRule="auto"/>
            </w:pPr>
            <w:r>
              <w:rPr>
                <w:sz w:val="17"/>
                <w:szCs w:val="17"/>
              </w:rPr>
              <w:t>95th percentile &lt;2s for core actions; load-test report</w:t>
            </w:r>
          </w:p>
        </w:tc>
      </w:tr>
      <w:tr w:rsidR="00AF7F17" w14:paraId="2F3D5180" w14:textId="77777777">
        <w:tblPrEx>
          <w:tblCellMar>
            <w:top w:w="0" w:type="dxa"/>
            <w:bottom w:w="0" w:type="dxa"/>
          </w:tblCellMar>
        </w:tblPrEx>
        <w:trPr>
          <w:cantSplit/>
        </w:trPr>
        <w:tc>
          <w:tcPr>
            <w:tcW w:w="7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288658AE" w14:textId="77777777" w:rsidR="00AF7F17" w:rsidRDefault="00000000">
            <w:pPr>
              <w:spacing w:after="0" w:line="220" w:lineRule="auto"/>
            </w:pPr>
            <w:r>
              <w:rPr>
                <w:sz w:val="17"/>
                <w:szCs w:val="17"/>
              </w:rPr>
              <w:t>Maintainability</w:t>
            </w:r>
          </w:p>
        </w:tc>
        <w:tc>
          <w:tcPr>
            <w:tcW w:w="15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4504E0DB" w14:textId="77777777" w:rsidR="00AF7F17" w:rsidRDefault="00000000">
            <w:pPr>
              <w:spacing w:after="0" w:line="220" w:lineRule="auto"/>
            </w:pPr>
            <w:r>
              <w:rPr>
                <w:sz w:val="17"/>
                <w:szCs w:val="17"/>
              </w:rPr>
              <w:t>A new request category rule is introduced</w:t>
            </w:r>
          </w:p>
        </w:tc>
        <w:tc>
          <w:tcPr>
            <w:tcW w:w="16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6732FCA2" w14:textId="77777777" w:rsidR="00AF7F17" w:rsidRDefault="00000000">
            <w:pPr>
              <w:spacing w:after="0" w:line="220" w:lineRule="auto"/>
            </w:pPr>
            <w:r>
              <w:rPr>
                <w:sz w:val="17"/>
                <w:szCs w:val="17"/>
              </w:rPr>
              <w:t>Change stays inside the Request/Workflow modules and associated tests</w:t>
            </w:r>
          </w:p>
        </w:tc>
        <w:tc>
          <w:tcPr>
            <w:tcW w:w="11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2A12D335" w14:textId="77777777" w:rsidR="00AF7F17" w:rsidRDefault="00000000">
            <w:pPr>
              <w:spacing w:after="0" w:line="220" w:lineRule="auto"/>
            </w:pPr>
            <w:r>
              <w:rPr>
                <w:sz w:val="17"/>
                <w:szCs w:val="17"/>
              </w:rPr>
              <w:t>No new cross-module dependency; CI passes</w:t>
            </w:r>
          </w:p>
        </w:tc>
      </w:tr>
      <w:tr w:rsidR="00AF7F17" w14:paraId="57949062" w14:textId="77777777">
        <w:tblPrEx>
          <w:tblCellMar>
            <w:top w:w="0" w:type="dxa"/>
            <w:bottom w:w="0" w:type="dxa"/>
          </w:tblCellMar>
        </w:tblPrEx>
        <w:trPr>
          <w:cantSplit/>
        </w:trPr>
        <w:tc>
          <w:tcPr>
            <w:tcW w:w="7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5E6C6CA5" w14:textId="77777777" w:rsidR="00AF7F17" w:rsidRDefault="00000000">
            <w:pPr>
              <w:spacing w:after="0" w:line="220" w:lineRule="auto"/>
            </w:pPr>
            <w:r>
              <w:rPr>
                <w:sz w:val="17"/>
                <w:szCs w:val="17"/>
              </w:rPr>
              <w:t>Recovery</w:t>
            </w:r>
          </w:p>
        </w:tc>
        <w:tc>
          <w:tcPr>
            <w:tcW w:w="15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0090EB49" w14:textId="77777777" w:rsidR="00AF7F17" w:rsidRDefault="00000000">
            <w:pPr>
              <w:spacing w:after="0" w:line="220" w:lineRule="auto"/>
            </w:pPr>
            <w:r>
              <w:rPr>
                <w:sz w:val="17"/>
                <w:szCs w:val="17"/>
              </w:rPr>
              <w:t>Primary database data is lost after the daily backup</w:t>
            </w:r>
          </w:p>
        </w:tc>
        <w:tc>
          <w:tcPr>
            <w:tcW w:w="16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529EEDDD" w14:textId="77777777" w:rsidR="00AF7F17" w:rsidRDefault="00000000">
            <w:pPr>
              <w:spacing w:after="0" w:line="220" w:lineRule="auto"/>
            </w:pPr>
            <w:r>
              <w:rPr>
                <w:sz w:val="17"/>
                <w:szCs w:val="17"/>
              </w:rPr>
              <w:t>Service is restored within agreed objective</w:t>
            </w:r>
          </w:p>
        </w:tc>
        <w:tc>
          <w:tcPr>
            <w:tcW w:w="11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361826C8" w14:textId="77777777" w:rsidR="00AF7F17" w:rsidRDefault="00000000">
            <w:pPr>
              <w:spacing w:after="0" w:line="220" w:lineRule="auto"/>
            </w:pPr>
            <w:r>
              <w:rPr>
                <w:sz w:val="17"/>
                <w:szCs w:val="17"/>
              </w:rPr>
              <w:t>Restore completed ≤4h; data loss ≤24h; drill record</w:t>
            </w:r>
          </w:p>
        </w:tc>
      </w:tr>
      <w:tr w:rsidR="00AF7F17" w14:paraId="7BD15158" w14:textId="77777777">
        <w:tblPrEx>
          <w:tblCellMar>
            <w:top w:w="0" w:type="dxa"/>
            <w:bottom w:w="0" w:type="dxa"/>
          </w:tblCellMar>
        </w:tblPrEx>
        <w:trPr>
          <w:cantSplit/>
        </w:trPr>
        <w:tc>
          <w:tcPr>
            <w:tcW w:w="7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7973F59C" w14:textId="77777777" w:rsidR="00AF7F17" w:rsidRDefault="00000000">
            <w:pPr>
              <w:spacing w:after="0" w:line="220" w:lineRule="auto"/>
            </w:pPr>
            <w:r>
              <w:rPr>
                <w:sz w:val="17"/>
                <w:szCs w:val="17"/>
              </w:rPr>
              <w:t>Accessibility</w:t>
            </w:r>
          </w:p>
        </w:tc>
        <w:tc>
          <w:tcPr>
            <w:tcW w:w="15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70A26518" w14:textId="77777777" w:rsidR="00AF7F17" w:rsidRDefault="00000000">
            <w:pPr>
              <w:spacing w:after="0" w:line="220" w:lineRule="auto"/>
            </w:pPr>
            <w:r>
              <w:rPr>
                <w:sz w:val="17"/>
                <w:szCs w:val="17"/>
              </w:rPr>
              <w:t>Keyboard-only user completes request submission at 360px viewport</w:t>
            </w:r>
          </w:p>
        </w:tc>
        <w:tc>
          <w:tcPr>
            <w:tcW w:w="16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210D3AA3" w14:textId="77777777" w:rsidR="00AF7F17" w:rsidRDefault="00000000">
            <w:pPr>
              <w:spacing w:after="0" w:line="220" w:lineRule="auto"/>
            </w:pPr>
            <w:r>
              <w:rPr>
                <w:sz w:val="17"/>
                <w:szCs w:val="17"/>
              </w:rPr>
              <w:t>All controls operable and errors announced</w:t>
            </w:r>
          </w:p>
        </w:tc>
        <w:tc>
          <w:tcPr>
            <w:tcW w:w="11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138F4EDE" w14:textId="77777777" w:rsidR="00AF7F17" w:rsidRDefault="00000000">
            <w:pPr>
              <w:spacing w:after="0" w:line="220" w:lineRule="auto"/>
            </w:pPr>
            <w:r>
              <w:rPr>
                <w:sz w:val="17"/>
                <w:szCs w:val="17"/>
              </w:rPr>
              <w:t>WCAG test record; browser/view evidence</w:t>
            </w:r>
          </w:p>
        </w:tc>
      </w:tr>
    </w:tbl>
    <w:p w14:paraId="282A8DBD" w14:textId="77777777" w:rsidR="00AF7F17" w:rsidRDefault="00000000">
      <w:r>
        <w:br w:type="page"/>
      </w:r>
    </w:p>
    <w:p w14:paraId="038C4D60" w14:textId="77777777" w:rsidR="00AF7F17" w:rsidRDefault="00000000">
      <w:pPr>
        <w:pStyle w:val="Heading1"/>
      </w:pPr>
      <w:r>
        <w:lastRenderedPageBreak/>
        <w:t>4. Architecture alternatives and selection</w:t>
      </w:r>
    </w:p>
    <w:p w14:paraId="38811AD1" w14:textId="77777777" w:rsidR="00AF7F17" w:rsidRDefault="00000000">
      <w:pPr>
        <w:pStyle w:val="Heading2"/>
      </w:pPr>
      <w:r>
        <w:t>4.1 Alternatives</w:t>
      </w:r>
    </w:p>
    <w:p w14:paraId="4BEE8D94" w14:textId="77777777" w:rsidR="00AF7F17" w:rsidRDefault="00000000">
      <w:pPr>
        <w:jc w:val="both"/>
      </w:pPr>
      <w:r>
        <w:rPr>
          <w:b/>
          <w:bCs/>
        </w:rPr>
        <w:t xml:space="preserve">Alternative A — Unstructured monolith. </w:t>
      </w:r>
      <w:r>
        <w:t>One application and database with no enforced module or layer boundaries. It is quick to start but encourages business logic in routes and direct data access across features. This increases architecture erosion and makes changes harder to isolate.</w:t>
      </w:r>
    </w:p>
    <w:p w14:paraId="19BA55D0" w14:textId="77777777" w:rsidR="00AF7F17" w:rsidRDefault="00000000">
      <w:pPr>
        <w:jc w:val="both"/>
      </w:pPr>
      <w:r>
        <w:rPr>
          <w:b/>
          <w:bCs/>
        </w:rPr>
        <w:t xml:space="preserve">Alternative B — Layered modular monolith. </w:t>
      </w:r>
      <w:r>
        <w:t>One deployable application with explicit presentation, application/domain and persistence layers plus feature-aligned modules. It preserves simple deployment while allowing internal responsibilities to be tested and evolved independently.</w:t>
      </w:r>
    </w:p>
    <w:p w14:paraId="1C7AC762" w14:textId="77777777" w:rsidR="00AF7F17" w:rsidRDefault="00000000">
      <w:pPr>
        <w:jc w:val="both"/>
      </w:pPr>
      <w:r>
        <w:rPr>
          <w:b/>
          <w:bCs/>
        </w:rPr>
        <w:t xml:space="preserve">Alternative C — Microservices. </w:t>
      </w:r>
      <w:r>
        <w:t>Identity, requests, workflow, audit and reporting become separately deployed services with network APIs and potentially independent storage. It offers release and scaling autonomy but adds failure modes, monitoring, deployment and data-consistency work.</w:t>
      </w:r>
    </w:p>
    <w:p w14:paraId="2D3FC4A2" w14:textId="77777777" w:rsidR="00AF7F17" w:rsidRDefault="00000000">
      <w:pPr>
        <w:jc w:val="both"/>
      </w:pPr>
      <w:r>
        <w:t>Modularity is strengthened by high internal cohesion and limited dependencies between modules. Poor modularity is associated with architectural technical debt, so the selected approach needs enforceable boundaries rather than merely naming folders (Skiada et al., 2018).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3"/>
        <w:gridCol w:w="1046"/>
        <w:gridCol w:w="2196"/>
        <w:gridCol w:w="2405"/>
        <w:gridCol w:w="2196"/>
      </w:tblGrid>
      <w:tr w:rsidR="00AF7F17" w14:paraId="2AB63320" w14:textId="77777777">
        <w:tblPrEx>
          <w:tblCellMar>
            <w:top w:w="0" w:type="dxa"/>
            <w:bottom w:w="0" w:type="dxa"/>
          </w:tblCellMar>
        </w:tblPrEx>
        <w:trPr>
          <w:cantSplit/>
          <w:tblHeader/>
        </w:trPr>
        <w:tc>
          <w:tcPr>
            <w:tcW w:w="1250" w:type="pct"/>
            <w:tcBorders>
              <w:top w:val="single" w:sz="4" w:space="0" w:color="C7D0D8"/>
              <w:left w:val="single" w:sz="4" w:space="0" w:color="C7D0D8"/>
              <w:bottom w:val="single" w:sz="4" w:space="0" w:color="C7D0D8"/>
              <w:right w:val="single" w:sz="4" w:space="0" w:color="C7D0D8"/>
            </w:tcBorders>
            <w:shd w:val="clear" w:color="auto" w:fill="17324D"/>
            <w:tcMar>
              <w:top w:w="90" w:type="dxa"/>
              <w:left w:w="95" w:type="dxa"/>
              <w:bottom w:w="90" w:type="dxa"/>
              <w:right w:w="95" w:type="dxa"/>
            </w:tcMar>
            <w:vAlign w:val="center"/>
          </w:tcPr>
          <w:p w14:paraId="02674004" w14:textId="77777777" w:rsidR="00AF7F17" w:rsidRDefault="00000000">
            <w:pPr>
              <w:spacing w:after="0"/>
            </w:pPr>
            <w:r>
              <w:rPr>
                <w:b/>
                <w:bCs/>
                <w:color w:val="FFFFFF"/>
                <w:sz w:val="18"/>
                <w:szCs w:val="18"/>
              </w:rPr>
              <w:t>Criterion</w:t>
            </w:r>
          </w:p>
        </w:tc>
        <w:tc>
          <w:tcPr>
            <w:tcW w:w="500" w:type="pct"/>
            <w:tcBorders>
              <w:top w:val="single" w:sz="4" w:space="0" w:color="C7D0D8"/>
              <w:left w:val="single" w:sz="4" w:space="0" w:color="C7D0D8"/>
              <w:bottom w:val="single" w:sz="4" w:space="0" w:color="C7D0D8"/>
              <w:right w:val="single" w:sz="4" w:space="0" w:color="C7D0D8"/>
            </w:tcBorders>
            <w:shd w:val="clear" w:color="auto" w:fill="17324D"/>
            <w:tcMar>
              <w:top w:w="90" w:type="dxa"/>
              <w:left w:w="95" w:type="dxa"/>
              <w:bottom w:w="90" w:type="dxa"/>
              <w:right w:w="95" w:type="dxa"/>
            </w:tcMar>
            <w:vAlign w:val="center"/>
          </w:tcPr>
          <w:p w14:paraId="4E0F7FAB" w14:textId="77777777" w:rsidR="00AF7F17" w:rsidRDefault="00000000">
            <w:pPr>
              <w:spacing w:after="0"/>
            </w:pPr>
            <w:r>
              <w:rPr>
                <w:b/>
                <w:bCs/>
                <w:color w:val="FFFFFF"/>
                <w:sz w:val="18"/>
                <w:szCs w:val="18"/>
              </w:rPr>
              <w:t>Weight</w:t>
            </w:r>
          </w:p>
        </w:tc>
        <w:tc>
          <w:tcPr>
            <w:tcW w:w="1050" w:type="pct"/>
            <w:tcBorders>
              <w:top w:val="single" w:sz="4" w:space="0" w:color="C7D0D8"/>
              <w:left w:val="single" w:sz="4" w:space="0" w:color="C7D0D8"/>
              <w:bottom w:val="single" w:sz="4" w:space="0" w:color="C7D0D8"/>
              <w:right w:val="single" w:sz="4" w:space="0" w:color="C7D0D8"/>
            </w:tcBorders>
            <w:shd w:val="clear" w:color="auto" w:fill="17324D"/>
            <w:tcMar>
              <w:top w:w="90" w:type="dxa"/>
              <w:left w:w="95" w:type="dxa"/>
              <w:bottom w:w="90" w:type="dxa"/>
              <w:right w:w="95" w:type="dxa"/>
            </w:tcMar>
            <w:vAlign w:val="center"/>
          </w:tcPr>
          <w:p w14:paraId="43A18F07" w14:textId="77777777" w:rsidR="00AF7F17" w:rsidRDefault="00000000">
            <w:pPr>
              <w:spacing w:after="0"/>
            </w:pPr>
            <w:r>
              <w:rPr>
                <w:b/>
                <w:bCs/>
                <w:color w:val="FFFFFF"/>
                <w:sz w:val="18"/>
                <w:szCs w:val="18"/>
              </w:rPr>
              <w:t>A: unstructured monolith</w:t>
            </w:r>
          </w:p>
        </w:tc>
        <w:tc>
          <w:tcPr>
            <w:tcW w:w="1150" w:type="pct"/>
            <w:tcBorders>
              <w:top w:val="single" w:sz="4" w:space="0" w:color="C7D0D8"/>
              <w:left w:val="single" w:sz="4" w:space="0" w:color="C7D0D8"/>
              <w:bottom w:val="single" w:sz="4" w:space="0" w:color="C7D0D8"/>
              <w:right w:val="single" w:sz="4" w:space="0" w:color="C7D0D8"/>
            </w:tcBorders>
            <w:shd w:val="clear" w:color="auto" w:fill="17324D"/>
            <w:tcMar>
              <w:top w:w="90" w:type="dxa"/>
              <w:left w:w="95" w:type="dxa"/>
              <w:bottom w:w="90" w:type="dxa"/>
              <w:right w:w="95" w:type="dxa"/>
            </w:tcMar>
            <w:vAlign w:val="center"/>
          </w:tcPr>
          <w:p w14:paraId="27F8CA19" w14:textId="77777777" w:rsidR="00AF7F17" w:rsidRDefault="00000000">
            <w:pPr>
              <w:spacing w:after="0"/>
            </w:pPr>
            <w:r>
              <w:rPr>
                <w:b/>
                <w:bCs/>
                <w:color w:val="FFFFFF"/>
                <w:sz w:val="18"/>
                <w:szCs w:val="18"/>
              </w:rPr>
              <w:t>B: modular monolith</w:t>
            </w:r>
          </w:p>
        </w:tc>
        <w:tc>
          <w:tcPr>
            <w:tcW w:w="1050" w:type="pct"/>
            <w:tcBorders>
              <w:top w:val="single" w:sz="4" w:space="0" w:color="C7D0D8"/>
              <w:left w:val="single" w:sz="4" w:space="0" w:color="C7D0D8"/>
              <w:bottom w:val="single" w:sz="4" w:space="0" w:color="C7D0D8"/>
              <w:right w:val="single" w:sz="4" w:space="0" w:color="C7D0D8"/>
            </w:tcBorders>
            <w:shd w:val="clear" w:color="auto" w:fill="17324D"/>
            <w:tcMar>
              <w:top w:w="90" w:type="dxa"/>
              <w:left w:w="95" w:type="dxa"/>
              <w:bottom w:w="90" w:type="dxa"/>
              <w:right w:w="95" w:type="dxa"/>
            </w:tcMar>
            <w:vAlign w:val="center"/>
          </w:tcPr>
          <w:p w14:paraId="0E6DF0A9" w14:textId="77777777" w:rsidR="00AF7F17" w:rsidRDefault="00000000">
            <w:pPr>
              <w:spacing w:after="0"/>
            </w:pPr>
            <w:r>
              <w:rPr>
                <w:b/>
                <w:bCs/>
                <w:color w:val="FFFFFF"/>
                <w:sz w:val="18"/>
                <w:szCs w:val="18"/>
              </w:rPr>
              <w:t>C: microservices</w:t>
            </w:r>
          </w:p>
        </w:tc>
      </w:tr>
      <w:tr w:rsidR="00AF7F17" w14:paraId="10010C4E" w14:textId="77777777">
        <w:tblPrEx>
          <w:tblCellMar>
            <w:top w:w="0" w:type="dxa"/>
            <w:bottom w:w="0" w:type="dxa"/>
          </w:tblCellMar>
        </w:tblPrEx>
        <w:trPr>
          <w:cantSplit/>
        </w:trPr>
        <w:tc>
          <w:tcPr>
            <w:tcW w:w="12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2AD42127" w14:textId="77777777" w:rsidR="00AF7F17" w:rsidRDefault="00000000">
            <w:pPr>
              <w:spacing w:after="0" w:line="220" w:lineRule="auto"/>
            </w:pPr>
            <w:r>
              <w:rPr>
                <w:sz w:val="17"/>
                <w:szCs w:val="17"/>
              </w:rPr>
              <w:t>Fit for three-person team and schedule</w:t>
            </w:r>
          </w:p>
        </w:tc>
        <w:tc>
          <w:tcPr>
            <w:tcW w:w="5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2708966F" w14:textId="77777777" w:rsidR="00AF7F17" w:rsidRDefault="00000000">
            <w:pPr>
              <w:spacing w:after="0" w:line="220" w:lineRule="auto"/>
            </w:pPr>
            <w:r>
              <w:rPr>
                <w:sz w:val="17"/>
                <w:szCs w:val="17"/>
              </w:rPr>
              <w:t>20%</w:t>
            </w:r>
          </w:p>
        </w:tc>
        <w:tc>
          <w:tcPr>
            <w:tcW w:w="10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0F7FDBD2" w14:textId="77777777" w:rsidR="00AF7F17" w:rsidRDefault="00000000">
            <w:pPr>
              <w:spacing w:after="0" w:line="220" w:lineRule="auto"/>
            </w:pPr>
            <w:r>
              <w:rPr>
                <w:sz w:val="17"/>
                <w:szCs w:val="17"/>
              </w:rPr>
              <w:t>4 — simple but risky to maintain</w:t>
            </w:r>
          </w:p>
        </w:tc>
        <w:tc>
          <w:tcPr>
            <w:tcW w:w="11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3720C34F" w14:textId="77777777" w:rsidR="00AF7F17" w:rsidRDefault="00000000">
            <w:pPr>
              <w:spacing w:after="0" w:line="220" w:lineRule="auto"/>
            </w:pPr>
            <w:r>
              <w:rPr>
                <w:sz w:val="17"/>
                <w:szCs w:val="17"/>
              </w:rPr>
              <w:t>5 — simple deployment with clear ownership</w:t>
            </w:r>
          </w:p>
        </w:tc>
        <w:tc>
          <w:tcPr>
            <w:tcW w:w="10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7EF17421" w14:textId="77777777" w:rsidR="00AF7F17" w:rsidRDefault="00000000">
            <w:pPr>
              <w:spacing w:after="0" w:line="220" w:lineRule="auto"/>
            </w:pPr>
            <w:r>
              <w:rPr>
                <w:sz w:val="17"/>
                <w:szCs w:val="17"/>
              </w:rPr>
              <w:t>1 — high operational overhead</w:t>
            </w:r>
          </w:p>
        </w:tc>
      </w:tr>
      <w:tr w:rsidR="00AF7F17" w14:paraId="031E318E" w14:textId="77777777">
        <w:tblPrEx>
          <w:tblCellMar>
            <w:top w:w="0" w:type="dxa"/>
            <w:bottom w:w="0" w:type="dxa"/>
          </w:tblCellMar>
        </w:tblPrEx>
        <w:trPr>
          <w:cantSplit/>
        </w:trPr>
        <w:tc>
          <w:tcPr>
            <w:tcW w:w="12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1341B89F" w14:textId="77777777" w:rsidR="00AF7F17" w:rsidRDefault="00000000">
            <w:pPr>
              <w:spacing w:after="0" w:line="220" w:lineRule="auto"/>
            </w:pPr>
            <w:r>
              <w:rPr>
                <w:sz w:val="17"/>
                <w:szCs w:val="17"/>
              </w:rPr>
              <w:t>Security and privacy control</w:t>
            </w:r>
          </w:p>
        </w:tc>
        <w:tc>
          <w:tcPr>
            <w:tcW w:w="5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5B546CA6" w14:textId="77777777" w:rsidR="00AF7F17" w:rsidRDefault="00000000">
            <w:pPr>
              <w:spacing w:after="0" w:line="220" w:lineRule="auto"/>
            </w:pPr>
            <w:r>
              <w:rPr>
                <w:sz w:val="17"/>
                <w:szCs w:val="17"/>
              </w:rPr>
              <w:t>15%</w:t>
            </w:r>
          </w:p>
        </w:tc>
        <w:tc>
          <w:tcPr>
            <w:tcW w:w="10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50D901AF" w14:textId="77777777" w:rsidR="00AF7F17" w:rsidRDefault="00000000">
            <w:pPr>
              <w:spacing w:after="0" w:line="220" w:lineRule="auto"/>
            </w:pPr>
            <w:r>
              <w:rPr>
                <w:sz w:val="17"/>
                <w:szCs w:val="17"/>
              </w:rPr>
              <w:t>3 — possible but easily scattered</w:t>
            </w:r>
          </w:p>
        </w:tc>
        <w:tc>
          <w:tcPr>
            <w:tcW w:w="11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30226733" w14:textId="77777777" w:rsidR="00AF7F17" w:rsidRDefault="00000000">
            <w:pPr>
              <w:spacing w:after="0" w:line="220" w:lineRule="auto"/>
            </w:pPr>
            <w:r>
              <w:rPr>
                <w:sz w:val="17"/>
                <w:szCs w:val="17"/>
              </w:rPr>
              <w:t>5 — central policy with bounded modules</w:t>
            </w:r>
          </w:p>
        </w:tc>
        <w:tc>
          <w:tcPr>
            <w:tcW w:w="10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32DDD416" w14:textId="77777777" w:rsidR="00AF7F17" w:rsidRDefault="00000000">
            <w:pPr>
              <w:spacing w:after="0" w:line="220" w:lineRule="auto"/>
            </w:pPr>
            <w:r>
              <w:rPr>
                <w:sz w:val="17"/>
                <w:szCs w:val="17"/>
              </w:rPr>
              <w:t>3 — more network/service surfaces</w:t>
            </w:r>
          </w:p>
        </w:tc>
      </w:tr>
      <w:tr w:rsidR="00AF7F17" w14:paraId="6D48AC34" w14:textId="77777777">
        <w:tblPrEx>
          <w:tblCellMar>
            <w:top w:w="0" w:type="dxa"/>
            <w:bottom w:w="0" w:type="dxa"/>
          </w:tblCellMar>
        </w:tblPrEx>
        <w:trPr>
          <w:cantSplit/>
        </w:trPr>
        <w:tc>
          <w:tcPr>
            <w:tcW w:w="12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385FB4BB" w14:textId="77777777" w:rsidR="00AF7F17" w:rsidRDefault="00000000">
            <w:pPr>
              <w:spacing w:after="0" w:line="220" w:lineRule="auto"/>
            </w:pPr>
            <w:r>
              <w:rPr>
                <w:sz w:val="17"/>
                <w:szCs w:val="17"/>
              </w:rPr>
              <w:t>Integrity and auditability</w:t>
            </w:r>
          </w:p>
        </w:tc>
        <w:tc>
          <w:tcPr>
            <w:tcW w:w="5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4AA540DA" w14:textId="77777777" w:rsidR="00AF7F17" w:rsidRDefault="00000000">
            <w:pPr>
              <w:spacing w:after="0" w:line="220" w:lineRule="auto"/>
            </w:pPr>
            <w:r>
              <w:rPr>
                <w:sz w:val="17"/>
                <w:szCs w:val="17"/>
              </w:rPr>
              <w:t>15%</w:t>
            </w:r>
          </w:p>
        </w:tc>
        <w:tc>
          <w:tcPr>
            <w:tcW w:w="10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40B5D0A6" w14:textId="77777777" w:rsidR="00AF7F17" w:rsidRDefault="00000000">
            <w:pPr>
              <w:spacing w:after="0" w:line="220" w:lineRule="auto"/>
            </w:pPr>
            <w:r>
              <w:rPr>
                <w:sz w:val="17"/>
                <w:szCs w:val="17"/>
              </w:rPr>
              <w:t>4 — one transaction possible</w:t>
            </w:r>
          </w:p>
        </w:tc>
        <w:tc>
          <w:tcPr>
            <w:tcW w:w="11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1A1247E6" w14:textId="77777777" w:rsidR="00AF7F17" w:rsidRDefault="00000000">
            <w:pPr>
              <w:spacing w:after="0" w:line="220" w:lineRule="auto"/>
            </w:pPr>
            <w:r>
              <w:rPr>
                <w:sz w:val="17"/>
                <w:szCs w:val="17"/>
              </w:rPr>
              <w:t>5 — one transaction plus dedicated audit module</w:t>
            </w:r>
          </w:p>
        </w:tc>
        <w:tc>
          <w:tcPr>
            <w:tcW w:w="10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4A5D02FE" w14:textId="77777777" w:rsidR="00AF7F17" w:rsidRDefault="00000000">
            <w:pPr>
              <w:spacing w:after="0" w:line="220" w:lineRule="auto"/>
            </w:pPr>
            <w:r>
              <w:rPr>
                <w:sz w:val="17"/>
                <w:szCs w:val="17"/>
              </w:rPr>
              <w:t>2 — distributed consistency required</w:t>
            </w:r>
          </w:p>
        </w:tc>
      </w:tr>
      <w:tr w:rsidR="00AF7F17" w14:paraId="36565E7F" w14:textId="77777777">
        <w:tblPrEx>
          <w:tblCellMar>
            <w:top w:w="0" w:type="dxa"/>
            <w:bottom w:w="0" w:type="dxa"/>
          </w:tblCellMar>
        </w:tblPrEx>
        <w:trPr>
          <w:cantSplit/>
        </w:trPr>
        <w:tc>
          <w:tcPr>
            <w:tcW w:w="12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1803303E" w14:textId="77777777" w:rsidR="00AF7F17" w:rsidRDefault="00000000">
            <w:pPr>
              <w:spacing w:after="0" w:line="220" w:lineRule="auto"/>
            </w:pPr>
            <w:r>
              <w:rPr>
                <w:sz w:val="17"/>
                <w:szCs w:val="17"/>
              </w:rPr>
              <w:t>Maintainability and testability</w:t>
            </w:r>
          </w:p>
        </w:tc>
        <w:tc>
          <w:tcPr>
            <w:tcW w:w="5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4D5E7CFC" w14:textId="77777777" w:rsidR="00AF7F17" w:rsidRDefault="00000000">
            <w:pPr>
              <w:spacing w:after="0" w:line="220" w:lineRule="auto"/>
            </w:pPr>
            <w:r>
              <w:rPr>
                <w:sz w:val="17"/>
                <w:szCs w:val="17"/>
              </w:rPr>
              <w:t>20%</w:t>
            </w:r>
          </w:p>
        </w:tc>
        <w:tc>
          <w:tcPr>
            <w:tcW w:w="10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3CEDADCF" w14:textId="77777777" w:rsidR="00AF7F17" w:rsidRDefault="00000000">
            <w:pPr>
              <w:spacing w:after="0" w:line="220" w:lineRule="auto"/>
            </w:pPr>
            <w:r>
              <w:rPr>
                <w:sz w:val="17"/>
                <w:szCs w:val="17"/>
              </w:rPr>
              <w:t>2 — boundaries erode</w:t>
            </w:r>
          </w:p>
        </w:tc>
        <w:tc>
          <w:tcPr>
            <w:tcW w:w="11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0531A503" w14:textId="77777777" w:rsidR="00AF7F17" w:rsidRDefault="00000000">
            <w:pPr>
              <w:spacing w:after="0" w:line="220" w:lineRule="auto"/>
            </w:pPr>
            <w:r>
              <w:rPr>
                <w:sz w:val="17"/>
                <w:szCs w:val="17"/>
              </w:rPr>
              <w:t>5 — cohesive modules and test seams</w:t>
            </w:r>
          </w:p>
        </w:tc>
        <w:tc>
          <w:tcPr>
            <w:tcW w:w="10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5C940A27" w14:textId="77777777" w:rsidR="00AF7F17" w:rsidRDefault="00000000">
            <w:pPr>
              <w:spacing w:after="0" w:line="220" w:lineRule="auto"/>
            </w:pPr>
            <w:r>
              <w:rPr>
                <w:sz w:val="17"/>
                <w:szCs w:val="17"/>
              </w:rPr>
              <w:t>4 — isolated services, but contract testing needed</w:t>
            </w:r>
          </w:p>
        </w:tc>
      </w:tr>
      <w:tr w:rsidR="00AF7F17" w14:paraId="2AE8D1F0" w14:textId="77777777">
        <w:tblPrEx>
          <w:tblCellMar>
            <w:top w:w="0" w:type="dxa"/>
            <w:bottom w:w="0" w:type="dxa"/>
          </w:tblCellMar>
        </w:tblPrEx>
        <w:trPr>
          <w:cantSplit/>
        </w:trPr>
        <w:tc>
          <w:tcPr>
            <w:tcW w:w="12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2A74104B" w14:textId="77777777" w:rsidR="00AF7F17" w:rsidRDefault="00000000">
            <w:pPr>
              <w:spacing w:after="0" w:line="220" w:lineRule="auto"/>
            </w:pPr>
            <w:r>
              <w:rPr>
                <w:sz w:val="17"/>
                <w:szCs w:val="17"/>
              </w:rPr>
              <w:t>Performance at M1 target</w:t>
            </w:r>
          </w:p>
        </w:tc>
        <w:tc>
          <w:tcPr>
            <w:tcW w:w="5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41A1E523" w14:textId="77777777" w:rsidR="00AF7F17" w:rsidRDefault="00000000">
            <w:pPr>
              <w:spacing w:after="0" w:line="220" w:lineRule="auto"/>
            </w:pPr>
            <w:r>
              <w:rPr>
                <w:sz w:val="17"/>
                <w:szCs w:val="17"/>
              </w:rPr>
              <w:t>10%</w:t>
            </w:r>
          </w:p>
        </w:tc>
        <w:tc>
          <w:tcPr>
            <w:tcW w:w="10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7AE04C06" w14:textId="77777777" w:rsidR="00AF7F17" w:rsidRDefault="00000000">
            <w:pPr>
              <w:spacing w:after="0" w:line="220" w:lineRule="auto"/>
            </w:pPr>
            <w:r>
              <w:rPr>
                <w:sz w:val="17"/>
                <w:szCs w:val="17"/>
              </w:rPr>
              <w:t>5 — no network hops</w:t>
            </w:r>
          </w:p>
        </w:tc>
        <w:tc>
          <w:tcPr>
            <w:tcW w:w="11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09D179FE" w14:textId="77777777" w:rsidR="00AF7F17" w:rsidRDefault="00000000">
            <w:pPr>
              <w:spacing w:after="0" w:line="220" w:lineRule="auto"/>
            </w:pPr>
            <w:r>
              <w:rPr>
                <w:sz w:val="17"/>
                <w:szCs w:val="17"/>
              </w:rPr>
              <w:t>5 — no internal network hops</w:t>
            </w:r>
          </w:p>
        </w:tc>
        <w:tc>
          <w:tcPr>
            <w:tcW w:w="10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4441C9D5" w14:textId="77777777" w:rsidR="00AF7F17" w:rsidRDefault="00000000">
            <w:pPr>
              <w:spacing w:after="0" w:line="220" w:lineRule="auto"/>
            </w:pPr>
            <w:r>
              <w:rPr>
                <w:sz w:val="17"/>
                <w:szCs w:val="17"/>
              </w:rPr>
              <w:t>3 — serialization and network overhead</w:t>
            </w:r>
          </w:p>
        </w:tc>
      </w:tr>
      <w:tr w:rsidR="00AF7F17" w14:paraId="354D97A0" w14:textId="77777777">
        <w:tblPrEx>
          <w:tblCellMar>
            <w:top w:w="0" w:type="dxa"/>
            <w:bottom w:w="0" w:type="dxa"/>
          </w:tblCellMar>
        </w:tblPrEx>
        <w:trPr>
          <w:cantSplit/>
        </w:trPr>
        <w:tc>
          <w:tcPr>
            <w:tcW w:w="12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40CAAAB2" w14:textId="77777777" w:rsidR="00AF7F17" w:rsidRDefault="00000000">
            <w:pPr>
              <w:spacing w:after="0" w:line="220" w:lineRule="auto"/>
            </w:pPr>
            <w:r>
              <w:rPr>
                <w:sz w:val="17"/>
                <w:szCs w:val="17"/>
              </w:rPr>
              <w:t>Scalability beyond initial target</w:t>
            </w:r>
          </w:p>
        </w:tc>
        <w:tc>
          <w:tcPr>
            <w:tcW w:w="5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3A034595" w14:textId="77777777" w:rsidR="00AF7F17" w:rsidRDefault="00000000">
            <w:pPr>
              <w:spacing w:after="0" w:line="220" w:lineRule="auto"/>
            </w:pPr>
            <w:r>
              <w:rPr>
                <w:sz w:val="17"/>
                <w:szCs w:val="17"/>
              </w:rPr>
              <w:t>10%</w:t>
            </w:r>
          </w:p>
        </w:tc>
        <w:tc>
          <w:tcPr>
            <w:tcW w:w="10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2A913395" w14:textId="77777777" w:rsidR="00AF7F17" w:rsidRDefault="00000000">
            <w:pPr>
              <w:spacing w:after="0" w:line="220" w:lineRule="auto"/>
            </w:pPr>
            <w:r>
              <w:rPr>
                <w:sz w:val="17"/>
                <w:szCs w:val="17"/>
              </w:rPr>
              <w:t>2 — coarse-grained scaling</w:t>
            </w:r>
          </w:p>
        </w:tc>
        <w:tc>
          <w:tcPr>
            <w:tcW w:w="11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1F74956D" w14:textId="77777777" w:rsidR="00AF7F17" w:rsidRDefault="00000000">
            <w:pPr>
              <w:spacing w:after="0" w:line="220" w:lineRule="auto"/>
            </w:pPr>
            <w:r>
              <w:rPr>
                <w:sz w:val="17"/>
                <w:szCs w:val="17"/>
              </w:rPr>
              <w:t>4 — vertical/replica scaling; extraction path</w:t>
            </w:r>
          </w:p>
        </w:tc>
        <w:tc>
          <w:tcPr>
            <w:tcW w:w="10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56953636" w14:textId="77777777" w:rsidR="00AF7F17" w:rsidRDefault="00000000">
            <w:pPr>
              <w:spacing w:after="0" w:line="220" w:lineRule="auto"/>
            </w:pPr>
            <w:r>
              <w:rPr>
                <w:sz w:val="17"/>
                <w:szCs w:val="17"/>
              </w:rPr>
              <w:t>5 — independent scaling</w:t>
            </w:r>
          </w:p>
        </w:tc>
      </w:tr>
      <w:tr w:rsidR="00AF7F17" w14:paraId="172C8BEA" w14:textId="77777777">
        <w:tblPrEx>
          <w:tblCellMar>
            <w:top w:w="0" w:type="dxa"/>
            <w:bottom w:w="0" w:type="dxa"/>
          </w:tblCellMar>
        </w:tblPrEx>
        <w:trPr>
          <w:cantSplit/>
        </w:trPr>
        <w:tc>
          <w:tcPr>
            <w:tcW w:w="12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7CBE9F13" w14:textId="77777777" w:rsidR="00AF7F17" w:rsidRDefault="00000000">
            <w:pPr>
              <w:spacing w:after="0" w:line="220" w:lineRule="auto"/>
            </w:pPr>
            <w:r>
              <w:rPr>
                <w:sz w:val="17"/>
                <w:szCs w:val="17"/>
              </w:rPr>
              <w:t>Deployment, observability and cost</w:t>
            </w:r>
          </w:p>
        </w:tc>
        <w:tc>
          <w:tcPr>
            <w:tcW w:w="5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37E9A6D2" w14:textId="77777777" w:rsidR="00AF7F17" w:rsidRDefault="00000000">
            <w:pPr>
              <w:spacing w:after="0" w:line="220" w:lineRule="auto"/>
            </w:pPr>
            <w:r>
              <w:rPr>
                <w:sz w:val="17"/>
                <w:szCs w:val="17"/>
              </w:rPr>
              <w:t>10%</w:t>
            </w:r>
          </w:p>
        </w:tc>
        <w:tc>
          <w:tcPr>
            <w:tcW w:w="10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19B19724" w14:textId="77777777" w:rsidR="00AF7F17" w:rsidRDefault="00000000">
            <w:pPr>
              <w:spacing w:after="0" w:line="220" w:lineRule="auto"/>
            </w:pPr>
            <w:r>
              <w:rPr>
                <w:sz w:val="17"/>
                <w:szCs w:val="17"/>
              </w:rPr>
              <w:t>5 — one unit</w:t>
            </w:r>
          </w:p>
        </w:tc>
        <w:tc>
          <w:tcPr>
            <w:tcW w:w="11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4CFFF32E" w14:textId="77777777" w:rsidR="00AF7F17" w:rsidRDefault="00000000">
            <w:pPr>
              <w:spacing w:after="0" w:line="220" w:lineRule="auto"/>
            </w:pPr>
            <w:r>
              <w:rPr>
                <w:sz w:val="17"/>
                <w:szCs w:val="17"/>
              </w:rPr>
              <w:t>5 — one unit and one DB</w:t>
            </w:r>
          </w:p>
        </w:tc>
        <w:tc>
          <w:tcPr>
            <w:tcW w:w="10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122100E8" w14:textId="77777777" w:rsidR="00AF7F17" w:rsidRDefault="00000000">
            <w:pPr>
              <w:spacing w:after="0" w:line="220" w:lineRule="auto"/>
            </w:pPr>
            <w:r>
              <w:rPr>
                <w:sz w:val="17"/>
                <w:szCs w:val="17"/>
              </w:rPr>
              <w:t>1 — multiple services and pipelines</w:t>
            </w:r>
          </w:p>
        </w:tc>
      </w:tr>
      <w:tr w:rsidR="00AF7F17" w14:paraId="351043D1" w14:textId="77777777">
        <w:tblPrEx>
          <w:tblCellMar>
            <w:top w:w="0" w:type="dxa"/>
            <w:bottom w:w="0" w:type="dxa"/>
          </w:tblCellMar>
        </w:tblPrEx>
        <w:trPr>
          <w:cantSplit/>
        </w:trPr>
        <w:tc>
          <w:tcPr>
            <w:tcW w:w="12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23005C5D" w14:textId="77777777" w:rsidR="00AF7F17" w:rsidRDefault="00000000">
            <w:pPr>
              <w:spacing w:after="0" w:line="220" w:lineRule="auto"/>
            </w:pPr>
            <w:r>
              <w:rPr>
                <w:sz w:val="17"/>
                <w:szCs w:val="17"/>
              </w:rPr>
              <w:t>Weighted result</w:t>
            </w:r>
          </w:p>
        </w:tc>
        <w:tc>
          <w:tcPr>
            <w:tcW w:w="5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5FE412C8" w14:textId="77777777" w:rsidR="00AF7F17" w:rsidRDefault="00000000">
            <w:pPr>
              <w:spacing w:after="0" w:line="220" w:lineRule="auto"/>
            </w:pPr>
            <w:r>
              <w:rPr>
                <w:sz w:val="17"/>
                <w:szCs w:val="17"/>
              </w:rPr>
              <w:t>100%</w:t>
            </w:r>
          </w:p>
        </w:tc>
        <w:tc>
          <w:tcPr>
            <w:tcW w:w="10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4BB168EF" w14:textId="77777777" w:rsidR="00AF7F17" w:rsidRDefault="00000000">
            <w:pPr>
              <w:spacing w:after="0" w:line="220" w:lineRule="auto"/>
            </w:pPr>
            <w:r>
              <w:rPr>
                <w:sz w:val="17"/>
                <w:szCs w:val="17"/>
              </w:rPr>
              <w:t>3.45 / 5</w:t>
            </w:r>
          </w:p>
        </w:tc>
        <w:tc>
          <w:tcPr>
            <w:tcW w:w="11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70137056" w14:textId="77777777" w:rsidR="00AF7F17" w:rsidRDefault="00000000">
            <w:pPr>
              <w:spacing w:after="0" w:line="220" w:lineRule="auto"/>
            </w:pPr>
            <w:r>
              <w:rPr>
                <w:sz w:val="17"/>
                <w:szCs w:val="17"/>
              </w:rPr>
              <w:t>4.90 / 5 — selected</w:t>
            </w:r>
          </w:p>
        </w:tc>
        <w:tc>
          <w:tcPr>
            <w:tcW w:w="10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34C99971" w14:textId="77777777" w:rsidR="00AF7F17" w:rsidRDefault="00000000">
            <w:pPr>
              <w:spacing w:after="0" w:line="220" w:lineRule="auto"/>
            </w:pPr>
            <w:r>
              <w:rPr>
                <w:sz w:val="17"/>
                <w:szCs w:val="17"/>
              </w:rPr>
              <w:t>2.65 / 5</w:t>
            </w:r>
          </w:p>
        </w:tc>
      </w:tr>
    </w:tbl>
    <w:p w14:paraId="4C067281" w14:textId="77777777" w:rsidR="00AF7F17" w:rsidRDefault="00000000">
      <w:pPr>
        <w:jc w:val="both"/>
      </w:pPr>
      <w:r>
        <w:t xml:space="preserve">The score is a project decision aid, not a universal ranking. It reflects current </w:t>
      </w:r>
      <w:proofErr w:type="spellStart"/>
      <w:r>
        <w:t>CivicConnect</w:t>
      </w:r>
      <w:proofErr w:type="spellEnd"/>
      <w:r>
        <w:t xml:space="preserve"> constraints and the M1 workload. Empirical comparison found that a monolith on one machine outperformed microservices and that vertical scaling could be more cost-effective than horizontal scaling in the tested conditions. Microservice benefits should therefore be earned by an actual need for independent scaling or deployment (Blinowski, </w:t>
      </w:r>
      <w:proofErr w:type="spellStart"/>
      <w:r>
        <w:t>Ojdowska</w:t>
      </w:r>
      <w:proofErr w:type="spellEnd"/>
      <w:r>
        <w:t xml:space="preserve"> and </w:t>
      </w:r>
      <w:proofErr w:type="spellStart"/>
      <w:r>
        <w:t>Przybyłek</w:t>
      </w:r>
      <w:proofErr w:type="spellEnd"/>
      <w:r>
        <w:t>, 2022).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56"/>
      </w:tblGrid>
      <w:tr w:rsidR="00AF7F17" w14:paraId="40082A7E" w14:textId="77777777">
        <w:tblPrEx>
          <w:tblCellMar>
            <w:top w:w="0" w:type="dxa"/>
            <w:bottom w:w="0" w:type="dxa"/>
          </w:tblCellMar>
        </w:tblPrEx>
        <w:tc>
          <w:tcPr>
            <w:tcW w:w="0" w:type="auto"/>
            <w:tcBorders>
              <w:top w:val="single" w:sz="4" w:space="0" w:color="C7D0D8"/>
              <w:left w:val="single" w:sz="4" w:space="0" w:color="C7D0D8"/>
              <w:bottom w:val="single" w:sz="4" w:space="0" w:color="C7D0D8"/>
              <w:right w:val="single" w:sz="4" w:space="0" w:color="C7D0D8"/>
            </w:tcBorders>
            <w:shd w:val="clear" w:color="auto" w:fill="EAF2F8"/>
            <w:tcMar>
              <w:top w:w="130" w:type="dxa"/>
              <w:left w:w="160" w:type="dxa"/>
              <w:bottom w:w="130" w:type="dxa"/>
              <w:right w:w="160" w:type="dxa"/>
            </w:tcMar>
          </w:tcPr>
          <w:p w14:paraId="2E63A6F1" w14:textId="77777777" w:rsidR="00AF7F17" w:rsidRDefault="00000000">
            <w:pPr>
              <w:spacing w:after="0"/>
              <w:jc w:val="both"/>
            </w:pPr>
            <w:r>
              <w:rPr>
                <w:b/>
                <w:bCs/>
                <w:color w:val="2A8C82"/>
              </w:rPr>
              <w:t xml:space="preserve">Selected alternative: </w:t>
            </w:r>
            <w:r>
              <w:t>Alternative B — layered modular monolith. Alternative C is deliberately deferred, not prohibited. A later ADR may extract one module after load tests, change-frequency evidence and operational capacity justify the boundary.</w:t>
            </w:r>
          </w:p>
        </w:tc>
      </w:tr>
    </w:tbl>
    <w:p w14:paraId="1452ED6E" w14:textId="77777777" w:rsidR="00AF7F17" w:rsidRDefault="00000000">
      <w:pPr>
        <w:pStyle w:val="Heading1"/>
      </w:pPr>
      <w:r>
        <w:lastRenderedPageBreak/>
        <w:t>5. Selected architecture</w:t>
      </w:r>
    </w:p>
    <w:p w14:paraId="4C6B5DA4" w14:textId="77777777" w:rsidR="00AF7F17" w:rsidRDefault="00000000">
      <w:pPr>
        <w:pStyle w:val="Heading2"/>
      </w:pPr>
      <w:r>
        <w:t>5.1 System context</w:t>
      </w:r>
    </w:p>
    <w:p w14:paraId="4DF43DC2" w14:textId="77777777" w:rsidR="00AF7F17" w:rsidRDefault="00000000">
      <w:pPr>
        <w:spacing w:after="40"/>
        <w:jc w:val="center"/>
      </w:pPr>
      <w:r>
        <w:rPr>
          <w:noProof/>
        </w:rPr>
        <w:drawing>
          <wp:inline distT="0" distB="0" distL="0" distR="0" wp14:anchorId="3E8ECE98" wp14:editId="07987DA8">
            <wp:extent cx="6191250" cy="3181350"/>
            <wp:effectExtent l="0" t="0" r="0" b="0"/>
            <wp:docPr id="1" name="01_system_context.png" descr="01_system_context.png" title="01_system_con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91250" cy="3181350"/>
                    </a:xfrm>
                    <a:prstGeom prst="rect">
                      <a:avLst/>
                    </a:prstGeom>
                  </pic:spPr>
                </pic:pic>
              </a:graphicData>
            </a:graphic>
          </wp:inline>
        </w:drawing>
      </w:r>
    </w:p>
    <w:p w14:paraId="2DF22BDF" w14:textId="77777777" w:rsidR="00AF7F17" w:rsidRDefault="00000000">
      <w:pPr>
        <w:spacing w:after="160"/>
        <w:jc w:val="center"/>
      </w:pPr>
      <w:r>
        <w:rPr>
          <w:i/>
          <w:iCs/>
          <w:color w:val="5F6B76"/>
          <w:sz w:val="18"/>
          <w:szCs w:val="18"/>
        </w:rPr>
        <w:t>The four user groups interact with the same responsive web application. External notification services remain outside the M2 baseline.</w:t>
      </w:r>
    </w:p>
    <w:p w14:paraId="3E89CF2C" w14:textId="77777777" w:rsidR="00AF7F17" w:rsidRDefault="00000000">
      <w:pPr>
        <w:pStyle w:val="Heading2"/>
      </w:pPr>
      <w:r>
        <w:t>5.2 Container and deployment view</w:t>
      </w:r>
    </w:p>
    <w:p w14:paraId="47DD9790" w14:textId="77777777" w:rsidR="00AF7F17" w:rsidRDefault="00000000">
      <w:pPr>
        <w:spacing w:after="40"/>
        <w:jc w:val="center"/>
      </w:pPr>
      <w:r>
        <w:rPr>
          <w:noProof/>
        </w:rPr>
        <w:drawing>
          <wp:inline distT="0" distB="0" distL="0" distR="0" wp14:anchorId="001940BF" wp14:editId="63D58107">
            <wp:extent cx="6191250" cy="3362325"/>
            <wp:effectExtent l="0" t="0" r="0" b="0"/>
            <wp:docPr id="839735897" name="02_container_deployment.png" descr="02_container_deployment.png" title="02_container_deploy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91250" cy="3362325"/>
                    </a:xfrm>
                    <a:prstGeom prst="rect">
                      <a:avLst/>
                    </a:prstGeom>
                  </pic:spPr>
                </pic:pic>
              </a:graphicData>
            </a:graphic>
          </wp:inline>
        </w:drawing>
      </w:r>
    </w:p>
    <w:p w14:paraId="1B0C3B38" w14:textId="77777777" w:rsidR="00AF7F17" w:rsidRDefault="00000000">
      <w:pPr>
        <w:spacing w:after="160"/>
        <w:jc w:val="center"/>
      </w:pPr>
      <w:r>
        <w:rPr>
          <w:i/>
          <w:iCs/>
          <w:color w:val="5F6B76"/>
          <w:sz w:val="18"/>
          <w:szCs w:val="18"/>
        </w:rPr>
        <w:t>The proposed runtime has three primary containers: browser UI, one backend application and one relational database. CI and backup storage provide delivery and recovery controls.</w:t>
      </w:r>
    </w:p>
    <w:p w14:paraId="3F4886E5" w14:textId="77777777" w:rsidR="00AF7F17" w:rsidRDefault="00000000">
      <w:pPr>
        <w:jc w:val="both"/>
      </w:pPr>
      <w:r>
        <w:t>The client–server and layered styles fit browser applications and separate the presentation, business and infrastructure responsibilities. Clear interfaces allow each layer to change with less impact on the others and support more focused debugging and maintenance (Sharma, Kumar and Agarwal, 2015).</w:t>
      </w:r>
    </w:p>
    <w:p w14:paraId="5C6BD7D5" w14:textId="77777777" w:rsidR="00AF7F17" w:rsidRDefault="00000000">
      <w:pPr>
        <w:pStyle w:val="Heading2"/>
      </w:pPr>
      <w:r>
        <w:lastRenderedPageBreak/>
        <w:t>5.3 Internal module view</w:t>
      </w:r>
    </w:p>
    <w:p w14:paraId="3043DBA6" w14:textId="77777777" w:rsidR="00AF7F17" w:rsidRDefault="00000000">
      <w:pPr>
        <w:spacing w:after="40"/>
        <w:jc w:val="center"/>
      </w:pPr>
      <w:r>
        <w:rPr>
          <w:noProof/>
        </w:rPr>
        <w:drawing>
          <wp:inline distT="0" distB="0" distL="0" distR="0" wp14:anchorId="10C3D8BE" wp14:editId="445EA10D">
            <wp:extent cx="6191250" cy="3762375"/>
            <wp:effectExtent l="0" t="0" r="0" b="0"/>
            <wp:docPr id="1561451451" name="03_backend_modules.png" descr="03_backend_modules.png" title="03_backend_modu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91250" cy="3762375"/>
                    </a:xfrm>
                    <a:prstGeom prst="rect">
                      <a:avLst/>
                    </a:prstGeom>
                  </pic:spPr>
                </pic:pic>
              </a:graphicData>
            </a:graphic>
          </wp:inline>
        </w:drawing>
      </w:r>
    </w:p>
    <w:p w14:paraId="364E3DE8" w14:textId="77777777" w:rsidR="00AF7F17" w:rsidRDefault="00000000">
      <w:pPr>
        <w:spacing w:after="160"/>
        <w:jc w:val="center"/>
      </w:pPr>
      <w:r>
        <w:rPr>
          <w:i/>
          <w:iCs/>
          <w:color w:val="5F6B76"/>
          <w:sz w:val="18"/>
          <w:szCs w:val="18"/>
        </w:rPr>
        <w:t>Modules communicate through in-process interfaces and domain events; they do not call another module’s tables directly.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2"/>
        <w:gridCol w:w="3032"/>
        <w:gridCol w:w="2823"/>
        <w:gridCol w:w="2719"/>
      </w:tblGrid>
      <w:tr w:rsidR="00AF7F17" w14:paraId="4010EE0E" w14:textId="77777777">
        <w:tblPrEx>
          <w:tblCellMar>
            <w:top w:w="0" w:type="dxa"/>
            <w:bottom w:w="0" w:type="dxa"/>
          </w:tblCellMar>
        </w:tblPrEx>
        <w:trPr>
          <w:cantSplit/>
          <w:tblHeader/>
        </w:trPr>
        <w:tc>
          <w:tcPr>
            <w:tcW w:w="900" w:type="pct"/>
            <w:tcBorders>
              <w:top w:val="single" w:sz="4" w:space="0" w:color="C7D0D8"/>
              <w:left w:val="single" w:sz="4" w:space="0" w:color="C7D0D8"/>
              <w:bottom w:val="single" w:sz="4" w:space="0" w:color="C7D0D8"/>
              <w:right w:val="single" w:sz="4" w:space="0" w:color="C7D0D8"/>
            </w:tcBorders>
            <w:shd w:val="clear" w:color="auto" w:fill="17324D"/>
            <w:tcMar>
              <w:top w:w="90" w:type="dxa"/>
              <w:left w:w="95" w:type="dxa"/>
              <w:bottom w:w="90" w:type="dxa"/>
              <w:right w:w="95" w:type="dxa"/>
            </w:tcMar>
            <w:vAlign w:val="center"/>
          </w:tcPr>
          <w:p w14:paraId="72A9B582" w14:textId="77777777" w:rsidR="00AF7F17" w:rsidRDefault="00000000">
            <w:pPr>
              <w:spacing w:after="0"/>
            </w:pPr>
            <w:r>
              <w:rPr>
                <w:b/>
                <w:bCs/>
                <w:color w:val="FFFFFF"/>
                <w:sz w:val="18"/>
                <w:szCs w:val="18"/>
              </w:rPr>
              <w:t>Module</w:t>
            </w:r>
          </w:p>
        </w:tc>
        <w:tc>
          <w:tcPr>
            <w:tcW w:w="1450" w:type="pct"/>
            <w:tcBorders>
              <w:top w:val="single" w:sz="4" w:space="0" w:color="C7D0D8"/>
              <w:left w:val="single" w:sz="4" w:space="0" w:color="C7D0D8"/>
              <w:bottom w:val="single" w:sz="4" w:space="0" w:color="C7D0D8"/>
              <w:right w:val="single" w:sz="4" w:space="0" w:color="C7D0D8"/>
            </w:tcBorders>
            <w:shd w:val="clear" w:color="auto" w:fill="17324D"/>
            <w:tcMar>
              <w:top w:w="90" w:type="dxa"/>
              <w:left w:w="95" w:type="dxa"/>
              <w:bottom w:w="90" w:type="dxa"/>
              <w:right w:w="95" w:type="dxa"/>
            </w:tcMar>
            <w:vAlign w:val="center"/>
          </w:tcPr>
          <w:p w14:paraId="73A54053" w14:textId="77777777" w:rsidR="00AF7F17" w:rsidRDefault="00000000">
            <w:pPr>
              <w:spacing w:after="0"/>
            </w:pPr>
            <w:r>
              <w:rPr>
                <w:b/>
                <w:bCs/>
                <w:color w:val="FFFFFF"/>
                <w:sz w:val="18"/>
                <w:szCs w:val="18"/>
              </w:rPr>
              <w:t>Owns</w:t>
            </w:r>
          </w:p>
        </w:tc>
        <w:tc>
          <w:tcPr>
            <w:tcW w:w="1350" w:type="pct"/>
            <w:tcBorders>
              <w:top w:val="single" w:sz="4" w:space="0" w:color="C7D0D8"/>
              <w:left w:val="single" w:sz="4" w:space="0" w:color="C7D0D8"/>
              <w:bottom w:val="single" w:sz="4" w:space="0" w:color="C7D0D8"/>
              <w:right w:val="single" w:sz="4" w:space="0" w:color="C7D0D8"/>
            </w:tcBorders>
            <w:shd w:val="clear" w:color="auto" w:fill="17324D"/>
            <w:tcMar>
              <w:top w:w="90" w:type="dxa"/>
              <w:left w:w="95" w:type="dxa"/>
              <w:bottom w:w="90" w:type="dxa"/>
              <w:right w:w="95" w:type="dxa"/>
            </w:tcMar>
            <w:vAlign w:val="center"/>
          </w:tcPr>
          <w:p w14:paraId="25A192FC" w14:textId="77777777" w:rsidR="00AF7F17" w:rsidRDefault="00000000">
            <w:pPr>
              <w:spacing w:after="0"/>
            </w:pPr>
            <w:r>
              <w:rPr>
                <w:b/>
                <w:bCs/>
                <w:color w:val="FFFFFF"/>
                <w:sz w:val="18"/>
                <w:szCs w:val="18"/>
              </w:rPr>
              <w:t>May depend on</w:t>
            </w:r>
          </w:p>
        </w:tc>
        <w:tc>
          <w:tcPr>
            <w:tcW w:w="1300" w:type="pct"/>
            <w:tcBorders>
              <w:top w:val="single" w:sz="4" w:space="0" w:color="C7D0D8"/>
              <w:left w:val="single" w:sz="4" w:space="0" w:color="C7D0D8"/>
              <w:bottom w:val="single" w:sz="4" w:space="0" w:color="C7D0D8"/>
              <w:right w:val="single" w:sz="4" w:space="0" w:color="C7D0D8"/>
            </w:tcBorders>
            <w:shd w:val="clear" w:color="auto" w:fill="17324D"/>
            <w:tcMar>
              <w:top w:w="90" w:type="dxa"/>
              <w:left w:w="95" w:type="dxa"/>
              <w:bottom w:w="90" w:type="dxa"/>
              <w:right w:w="95" w:type="dxa"/>
            </w:tcMar>
            <w:vAlign w:val="center"/>
          </w:tcPr>
          <w:p w14:paraId="42909780" w14:textId="77777777" w:rsidR="00AF7F17" w:rsidRDefault="00000000">
            <w:pPr>
              <w:spacing w:after="0"/>
            </w:pPr>
            <w:r>
              <w:rPr>
                <w:b/>
                <w:bCs/>
                <w:color w:val="FFFFFF"/>
                <w:sz w:val="18"/>
                <w:szCs w:val="18"/>
              </w:rPr>
              <w:t>Must not do</w:t>
            </w:r>
          </w:p>
        </w:tc>
      </w:tr>
      <w:tr w:rsidR="00AF7F17" w14:paraId="2133B02C" w14:textId="77777777">
        <w:tblPrEx>
          <w:tblCellMar>
            <w:top w:w="0" w:type="dxa"/>
            <w:bottom w:w="0" w:type="dxa"/>
          </w:tblCellMar>
        </w:tblPrEx>
        <w:trPr>
          <w:cantSplit/>
        </w:trPr>
        <w:tc>
          <w:tcPr>
            <w:tcW w:w="9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64895FC8" w14:textId="77777777" w:rsidR="00AF7F17" w:rsidRDefault="00000000">
            <w:pPr>
              <w:spacing w:after="0" w:line="220" w:lineRule="auto"/>
            </w:pPr>
            <w:r>
              <w:rPr>
                <w:sz w:val="17"/>
                <w:szCs w:val="17"/>
              </w:rPr>
              <w:t>Identity &amp; Access</w:t>
            </w:r>
          </w:p>
        </w:tc>
        <w:tc>
          <w:tcPr>
            <w:tcW w:w="14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052C6D8D" w14:textId="77777777" w:rsidR="00AF7F17" w:rsidRDefault="00000000">
            <w:pPr>
              <w:spacing w:after="0" w:line="220" w:lineRule="auto"/>
            </w:pPr>
            <w:r>
              <w:rPr>
                <w:sz w:val="17"/>
                <w:szCs w:val="17"/>
              </w:rPr>
              <w:t>Authentication state, users, roles, permissions</w:t>
            </w:r>
          </w:p>
        </w:tc>
        <w:tc>
          <w:tcPr>
            <w:tcW w:w="13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1473714C" w14:textId="77777777" w:rsidR="00AF7F17" w:rsidRDefault="00000000">
            <w:pPr>
              <w:spacing w:after="0" w:line="220" w:lineRule="auto"/>
            </w:pPr>
            <w:r>
              <w:rPr>
                <w:sz w:val="17"/>
                <w:szCs w:val="17"/>
              </w:rPr>
              <w:t>Shared security primitives</w:t>
            </w:r>
          </w:p>
        </w:tc>
        <w:tc>
          <w:tcPr>
            <w:tcW w:w="13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2BCE377E" w14:textId="77777777" w:rsidR="00AF7F17" w:rsidRDefault="00000000">
            <w:pPr>
              <w:spacing w:after="0" w:line="220" w:lineRule="auto"/>
            </w:pPr>
            <w:r>
              <w:rPr>
                <w:sz w:val="17"/>
                <w:szCs w:val="17"/>
              </w:rPr>
              <w:t>Expose password/session secrets or embed feature rules</w:t>
            </w:r>
          </w:p>
        </w:tc>
      </w:tr>
      <w:tr w:rsidR="00AF7F17" w14:paraId="3DB2D666" w14:textId="77777777">
        <w:tblPrEx>
          <w:tblCellMar>
            <w:top w:w="0" w:type="dxa"/>
            <w:bottom w:w="0" w:type="dxa"/>
          </w:tblCellMar>
        </w:tblPrEx>
        <w:trPr>
          <w:cantSplit/>
        </w:trPr>
        <w:tc>
          <w:tcPr>
            <w:tcW w:w="9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56FA41D4" w14:textId="77777777" w:rsidR="00AF7F17" w:rsidRDefault="00000000">
            <w:pPr>
              <w:spacing w:after="0" w:line="220" w:lineRule="auto"/>
            </w:pPr>
            <w:r>
              <w:rPr>
                <w:sz w:val="17"/>
                <w:szCs w:val="17"/>
              </w:rPr>
              <w:t>Request Management</w:t>
            </w:r>
          </w:p>
        </w:tc>
        <w:tc>
          <w:tcPr>
            <w:tcW w:w="14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59BC448C" w14:textId="77777777" w:rsidR="00AF7F17" w:rsidRDefault="00000000">
            <w:pPr>
              <w:spacing w:after="0" w:line="220" w:lineRule="auto"/>
            </w:pPr>
            <w:r>
              <w:rPr>
                <w:sz w:val="17"/>
                <w:szCs w:val="17"/>
              </w:rPr>
              <w:t>Request creation, details, reference number, requester view</w:t>
            </w:r>
          </w:p>
        </w:tc>
        <w:tc>
          <w:tcPr>
            <w:tcW w:w="13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269E833B" w14:textId="77777777" w:rsidR="00AF7F17" w:rsidRDefault="00000000">
            <w:pPr>
              <w:spacing w:after="0" w:line="220" w:lineRule="auto"/>
            </w:pPr>
            <w:r>
              <w:rPr>
                <w:sz w:val="17"/>
                <w:szCs w:val="17"/>
              </w:rPr>
              <w:t>Identity, category contract, audit event contract</w:t>
            </w:r>
          </w:p>
        </w:tc>
        <w:tc>
          <w:tcPr>
            <w:tcW w:w="13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2A1D3624" w14:textId="77777777" w:rsidR="00AF7F17" w:rsidRDefault="00000000">
            <w:pPr>
              <w:spacing w:after="0" w:line="220" w:lineRule="auto"/>
            </w:pPr>
            <w:r>
              <w:rPr>
                <w:sz w:val="17"/>
                <w:szCs w:val="17"/>
              </w:rPr>
              <w:t>Write workflow or audit tables directly</w:t>
            </w:r>
          </w:p>
        </w:tc>
      </w:tr>
      <w:tr w:rsidR="00AF7F17" w14:paraId="0E2851B5" w14:textId="77777777">
        <w:tblPrEx>
          <w:tblCellMar>
            <w:top w:w="0" w:type="dxa"/>
            <w:bottom w:w="0" w:type="dxa"/>
          </w:tblCellMar>
        </w:tblPrEx>
        <w:trPr>
          <w:cantSplit/>
        </w:trPr>
        <w:tc>
          <w:tcPr>
            <w:tcW w:w="9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10D7E04C" w14:textId="77777777" w:rsidR="00AF7F17" w:rsidRDefault="00000000">
            <w:pPr>
              <w:spacing w:after="0" w:line="220" w:lineRule="auto"/>
            </w:pPr>
            <w:r>
              <w:rPr>
                <w:sz w:val="17"/>
                <w:szCs w:val="17"/>
              </w:rPr>
              <w:t>Workflow</w:t>
            </w:r>
          </w:p>
        </w:tc>
        <w:tc>
          <w:tcPr>
            <w:tcW w:w="14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44C483E6" w14:textId="77777777" w:rsidR="00AF7F17" w:rsidRDefault="00000000">
            <w:pPr>
              <w:spacing w:after="0" w:line="220" w:lineRule="auto"/>
            </w:pPr>
            <w:r>
              <w:rPr>
                <w:sz w:val="17"/>
                <w:szCs w:val="17"/>
              </w:rPr>
              <w:t>Assignment, status transitions, staff actions</w:t>
            </w:r>
          </w:p>
        </w:tc>
        <w:tc>
          <w:tcPr>
            <w:tcW w:w="13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4204E28D" w14:textId="77777777" w:rsidR="00AF7F17" w:rsidRDefault="00000000">
            <w:pPr>
              <w:spacing w:after="0" w:line="220" w:lineRule="auto"/>
            </w:pPr>
            <w:r>
              <w:rPr>
                <w:sz w:val="17"/>
                <w:szCs w:val="17"/>
              </w:rPr>
              <w:t>Identity, request contract, audit event contract</w:t>
            </w:r>
          </w:p>
        </w:tc>
        <w:tc>
          <w:tcPr>
            <w:tcW w:w="13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50740673" w14:textId="77777777" w:rsidR="00AF7F17" w:rsidRDefault="00000000">
            <w:pPr>
              <w:spacing w:after="0" w:line="220" w:lineRule="auto"/>
            </w:pPr>
            <w:r>
              <w:rPr>
                <w:sz w:val="17"/>
                <w:szCs w:val="17"/>
              </w:rPr>
              <w:t>Permit invalid transitions or bypass authorisation</w:t>
            </w:r>
          </w:p>
        </w:tc>
      </w:tr>
      <w:tr w:rsidR="00AF7F17" w14:paraId="48C7B8B0" w14:textId="77777777">
        <w:tblPrEx>
          <w:tblCellMar>
            <w:top w:w="0" w:type="dxa"/>
            <w:bottom w:w="0" w:type="dxa"/>
          </w:tblCellMar>
        </w:tblPrEx>
        <w:trPr>
          <w:cantSplit/>
        </w:trPr>
        <w:tc>
          <w:tcPr>
            <w:tcW w:w="9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3BD33DC2" w14:textId="77777777" w:rsidR="00AF7F17" w:rsidRDefault="00000000">
            <w:pPr>
              <w:spacing w:after="0" w:line="220" w:lineRule="auto"/>
            </w:pPr>
            <w:r>
              <w:rPr>
                <w:sz w:val="17"/>
                <w:szCs w:val="17"/>
              </w:rPr>
              <w:t>Audit &amp; History</w:t>
            </w:r>
          </w:p>
        </w:tc>
        <w:tc>
          <w:tcPr>
            <w:tcW w:w="14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31F50D60" w14:textId="77777777" w:rsidR="00AF7F17" w:rsidRDefault="00000000">
            <w:pPr>
              <w:spacing w:after="0" w:line="220" w:lineRule="auto"/>
            </w:pPr>
            <w:r>
              <w:rPr>
                <w:sz w:val="17"/>
                <w:szCs w:val="17"/>
              </w:rPr>
              <w:t>Immutable actor/action/record/time entries; timeline queries</w:t>
            </w:r>
          </w:p>
        </w:tc>
        <w:tc>
          <w:tcPr>
            <w:tcW w:w="13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210EE3CF" w14:textId="77777777" w:rsidR="00AF7F17" w:rsidRDefault="00000000">
            <w:pPr>
              <w:spacing w:after="0" w:line="220" w:lineRule="auto"/>
            </w:pPr>
            <w:r>
              <w:rPr>
                <w:sz w:val="17"/>
                <w:szCs w:val="17"/>
              </w:rPr>
              <w:t>Identity identifiers and domain-event contracts</w:t>
            </w:r>
          </w:p>
        </w:tc>
        <w:tc>
          <w:tcPr>
            <w:tcW w:w="13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53463E0F" w14:textId="77777777" w:rsidR="00AF7F17" w:rsidRDefault="00000000">
            <w:pPr>
              <w:spacing w:after="0" w:line="220" w:lineRule="auto"/>
            </w:pPr>
            <w:r>
              <w:rPr>
                <w:sz w:val="17"/>
                <w:szCs w:val="17"/>
              </w:rPr>
              <w:t>Mutate prior events through ordinary application paths</w:t>
            </w:r>
          </w:p>
        </w:tc>
      </w:tr>
      <w:tr w:rsidR="00AF7F17" w14:paraId="44DB5DCC" w14:textId="77777777">
        <w:tblPrEx>
          <w:tblCellMar>
            <w:top w:w="0" w:type="dxa"/>
            <w:bottom w:w="0" w:type="dxa"/>
          </w:tblCellMar>
        </w:tblPrEx>
        <w:trPr>
          <w:cantSplit/>
        </w:trPr>
        <w:tc>
          <w:tcPr>
            <w:tcW w:w="9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31051FB7" w14:textId="77777777" w:rsidR="00AF7F17" w:rsidRDefault="00000000">
            <w:pPr>
              <w:spacing w:after="0" w:line="220" w:lineRule="auto"/>
            </w:pPr>
            <w:r>
              <w:rPr>
                <w:sz w:val="17"/>
                <w:szCs w:val="17"/>
              </w:rPr>
              <w:t>Reporting</w:t>
            </w:r>
          </w:p>
        </w:tc>
        <w:tc>
          <w:tcPr>
            <w:tcW w:w="14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2C9E78E9" w14:textId="77777777" w:rsidR="00AF7F17" w:rsidRDefault="00000000">
            <w:pPr>
              <w:spacing w:after="0" w:line="220" w:lineRule="auto"/>
            </w:pPr>
            <w:r>
              <w:rPr>
                <w:sz w:val="17"/>
                <w:szCs w:val="17"/>
              </w:rPr>
              <w:t>Read models, counts, ageing and trends</w:t>
            </w:r>
          </w:p>
        </w:tc>
        <w:tc>
          <w:tcPr>
            <w:tcW w:w="13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56915CC8" w14:textId="77777777" w:rsidR="00AF7F17" w:rsidRDefault="00000000">
            <w:pPr>
              <w:spacing w:after="0" w:line="220" w:lineRule="auto"/>
            </w:pPr>
            <w:r>
              <w:rPr>
                <w:sz w:val="17"/>
                <w:szCs w:val="17"/>
              </w:rPr>
              <w:t>Approved read interfaces/views</w:t>
            </w:r>
          </w:p>
        </w:tc>
        <w:tc>
          <w:tcPr>
            <w:tcW w:w="13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21A15234" w14:textId="77777777" w:rsidR="00AF7F17" w:rsidRDefault="00000000">
            <w:pPr>
              <w:spacing w:after="0" w:line="220" w:lineRule="auto"/>
            </w:pPr>
            <w:r>
              <w:rPr>
                <w:sz w:val="17"/>
                <w:szCs w:val="17"/>
              </w:rPr>
              <w:t>Become the source of truth for operational records</w:t>
            </w:r>
          </w:p>
        </w:tc>
      </w:tr>
      <w:tr w:rsidR="00AF7F17" w14:paraId="15A5BB46" w14:textId="77777777">
        <w:tblPrEx>
          <w:tblCellMar>
            <w:top w:w="0" w:type="dxa"/>
            <w:bottom w:w="0" w:type="dxa"/>
          </w:tblCellMar>
        </w:tblPrEx>
        <w:trPr>
          <w:cantSplit/>
        </w:trPr>
        <w:tc>
          <w:tcPr>
            <w:tcW w:w="9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2EAA2AD6" w14:textId="77777777" w:rsidR="00AF7F17" w:rsidRDefault="00000000">
            <w:pPr>
              <w:spacing w:after="0" w:line="220" w:lineRule="auto"/>
            </w:pPr>
            <w:r>
              <w:rPr>
                <w:sz w:val="17"/>
                <w:szCs w:val="17"/>
              </w:rPr>
              <w:t>Administration</w:t>
            </w:r>
          </w:p>
        </w:tc>
        <w:tc>
          <w:tcPr>
            <w:tcW w:w="14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513A1168" w14:textId="77777777" w:rsidR="00AF7F17" w:rsidRDefault="00000000">
            <w:pPr>
              <w:spacing w:after="0" w:line="220" w:lineRule="auto"/>
            </w:pPr>
            <w:r>
              <w:rPr>
                <w:sz w:val="17"/>
                <w:szCs w:val="17"/>
              </w:rPr>
              <w:t>Users, roles, categories and routing configuration</w:t>
            </w:r>
          </w:p>
        </w:tc>
        <w:tc>
          <w:tcPr>
            <w:tcW w:w="13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3BBAAF6E" w14:textId="77777777" w:rsidR="00AF7F17" w:rsidRDefault="00000000">
            <w:pPr>
              <w:spacing w:after="0" w:line="220" w:lineRule="auto"/>
            </w:pPr>
            <w:r>
              <w:rPr>
                <w:sz w:val="17"/>
                <w:szCs w:val="17"/>
              </w:rPr>
              <w:t>Identity and request configuration contracts</w:t>
            </w:r>
          </w:p>
        </w:tc>
        <w:tc>
          <w:tcPr>
            <w:tcW w:w="13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03E8D0FA" w14:textId="77777777" w:rsidR="00AF7F17" w:rsidRDefault="00000000">
            <w:pPr>
              <w:spacing w:after="0" w:line="220" w:lineRule="auto"/>
            </w:pPr>
            <w:r>
              <w:rPr>
                <w:sz w:val="17"/>
                <w:szCs w:val="17"/>
              </w:rPr>
              <w:t>Change live data without audit capture</w:t>
            </w:r>
          </w:p>
        </w:tc>
      </w:tr>
    </w:tbl>
    <w:p w14:paraId="120E259A" w14:textId="77777777" w:rsidR="00AF7F17" w:rsidRDefault="00000000">
      <w:pPr>
        <w:pStyle w:val="Heading2"/>
      </w:pPr>
      <w:r>
        <w:lastRenderedPageBreak/>
        <w:t>5.4 Integrity-critical request creation</w:t>
      </w:r>
    </w:p>
    <w:p w14:paraId="43C54F20" w14:textId="77777777" w:rsidR="00AF7F17" w:rsidRDefault="00000000">
      <w:pPr>
        <w:spacing w:after="40"/>
        <w:jc w:val="center"/>
      </w:pPr>
      <w:r>
        <w:rPr>
          <w:noProof/>
        </w:rPr>
        <w:drawing>
          <wp:inline distT="0" distB="0" distL="0" distR="0" wp14:anchorId="7D555A1E" wp14:editId="4E6F2E67">
            <wp:extent cx="6191250" cy="3362325"/>
            <wp:effectExtent l="0" t="0" r="0" b="0"/>
            <wp:docPr id="964251062" name="04_request_sequence.png" descr="04_request_sequence.png" title="04_request_sequ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91250" cy="3362325"/>
                    </a:xfrm>
                    <a:prstGeom prst="rect">
                      <a:avLst/>
                    </a:prstGeom>
                  </pic:spPr>
                </pic:pic>
              </a:graphicData>
            </a:graphic>
          </wp:inline>
        </w:drawing>
      </w:r>
    </w:p>
    <w:p w14:paraId="037951B9" w14:textId="77777777" w:rsidR="00AF7F17" w:rsidRDefault="00000000">
      <w:pPr>
        <w:spacing w:after="160"/>
        <w:jc w:val="center"/>
      </w:pPr>
      <w:r>
        <w:rPr>
          <w:i/>
          <w:iCs/>
          <w:color w:val="5F6B76"/>
          <w:sz w:val="18"/>
          <w:szCs w:val="18"/>
        </w:rPr>
        <w:t>The request row and first history record form one atomic unit of work.</w:t>
      </w:r>
    </w:p>
    <w:p w14:paraId="6040EA8A" w14:textId="77777777" w:rsidR="00AF7F17" w:rsidRDefault="00000000">
      <w:pPr>
        <w:jc w:val="both"/>
      </w:pPr>
      <w:r>
        <w:t>A PostgreSQL transaction treats the operations as one unit: either all changes are committed or none are retained. Primary/foreign keys and uniqueness constraints enforce relationships and prevent duplicate identifiers at the database boundary (Douglas and Douglas, 2005).</w:t>
      </w:r>
    </w:p>
    <w:p w14:paraId="3572A326" w14:textId="77777777" w:rsidR="00AF7F17" w:rsidRDefault="00000000">
      <w:pPr>
        <w:pStyle w:val="Heading2"/>
      </w:pPr>
      <w:r>
        <w:t>5.5 Architecture rules</w:t>
      </w:r>
    </w:p>
    <w:p w14:paraId="09E9BBAE" w14:textId="77777777" w:rsidR="00AF7F17" w:rsidRDefault="00000000">
      <w:pPr>
        <w:pStyle w:val="ListParagraph"/>
        <w:numPr>
          <w:ilvl w:val="0"/>
          <w:numId w:val="2"/>
        </w:numPr>
        <w:spacing w:after="70" w:line="250" w:lineRule="auto"/>
      </w:pPr>
      <w:r>
        <w:t>React components call the backend only through documented HTTP endpoints; they never connect directly to PostgreSQL.</w:t>
      </w:r>
    </w:p>
    <w:p w14:paraId="66D1B1A3" w14:textId="77777777" w:rsidR="00AF7F17" w:rsidRDefault="00000000">
      <w:pPr>
        <w:pStyle w:val="ListParagraph"/>
        <w:numPr>
          <w:ilvl w:val="0"/>
          <w:numId w:val="2"/>
        </w:numPr>
        <w:spacing w:after="70" w:line="250" w:lineRule="auto"/>
      </w:pPr>
      <w:r>
        <w:t>Express routes perform transport concerns and delegate business decisions to services; routes do not contain persistence logic.</w:t>
      </w:r>
    </w:p>
    <w:p w14:paraId="1598B999" w14:textId="77777777" w:rsidR="00AF7F17" w:rsidRDefault="00000000">
      <w:pPr>
        <w:pStyle w:val="ListParagraph"/>
        <w:numPr>
          <w:ilvl w:val="0"/>
          <w:numId w:val="2"/>
        </w:numPr>
        <w:spacing w:after="70" w:line="250" w:lineRule="auto"/>
      </w:pPr>
      <w:r>
        <w:t xml:space="preserve">Every protected use case </w:t>
      </w:r>
      <w:proofErr w:type="gramStart"/>
      <w:r>
        <w:t>checks</w:t>
      </w:r>
      <w:proofErr w:type="gramEnd"/>
      <w:r>
        <w:t xml:space="preserve"> authenticated identity and permission before reading or changing restricted data.</w:t>
      </w:r>
    </w:p>
    <w:p w14:paraId="1F14CDF8" w14:textId="77777777" w:rsidR="00AF7F17" w:rsidRDefault="00000000">
      <w:pPr>
        <w:pStyle w:val="ListParagraph"/>
        <w:numPr>
          <w:ilvl w:val="0"/>
          <w:numId w:val="2"/>
        </w:numPr>
        <w:spacing w:after="70" w:line="250" w:lineRule="auto"/>
      </w:pPr>
      <w:r>
        <w:t>A module accesses its own data through its repository or service interface. Cross-module table access is prohibited.</w:t>
      </w:r>
    </w:p>
    <w:p w14:paraId="7C2E5D16" w14:textId="77777777" w:rsidR="00AF7F17" w:rsidRDefault="00000000">
      <w:pPr>
        <w:pStyle w:val="ListParagraph"/>
        <w:numPr>
          <w:ilvl w:val="0"/>
          <w:numId w:val="2"/>
        </w:numPr>
        <w:spacing w:after="70" w:line="250" w:lineRule="auto"/>
      </w:pPr>
      <w:r>
        <w:t>Integrity-critical changes and their mandatory audit entry share one database transaction.</w:t>
      </w:r>
    </w:p>
    <w:p w14:paraId="19B60576" w14:textId="77777777" w:rsidR="00AF7F17" w:rsidRDefault="00000000">
      <w:pPr>
        <w:pStyle w:val="ListParagraph"/>
        <w:numPr>
          <w:ilvl w:val="0"/>
          <w:numId w:val="2"/>
        </w:numPr>
        <w:spacing w:after="70" w:line="250" w:lineRule="auto"/>
      </w:pPr>
      <w:r>
        <w:t>Domain events remain in-process in M2. An external broker requires a new ADR and an outbox/retry design.</w:t>
      </w:r>
    </w:p>
    <w:p w14:paraId="76FC4C11" w14:textId="77777777" w:rsidR="00AF7F17" w:rsidRDefault="00000000">
      <w:pPr>
        <w:pStyle w:val="ListParagraph"/>
        <w:numPr>
          <w:ilvl w:val="0"/>
          <w:numId w:val="2"/>
        </w:numPr>
        <w:spacing w:after="70" w:line="250" w:lineRule="auto"/>
      </w:pPr>
      <w:r>
        <w:t>Reporting uses indexed, paginated queries or database views and may not weaken the transactional source of truth.</w:t>
      </w:r>
    </w:p>
    <w:p w14:paraId="47FF1DF7" w14:textId="77777777" w:rsidR="00AF7F17" w:rsidRDefault="00000000">
      <w:pPr>
        <w:pStyle w:val="ListParagraph"/>
        <w:numPr>
          <w:ilvl w:val="0"/>
          <w:numId w:val="2"/>
        </w:numPr>
        <w:spacing w:after="70" w:line="250" w:lineRule="auto"/>
      </w:pPr>
      <w:r>
        <w:t>Runtime secrets are supplied through protected configuration; they are never committed to the repository.</w:t>
      </w:r>
    </w:p>
    <w:p w14:paraId="212D54E3" w14:textId="77777777" w:rsidR="00AF7F17" w:rsidRDefault="00000000">
      <w:pPr>
        <w:pStyle w:val="Heading1"/>
      </w:pPr>
      <w:r>
        <w:lastRenderedPageBreak/>
        <w:t>6. Technology stack decision</w:t>
      </w:r>
    </w:p>
    <w:p w14:paraId="631E5F3B" w14:textId="77777777" w:rsidR="00AF7F17" w:rsidRDefault="00000000">
      <w:pPr>
        <w:pStyle w:val="Heading2"/>
      </w:pPr>
      <w:r>
        <w:t>6.1 Stack fit and proportionality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8"/>
        <w:gridCol w:w="1987"/>
        <w:gridCol w:w="2614"/>
        <w:gridCol w:w="4287"/>
      </w:tblGrid>
      <w:tr w:rsidR="00AF7F17" w14:paraId="7751880C" w14:textId="77777777">
        <w:tblPrEx>
          <w:tblCellMar>
            <w:top w:w="0" w:type="dxa"/>
            <w:bottom w:w="0" w:type="dxa"/>
          </w:tblCellMar>
        </w:tblPrEx>
        <w:trPr>
          <w:cantSplit/>
          <w:tblHeader/>
        </w:trPr>
        <w:tc>
          <w:tcPr>
            <w:tcW w:w="750" w:type="pct"/>
            <w:tcBorders>
              <w:top w:val="single" w:sz="4" w:space="0" w:color="C7D0D8"/>
              <w:left w:val="single" w:sz="4" w:space="0" w:color="C7D0D8"/>
              <w:bottom w:val="single" w:sz="4" w:space="0" w:color="C7D0D8"/>
              <w:right w:val="single" w:sz="4" w:space="0" w:color="C7D0D8"/>
            </w:tcBorders>
            <w:shd w:val="clear" w:color="auto" w:fill="17324D"/>
            <w:tcMar>
              <w:top w:w="90" w:type="dxa"/>
              <w:left w:w="95" w:type="dxa"/>
              <w:bottom w:w="90" w:type="dxa"/>
              <w:right w:w="95" w:type="dxa"/>
            </w:tcMar>
            <w:vAlign w:val="center"/>
          </w:tcPr>
          <w:p w14:paraId="1F384150" w14:textId="77777777" w:rsidR="00AF7F17" w:rsidRDefault="00000000">
            <w:pPr>
              <w:spacing w:after="0"/>
            </w:pPr>
            <w:r>
              <w:rPr>
                <w:b/>
                <w:bCs/>
                <w:color w:val="FFFFFF"/>
                <w:sz w:val="18"/>
                <w:szCs w:val="18"/>
              </w:rPr>
              <w:t>Layer</w:t>
            </w:r>
          </w:p>
        </w:tc>
        <w:tc>
          <w:tcPr>
            <w:tcW w:w="950" w:type="pct"/>
            <w:tcBorders>
              <w:top w:val="single" w:sz="4" w:space="0" w:color="C7D0D8"/>
              <w:left w:val="single" w:sz="4" w:space="0" w:color="C7D0D8"/>
              <w:bottom w:val="single" w:sz="4" w:space="0" w:color="C7D0D8"/>
              <w:right w:val="single" w:sz="4" w:space="0" w:color="C7D0D8"/>
            </w:tcBorders>
            <w:shd w:val="clear" w:color="auto" w:fill="17324D"/>
            <w:tcMar>
              <w:top w:w="90" w:type="dxa"/>
              <w:left w:w="95" w:type="dxa"/>
              <w:bottom w:w="90" w:type="dxa"/>
              <w:right w:w="95" w:type="dxa"/>
            </w:tcMar>
            <w:vAlign w:val="center"/>
          </w:tcPr>
          <w:p w14:paraId="4C2E5C99" w14:textId="77777777" w:rsidR="00AF7F17" w:rsidRDefault="00000000">
            <w:pPr>
              <w:spacing w:after="0"/>
            </w:pPr>
            <w:r>
              <w:rPr>
                <w:b/>
                <w:bCs/>
                <w:color w:val="FFFFFF"/>
                <w:sz w:val="18"/>
                <w:szCs w:val="18"/>
              </w:rPr>
              <w:t>Selected technology</w:t>
            </w:r>
          </w:p>
        </w:tc>
        <w:tc>
          <w:tcPr>
            <w:tcW w:w="1250" w:type="pct"/>
            <w:tcBorders>
              <w:top w:val="single" w:sz="4" w:space="0" w:color="C7D0D8"/>
              <w:left w:val="single" w:sz="4" w:space="0" w:color="C7D0D8"/>
              <w:bottom w:val="single" w:sz="4" w:space="0" w:color="C7D0D8"/>
              <w:right w:val="single" w:sz="4" w:space="0" w:color="C7D0D8"/>
            </w:tcBorders>
            <w:shd w:val="clear" w:color="auto" w:fill="17324D"/>
            <w:tcMar>
              <w:top w:w="90" w:type="dxa"/>
              <w:left w:w="95" w:type="dxa"/>
              <w:bottom w:w="90" w:type="dxa"/>
              <w:right w:w="95" w:type="dxa"/>
            </w:tcMar>
            <w:vAlign w:val="center"/>
          </w:tcPr>
          <w:p w14:paraId="29A33ED0" w14:textId="77777777" w:rsidR="00AF7F17" w:rsidRDefault="00000000">
            <w:pPr>
              <w:spacing w:after="0"/>
            </w:pPr>
            <w:r>
              <w:rPr>
                <w:b/>
                <w:bCs/>
                <w:color w:val="FFFFFF"/>
                <w:sz w:val="18"/>
                <w:szCs w:val="18"/>
              </w:rPr>
              <w:t>Alternatives considered</w:t>
            </w:r>
          </w:p>
        </w:tc>
        <w:tc>
          <w:tcPr>
            <w:tcW w:w="2050" w:type="pct"/>
            <w:tcBorders>
              <w:top w:val="single" w:sz="4" w:space="0" w:color="C7D0D8"/>
              <w:left w:val="single" w:sz="4" w:space="0" w:color="C7D0D8"/>
              <w:bottom w:val="single" w:sz="4" w:space="0" w:color="C7D0D8"/>
              <w:right w:val="single" w:sz="4" w:space="0" w:color="C7D0D8"/>
            </w:tcBorders>
            <w:shd w:val="clear" w:color="auto" w:fill="17324D"/>
            <w:tcMar>
              <w:top w:w="90" w:type="dxa"/>
              <w:left w:w="95" w:type="dxa"/>
              <w:bottom w:w="90" w:type="dxa"/>
              <w:right w:w="95" w:type="dxa"/>
            </w:tcMar>
            <w:vAlign w:val="center"/>
          </w:tcPr>
          <w:p w14:paraId="76AD743F" w14:textId="77777777" w:rsidR="00AF7F17" w:rsidRDefault="00000000">
            <w:pPr>
              <w:spacing w:after="0"/>
            </w:pPr>
            <w:r>
              <w:rPr>
                <w:b/>
                <w:bCs/>
                <w:color w:val="FFFFFF"/>
                <w:sz w:val="18"/>
                <w:szCs w:val="18"/>
              </w:rPr>
              <w:t>Decision basis and constraints</w:t>
            </w:r>
          </w:p>
        </w:tc>
      </w:tr>
      <w:tr w:rsidR="00AF7F17" w14:paraId="3E6D8D26" w14:textId="77777777">
        <w:tblPrEx>
          <w:tblCellMar>
            <w:top w:w="0" w:type="dxa"/>
            <w:bottom w:w="0" w:type="dxa"/>
          </w:tblCellMar>
        </w:tblPrEx>
        <w:trPr>
          <w:cantSplit/>
        </w:trPr>
        <w:tc>
          <w:tcPr>
            <w:tcW w:w="7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0DDD3B9C" w14:textId="77777777" w:rsidR="00AF7F17" w:rsidRDefault="00000000">
            <w:pPr>
              <w:spacing w:after="0" w:line="220" w:lineRule="auto"/>
            </w:pPr>
            <w:r>
              <w:rPr>
                <w:sz w:val="17"/>
                <w:szCs w:val="17"/>
              </w:rPr>
              <w:t>Frontend</w:t>
            </w:r>
          </w:p>
        </w:tc>
        <w:tc>
          <w:tcPr>
            <w:tcW w:w="9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7B447DE6" w14:textId="77777777" w:rsidR="00AF7F17" w:rsidRDefault="00000000">
            <w:pPr>
              <w:spacing w:after="0" w:line="220" w:lineRule="auto"/>
            </w:pPr>
            <w:r>
              <w:rPr>
                <w:sz w:val="17"/>
                <w:szCs w:val="17"/>
              </w:rPr>
              <w:t>React</w:t>
            </w:r>
          </w:p>
        </w:tc>
        <w:tc>
          <w:tcPr>
            <w:tcW w:w="12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0D9EE388" w14:textId="77777777" w:rsidR="00AF7F17" w:rsidRDefault="00000000">
            <w:pPr>
              <w:spacing w:after="0" w:line="220" w:lineRule="auto"/>
            </w:pPr>
            <w:r>
              <w:rPr>
                <w:sz w:val="17"/>
                <w:szCs w:val="17"/>
              </w:rPr>
              <w:t>Server-rendered templates; alternative React-like frameworks/meta-frameworks</w:t>
            </w:r>
          </w:p>
        </w:tc>
        <w:tc>
          <w:tcPr>
            <w:tcW w:w="20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238B9F5E" w14:textId="77777777" w:rsidR="00AF7F17" w:rsidRDefault="00000000">
            <w:pPr>
              <w:spacing w:after="0" w:line="220" w:lineRule="auto"/>
            </w:pPr>
            <w:r>
              <w:rPr>
                <w:sz w:val="17"/>
                <w:szCs w:val="17"/>
              </w:rPr>
              <w:t>Chosen team stack for a responsive, interactive UI. Bundle size and initial rendering must be measured because a baseline React SPA can ship more client-side JavaScript; optimisation is evidence-driven (Lonka, 2023).</w:t>
            </w:r>
          </w:p>
        </w:tc>
      </w:tr>
      <w:tr w:rsidR="00AF7F17" w14:paraId="4B987979" w14:textId="77777777">
        <w:tblPrEx>
          <w:tblCellMar>
            <w:top w:w="0" w:type="dxa"/>
            <w:bottom w:w="0" w:type="dxa"/>
          </w:tblCellMar>
        </w:tblPrEx>
        <w:trPr>
          <w:cantSplit/>
        </w:trPr>
        <w:tc>
          <w:tcPr>
            <w:tcW w:w="7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0BCCC6E5" w14:textId="77777777" w:rsidR="00AF7F17" w:rsidRDefault="00000000">
            <w:pPr>
              <w:spacing w:after="0" w:line="220" w:lineRule="auto"/>
            </w:pPr>
            <w:r>
              <w:rPr>
                <w:sz w:val="17"/>
                <w:szCs w:val="17"/>
              </w:rPr>
              <w:t>Backend</w:t>
            </w:r>
          </w:p>
        </w:tc>
        <w:tc>
          <w:tcPr>
            <w:tcW w:w="9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49F6FBBC" w14:textId="77777777" w:rsidR="00AF7F17" w:rsidRDefault="00000000">
            <w:pPr>
              <w:spacing w:after="0" w:line="220" w:lineRule="auto"/>
            </w:pPr>
            <w:r>
              <w:rPr>
                <w:sz w:val="17"/>
                <w:szCs w:val="17"/>
              </w:rPr>
              <w:t>Node.js + Express</w:t>
            </w:r>
          </w:p>
        </w:tc>
        <w:tc>
          <w:tcPr>
            <w:tcW w:w="12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23242C26" w14:textId="77777777" w:rsidR="00AF7F17" w:rsidRDefault="00000000">
            <w:pPr>
              <w:spacing w:after="0" w:line="220" w:lineRule="auto"/>
            </w:pPr>
            <w:r>
              <w:rPr>
                <w:sz w:val="17"/>
                <w:szCs w:val="17"/>
              </w:rPr>
              <w:t>PHP backend; multiple independently deployed services</w:t>
            </w:r>
          </w:p>
        </w:tc>
        <w:tc>
          <w:tcPr>
            <w:tcW w:w="20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3DBE60E8" w14:textId="77777777" w:rsidR="00AF7F17" w:rsidRDefault="00000000">
            <w:pPr>
              <w:spacing w:after="0" w:line="220" w:lineRule="auto"/>
            </w:pPr>
            <w:r>
              <w:rPr>
                <w:sz w:val="17"/>
                <w:szCs w:val="17"/>
              </w:rPr>
              <w:t>Node.js performed better than PHP in the supplied benchmark study. Express keeps the HTTP layer small; business rules remain framework-independent (</w:t>
            </w:r>
            <w:proofErr w:type="spellStart"/>
            <w:r>
              <w:rPr>
                <w:sz w:val="17"/>
                <w:szCs w:val="17"/>
              </w:rPr>
              <w:t>Odeniran</w:t>
            </w:r>
            <w:proofErr w:type="spellEnd"/>
            <w:r>
              <w:rPr>
                <w:sz w:val="17"/>
                <w:szCs w:val="17"/>
              </w:rPr>
              <w:t>, Wimmer and Rebman, 2023).</w:t>
            </w:r>
          </w:p>
        </w:tc>
      </w:tr>
      <w:tr w:rsidR="00AF7F17" w14:paraId="65754781" w14:textId="77777777">
        <w:tblPrEx>
          <w:tblCellMar>
            <w:top w:w="0" w:type="dxa"/>
            <w:bottom w:w="0" w:type="dxa"/>
          </w:tblCellMar>
        </w:tblPrEx>
        <w:trPr>
          <w:cantSplit/>
        </w:trPr>
        <w:tc>
          <w:tcPr>
            <w:tcW w:w="7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337904F4" w14:textId="77777777" w:rsidR="00AF7F17" w:rsidRDefault="00000000">
            <w:pPr>
              <w:spacing w:after="0" w:line="220" w:lineRule="auto"/>
            </w:pPr>
            <w:r>
              <w:rPr>
                <w:sz w:val="17"/>
                <w:szCs w:val="17"/>
              </w:rPr>
              <w:t>Database</w:t>
            </w:r>
          </w:p>
        </w:tc>
        <w:tc>
          <w:tcPr>
            <w:tcW w:w="9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44BFD0FE" w14:textId="77777777" w:rsidR="00AF7F17" w:rsidRDefault="00000000">
            <w:pPr>
              <w:spacing w:after="0" w:line="220" w:lineRule="auto"/>
            </w:pPr>
            <w:r>
              <w:rPr>
                <w:sz w:val="17"/>
                <w:szCs w:val="17"/>
              </w:rPr>
              <w:t>PostgreSQL</w:t>
            </w:r>
          </w:p>
        </w:tc>
        <w:tc>
          <w:tcPr>
            <w:tcW w:w="12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0DC17DA3" w14:textId="77777777" w:rsidR="00AF7F17" w:rsidRDefault="00000000">
            <w:pPr>
              <w:spacing w:after="0" w:line="220" w:lineRule="auto"/>
            </w:pPr>
            <w:r>
              <w:rPr>
                <w:sz w:val="17"/>
                <w:szCs w:val="17"/>
              </w:rPr>
              <w:t>Document-oriented NoSQL database</w:t>
            </w:r>
          </w:p>
        </w:tc>
        <w:tc>
          <w:tcPr>
            <w:tcW w:w="20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52FD9621" w14:textId="77777777" w:rsidR="00AF7F17" w:rsidRDefault="00000000">
            <w:pPr>
              <w:spacing w:after="0" w:line="220" w:lineRule="auto"/>
            </w:pPr>
            <w:proofErr w:type="spellStart"/>
            <w:r>
              <w:rPr>
                <w:sz w:val="17"/>
                <w:szCs w:val="17"/>
              </w:rPr>
              <w:t>CivicConnect</w:t>
            </w:r>
            <w:proofErr w:type="spellEnd"/>
            <w:r>
              <w:rPr>
                <w:sz w:val="17"/>
                <w:szCs w:val="17"/>
              </w:rPr>
              <w:t xml:space="preserve"> has strongly related users, requests, assignments, statuses and audit records. Relational integrity and transaction consistency match NFR-007/008; NoSQL flexibility is not the dominant need (</w:t>
            </w:r>
            <w:proofErr w:type="spellStart"/>
            <w:r>
              <w:rPr>
                <w:sz w:val="17"/>
                <w:szCs w:val="17"/>
              </w:rPr>
              <w:t>Sahatqija</w:t>
            </w:r>
            <w:proofErr w:type="spellEnd"/>
            <w:r>
              <w:rPr>
                <w:sz w:val="17"/>
                <w:szCs w:val="17"/>
              </w:rPr>
              <w:t xml:space="preserve"> et al., 2018).</w:t>
            </w:r>
          </w:p>
        </w:tc>
      </w:tr>
      <w:tr w:rsidR="00AF7F17" w14:paraId="2AE1C40B" w14:textId="77777777">
        <w:tblPrEx>
          <w:tblCellMar>
            <w:top w:w="0" w:type="dxa"/>
            <w:bottom w:w="0" w:type="dxa"/>
          </w:tblCellMar>
        </w:tblPrEx>
        <w:trPr>
          <w:cantSplit/>
        </w:trPr>
        <w:tc>
          <w:tcPr>
            <w:tcW w:w="7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5F44FFB2" w14:textId="77777777" w:rsidR="00AF7F17" w:rsidRDefault="00000000">
            <w:pPr>
              <w:spacing w:after="0" w:line="220" w:lineRule="auto"/>
            </w:pPr>
            <w:r>
              <w:rPr>
                <w:sz w:val="17"/>
                <w:szCs w:val="17"/>
              </w:rPr>
              <w:t>Architecture</w:t>
            </w:r>
          </w:p>
        </w:tc>
        <w:tc>
          <w:tcPr>
            <w:tcW w:w="9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751235B7" w14:textId="77777777" w:rsidR="00AF7F17" w:rsidRDefault="00000000">
            <w:pPr>
              <w:spacing w:after="0" w:line="220" w:lineRule="auto"/>
            </w:pPr>
            <w:r>
              <w:rPr>
                <w:sz w:val="17"/>
                <w:szCs w:val="17"/>
              </w:rPr>
              <w:t>Layered modular monolith</w:t>
            </w:r>
          </w:p>
        </w:tc>
        <w:tc>
          <w:tcPr>
            <w:tcW w:w="12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56A39674" w14:textId="77777777" w:rsidR="00AF7F17" w:rsidRDefault="00000000">
            <w:pPr>
              <w:spacing w:after="0" w:line="220" w:lineRule="auto"/>
            </w:pPr>
            <w:r>
              <w:rPr>
                <w:sz w:val="17"/>
                <w:szCs w:val="17"/>
              </w:rPr>
              <w:t>Unstructured monolith; microservices</w:t>
            </w:r>
          </w:p>
        </w:tc>
        <w:tc>
          <w:tcPr>
            <w:tcW w:w="20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5CCFCC69" w14:textId="77777777" w:rsidR="00AF7F17" w:rsidRDefault="00000000">
            <w:pPr>
              <w:spacing w:after="0" w:line="220" w:lineRule="auto"/>
            </w:pPr>
            <w:r>
              <w:rPr>
                <w:sz w:val="17"/>
                <w:szCs w:val="17"/>
              </w:rPr>
              <w:t>Provides one deployment and transaction boundary with maintainable internal seams. Microservices are deferred until measurable independent-scaling or deployment needs exist (</w:t>
            </w:r>
            <w:proofErr w:type="spellStart"/>
            <w:r>
              <w:rPr>
                <w:sz w:val="17"/>
                <w:szCs w:val="17"/>
              </w:rPr>
              <w:t>Blinowski</w:t>
            </w:r>
            <w:proofErr w:type="spellEnd"/>
            <w:r>
              <w:rPr>
                <w:sz w:val="17"/>
                <w:szCs w:val="17"/>
              </w:rPr>
              <w:t xml:space="preserve">, </w:t>
            </w:r>
            <w:proofErr w:type="spellStart"/>
            <w:r>
              <w:rPr>
                <w:sz w:val="17"/>
                <w:szCs w:val="17"/>
              </w:rPr>
              <w:t>Ojdowska</w:t>
            </w:r>
            <w:proofErr w:type="spellEnd"/>
            <w:r>
              <w:rPr>
                <w:sz w:val="17"/>
                <w:szCs w:val="17"/>
              </w:rPr>
              <w:t xml:space="preserve"> and </w:t>
            </w:r>
            <w:proofErr w:type="spellStart"/>
            <w:r>
              <w:rPr>
                <w:sz w:val="17"/>
                <w:szCs w:val="17"/>
              </w:rPr>
              <w:t>Przybyłek</w:t>
            </w:r>
            <w:proofErr w:type="spellEnd"/>
            <w:r>
              <w:rPr>
                <w:sz w:val="17"/>
                <w:szCs w:val="17"/>
              </w:rPr>
              <w:t>, 2022).</w:t>
            </w:r>
          </w:p>
        </w:tc>
      </w:tr>
    </w:tbl>
    <w:p w14:paraId="322AA30D" w14:textId="77777777" w:rsidR="00AF7F17" w:rsidRDefault="00000000">
      <w:pPr>
        <w:jc w:val="both"/>
      </w:pPr>
      <w:r>
        <w:t>Using JavaScript across the React and Node.js layers can reduce language switching for the three-person team, but it does not remove the need for framework, database and security learning. RISK-001 therefore remains open until small proofs of concept demonstrate authentication, transaction handling, deployment and CI within the M2 schedule (</w:t>
      </w:r>
      <w:proofErr w:type="spellStart"/>
      <w:r>
        <w:t>CivicConnect</w:t>
      </w:r>
      <w:proofErr w:type="spellEnd"/>
      <w:r>
        <w:t xml:space="preserve"> Team, 2026a).</w:t>
      </w:r>
    </w:p>
    <w:p w14:paraId="28BE0763" w14:textId="77777777" w:rsidR="00AF7F17" w:rsidRDefault="00000000">
      <w:pPr>
        <w:pStyle w:val="Heading2"/>
      </w:pPr>
      <w:r>
        <w:t>6.2 Version and compatibility control</w:t>
      </w:r>
    </w:p>
    <w:p w14:paraId="1D2E1664" w14:textId="77777777" w:rsidR="00AF7F17" w:rsidRDefault="00000000">
      <w:pPr>
        <w:jc w:val="both"/>
      </w:pPr>
      <w:r>
        <w:t>The research evidence supports technology categories, not current package versions. Exact versions must therefore be fixed from the team’s implemented repository rather than invented in this document. The following evidence is required before the PED v2.0 baseline is signed: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0"/>
        <w:gridCol w:w="5855"/>
        <w:gridCol w:w="2091"/>
      </w:tblGrid>
      <w:tr w:rsidR="00AF7F17" w14:paraId="082255B3" w14:textId="77777777">
        <w:tblPrEx>
          <w:tblCellMar>
            <w:top w:w="0" w:type="dxa"/>
            <w:bottom w:w="0" w:type="dxa"/>
          </w:tblCellMar>
        </w:tblPrEx>
        <w:trPr>
          <w:cantSplit/>
          <w:tblHeader/>
        </w:trPr>
        <w:tc>
          <w:tcPr>
            <w:tcW w:w="1200" w:type="pct"/>
            <w:tcBorders>
              <w:top w:val="single" w:sz="4" w:space="0" w:color="C7D0D8"/>
              <w:left w:val="single" w:sz="4" w:space="0" w:color="C7D0D8"/>
              <w:bottom w:val="single" w:sz="4" w:space="0" w:color="C7D0D8"/>
              <w:right w:val="single" w:sz="4" w:space="0" w:color="C7D0D8"/>
            </w:tcBorders>
            <w:shd w:val="clear" w:color="auto" w:fill="17324D"/>
            <w:tcMar>
              <w:top w:w="90" w:type="dxa"/>
              <w:left w:w="95" w:type="dxa"/>
              <w:bottom w:w="90" w:type="dxa"/>
              <w:right w:w="95" w:type="dxa"/>
            </w:tcMar>
            <w:vAlign w:val="center"/>
          </w:tcPr>
          <w:p w14:paraId="0C1DC15D" w14:textId="77777777" w:rsidR="00AF7F17" w:rsidRDefault="00000000">
            <w:pPr>
              <w:spacing w:after="0"/>
            </w:pPr>
            <w:r>
              <w:rPr>
                <w:b/>
                <w:bCs/>
                <w:color w:val="FFFFFF"/>
                <w:sz w:val="18"/>
                <w:szCs w:val="18"/>
              </w:rPr>
              <w:t>Item</w:t>
            </w:r>
          </w:p>
        </w:tc>
        <w:tc>
          <w:tcPr>
            <w:tcW w:w="2800" w:type="pct"/>
            <w:tcBorders>
              <w:top w:val="single" w:sz="4" w:space="0" w:color="C7D0D8"/>
              <w:left w:val="single" w:sz="4" w:space="0" w:color="C7D0D8"/>
              <w:bottom w:val="single" w:sz="4" w:space="0" w:color="C7D0D8"/>
              <w:right w:val="single" w:sz="4" w:space="0" w:color="C7D0D8"/>
            </w:tcBorders>
            <w:shd w:val="clear" w:color="auto" w:fill="17324D"/>
            <w:tcMar>
              <w:top w:w="90" w:type="dxa"/>
              <w:left w:w="95" w:type="dxa"/>
              <w:bottom w:w="90" w:type="dxa"/>
              <w:right w:w="95" w:type="dxa"/>
            </w:tcMar>
            <w:vAlign w:val="center"/>
          </w:tcPr>
          <w:p w14:paraId="6C8FC7C0" w14:textId="77777777" w:rsidR="00AF7F17" w:rsidRDefault="00000000">
            <w:pPr>
              <w:spacing w:after="0"/>
            </w:pPr>
            <w:r>
              <w:rPr>
                <w:b/>
                <w:bCs/>
                <w:color w:val="FFFFFF"/>
                <w:sz w:val="18"/>
                <w:szCs w:val="18"/>
              </w:rPr>
              <w:t>Required baseline evidence</w:t>
            </w:r>
          </w:p>
        </w:tc>
        <w:tc>
          <w:tcPr>
            <w:tcW w:w="1000" w:type="pct"/>
            <w:tcBorders>
              <w:top w:val="single" w:sz="4" w:space="0" w:color="C7D0D8"/>
              <w:left w:val="single" w:sz="4" w:space="0" w:color="C7D0D8"/>
              <w:bottom w:val="single" w:sz="4" w:space="0" w:color="C7D0D8"/>
              <w:right w:val="single" w:sz="4" w:space="0" w:color="C7D0D8"/>
            </w:tcBorders>
            <w:shd w:val="clear" w:color="auto" w:fill="17324D"/>
            <w:tcMar>
              <w:top w:w="90" w:type="dxa"/>
              <w:left w:w="95" w:type="dxa"/>
              <w:bottom w:w="90" w:type="dxa"/>
              <w:right w:w="95" w:type="dxa"/>
            </w:tcMar>
            <w:vAlign w:val="center"/>
          </w:tcPr>
          <w:p w14:paraId="62EF0F14" w14:textId="77777777" w:rsidR="00AF7F17" w:rsidRDefault="00000000">
            <w:pPr>
              <w:spacing w:after="0"/>
            </w:pPr>
            <w:r>
              <w:rPr>
                <w:b/>
                <w:bCs/>
                <w:color w:val="FFFFFF"/>
                <w:sz w:val="18"/>
                <w:szCs w:val="18"/>
              </w:rPr>
              <w:t>Status</w:t>
            </w:r>
          </w:p>
        </w:tc>
      </w:tr>
      <w:tr w:rsidR="00AF7F17" w14:paraId="7A3EFCF8" w14:textId="77777777">
        <w:tblPrEx>
          <w:tblCellMar>
            <w:top w:w="0" w:type="dxa"/>
            <w:bottom w:w="0" w:type="dxa"/>
          </w:tblCellMar>
        </w:tblPrEx>
        <w:trPr>
          <w:cantSplit/>
        </w:trPr>
        <w:tc>
          <w:tcPr>
            <w:tcW w:w="12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283E68EE" w14:textId="77777777" w:rsidR="00AF7F17" w:rsidRDefault="00000000">
            <w:pPr>
              <w:spacing w:after="0" w:line="220" w:lineRule="auto"/>
            </w:pPr>
            <w:r>
              <w:rPr>
                <w:sz w:val="17"/>
                <w:szCs w:val="17"/>
              </w:rPr>
              <w:t>Node.js runtime</w:t>
            </w:r>
          </w:p>
        </w:tc>
        <w:tc>
          <w:tcPr>
            <w:tcW w:w="28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7D4C2F13" w14:textId="77777777" w:rsidR="00AF7F17" w:rsidRDefault="00000000">
            <w:pPr>
              <w:spacing w:after="0" w:line="220" w:lineRule="auto"/>
            </w:pPr>
            <w:r>
              <w:rPr>
                <w:sz w:val="17"/>
                <w:szCs w:val="17"/>
              </w:rPr>
              <w:t>Exact runtime version in deployment configuration and CI log</w:t>
            </w:r>
          </w:p>
        </w:tc>
        <w:tc>
          <w:tcPr>
            <w:tcW w:w="10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6EB6EA14" w14:textId="77777777" w:rsidR="00AF7F17" w:rsidRDefault="00000000">
            <w:pPr>
              <w:spacing w:after="0" w:line="220" w:lineRule="auto"/>
            </w:pPr>
            <w:r>
              <w:rPr>
                <w:sz w:val="17"/>
                <w:szCs w:val="17"/>
              </w:rPr>
              <w:t>Planned</w:t>
            </w:r>
          </w:p>
        </w:tc>
      </w:tr>
      <w:tr w:rsidR="00AF7F17" w14:paraId="563C09C5" w14:textId="77777777">
        <w:tblPrEx>
          <w:tblCellMar>
            <w:top w:w="0" w:type="dxa"/>
            <w:bottom w:w="0" w:type="dxa"/>
          </w:tblCellMar>
        </w:tblPrEx>
        <w:trPr>
          <w:cantSplit/>
        </w:trPr>
        <w:tc>
          <w:tcPr>
            <w:tcW w:w="12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5D7BB219" w14:textId="77777777" w:rsidR="00AF7F17" w:rsidRDefault="00000000">
            <w:pPr>
              <w:spacing w:after="0" w:line="220" w:lineRule="auto"/>
            </w:pPr>
            <w:r>
              <w:rPr>
                <w:sz w:val="17"/>
                <w:szCs w:val="17"/>
              </w:rPr>
              <w:t>Express, React and supporting packages</w:t>
            </w:r>
          </w:p>
        </w:tc>
        <w:tc>
          <w:tcPr>
            <w:tcW w:w="28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6D6C5A99" w14:textId="77777777" w:rsidR="00AF7F17" w:rsidRDefault="00000000">
            <w:pPr>
              <w:spacing w:after="0" w:line="220" w:lineRule="auto"/>
            </w:pPr>
            <w:proofErr w:type="spellStart"/>
            <w:r>
              <w:rPr>
                <w:sz w:val="17"/>
                <w:szCs w:val="17"/>
              </w:rPr>
              <w:t>package.json</w:t>
            </w:r>
            <w:proofErr w:type="spellEnd"/>
            <w:r>
              <w:rPr>
                <w:sz w:val="17"/>
                <w:szCs w:val="17"/>
              </w:rPr>
              <w:t xml:space="preserve"> plus </w:t>
            </w:r>
            <w:proofErr w:type="spellStart"/>
            <w:r>
              <w:rPr>
                <w:sz w:val="17"/>
                <w:szCs w:val="17"/>
              </w:rPr>
              <w:t>lockfile</w:t>
            </w:r>
            <w:proofErr w:type="spellEnd"/>
            <w:r>
              <w:rPr>
                <w:sz w:val="17"/>
                <w:szCs w:val="17"/>
              </w:rPr>
              <w:t xml:space="preserve"> committed on the reviewed branch</w:t>
            </w:r>
          </w:p>
        </w:tc>
        <w:tc>
          <w:tcPr>
            <w:tcW w:w="10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70DC8089" w14:textId="77777777" w:rsidR="00AF7F17" w:rsidRDefault="00000000">
            <w:pPr>
              <w:spacing w:after="0" w:line="220" w:lineRule="auto"/>
            </w:pPr>
            <w:r>
              <w:rPr>
                <w:sz w:val="17"/>
                <w:szCs w:val="17"/>
              </w:rPr>
              <w:t>Planned</w:t>
            </w:r>
          </w:p>
        </w:tc>
      </w:tr>
      <w:tr w:rsidR="00AF7F17" w14:paraId="248C810C" w14:textId="77777777">
        <w:tblPrEx>
          <w:tblCellMar>
            <w:top w:w="0" w:type="dxa"/>
            <w:bottom w:w="0" w:type="dxa"/>
          </w:tblCellMar>
        </w:tblPrEx>
        <w:trPr>
          <w:cantSplit/>
        </w:trPr>
        <w:tc>
          <w:tcPr>
            <w:tcW w:w="12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584FAA19" w14:textId="77777777" w:rsidR="00AF7F17" w:rsidRDefault="00000000">
            <w:pPr>
              <w:spacing w:after="0" w:line="220" w:lineRule="auto"/>
            </w:pPr>
            <w:r>
              <w:rPr>
                <w:sz w:val="17"/>
                <w:szCs w:val="17"/>
              </w:rPr>
              <w:t>PostgreSQL server and driver</w:t>
            </w:r>
          </w:p>
        </w:tc>
        <w:tc>
          <w:tcPr>
            <w:tcW w:w="28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033D71A1" w14:textId="77777777" w:rsidR="00AF7F17" w:rsidRDefault="00000000">
            <w:pPr>
              <w:spacing w:after="0" w:line="220" w:lineRule="auto"/>
            </w:pPr>
            <w:r>
              <w:rPr>
                <w:sz w:val="17"/>
                <w:szCs w:val="17"/>
              </w:rPr>
              <w:t>Deployment configuration plus successful migration/connection evidence</w:t>
            </w:r>
          </w:p>
        </w:tc>
        <w:tc>
          <w:tcPr>
            <w:tcW w:w="10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673CDA38" w14:textId="77777777" w:rsidR="00AF7F17" w:rsidRDefault="00000000">
            <w:pPr>
              <w:spacing w:after="0" w:line="220" w:lineRule="auto"/>
            </w:pPr>
            <w:r>
              <w:rPr>
                <w:sz w:val="17"/>
                <w:szCs w:val="17"/>
              </w:rPr>
              <w:t>Planned</w:t>
            </w:r>
          </w:p>
        </w:tc>
      </w:tr>
      <w:tr w:rsidR="00AF7F17" w14:paraId="45604658" w14:textId="77777777">
        <w:tblPrEx>
          <w:tblCellMar>
            <w:top w:w="0" w:type="dxa"/>
            <w:bottom w:w="0" w:type="dxa"/>
          </w:tblCellMar>
        </w:tblPrEx>
        <w:trPr>
          <w:cantSplit/>
        </w:trPr>
        <w:tc>
          <w:tcPr>
            <w:tcW w:w="12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3D3F66A7" w14:textId="77777777" w:rsidR="00AF7F17" w:rsidRDefault="00000000">
            <w:pPr>
              <w:spacing w:after="0" w:line="220" w:lineRule="auto"/>
            </w:pPr>
            <w:r>
              <w:rPr>
                <w:sz w:val="17"/>
                <w:szCs w:val="17"/>
              </w:rPr>
              <w:t>Browser compatibility</w:t>
            </w:r>
          </w:p>
        </w:tc>
        <w:tc>
          <w:tcPr>
            <w:tcW w:w="28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4451DE79" w14:textId="77777777" w:rsidR="00AF7F17" w:rsidRDefault="00000000">
            <w:pPr>
              <w:spacing w:after="0" w:line="220" w:lineRule="auto"/>
            </w:pPr>
            <w:r>
              <w:rPr>
                <w:sz w:val="17"/>
                <w:szCs w:val="17"/>
              </w:rPr>
              <w:t>Test record for latest two Chrome, Edge and Firefox versions at 360/768/1280px</w:t>
            </w:r>
          </w:p>
        </w:tc>
        <w:tc>
          <w:tcPr>
            <w:tcW w:w="10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13D09E94" w14:textId="77777777" w:rsidR="00AF7F17" w:rsidRDefault="00000000">
            <w:pPr>
              <w:spacing w:after="0" w:line="220" w:lineRule="auto"/>
            </w:pPr>
            <w:r>
              <w:rPr>
                <w:sz w:val="17"/>
                <w:szCs w:val="17"/>
              </w:rPr>
              <w:t>Planned</w:t>
            </w:r>
          </w:p>
        </w:tc>
      </w:tr>
      <w:tr w:rsidR="00AF7F17" w14:paraId="07CE51E4" w14:textId="77777777">
        <w:tblPrEx>
          <w:tblCellMar>
            <w:top w:w="0" w:type="dxa"/>
            <w:bottom w:w="0" w:type="dxa"/>
          </w:tblCellMar>
        </w:tblPrEx>
        <w:trPr>
          <w:cantSplit/>
        </w:trPr>
        <w:tc>
          <w:tcPr>
            <w:tcW w:w="12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197768C0" w14:textId="77777777" w:rsidR="00AF7F17" w:rsidRDefault="00000000">
            <w:pPr>
              <w:spacing w:after="0" w:line="220" w:lineRule="auto"/>
            </w:pPr>
            <w:r>
              <w:rPr>
                <w:sz w:val="17"/>
                <w:szCs w:val="17"/>
              </w:rPr>
              <w:t>Hosting compatibility</w:t>
            </w:r>
          </w:p>
        </w:tc>
        <w:tc>
          <w:tcPr>
            <w:tcW w:w="28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14FA4BDE" w14:textId="77777777" w:rsidR="00AF7F17" w:rsidRDefault="00000000">
            <w:pPr>
              <w:spacing w:after="0" w:line="220" w:lineRule="auto"/>
            </w:pPr>
            <w:r>
              <w:rPr>
                <w:sz w:val="17"/>
                <w:szCs w:val="17"/>
              </w:rPr>
              <w:t>Repeatable deployment instructions, health check and rollback evidence</w:t>
            </w:r>
          </w:p>
        </w:tc>
        <w:tc>
          <w:tcPr>
            <w:tcW w:w="10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613D4D60" w14:textId="77777777" w:rsidR="00AF7F17" w:rsidRDefault="00000000">
            <w:pPr>
              <w:spacing w:after="0" w:line="220" w:lineRule="auto"/>
            </w:pPr>
            <w:r>
              <w:rPr>
                <w:sz w:val="17"/>
                <w:szCs w:val="17"/>
              </w:rPr>
              <w:t>Planned</w:t>
            </w:r>
          </w:p>
        </w:tc>
      </w:tr>
      <w:tr w:rsidR="00AF7F17" w14:paraId="52595B72" w14:textId="77777777">
        <w:tblPrEx>
          <w:tblCellMar>
            <w:top w:w="0" w:type="dxa"/>
            <w:bottom w:w="0" w:type="dxa"/>
          </w:tblCellMar>
        </w:tblPrEx>
        <w:trPr>
          <w:gridAfter w:val="2"/>
          <w:wAfter w:w="200" w:type="dxa"/>
        </w:trPr>
        <w:tc>
          <w:tcPr>
            <w:tcW w:w="0" w:type="auto"/>
            <w:tcBorders>
              <w:top w:val="single" w:sz="4" w:space="0" w:color="C7D0D8"/>
              <w:left w:val="single" w:sz="4" w:space="0" w:color="C7D0D8"/>
              <w:bottom w:val="single" w:sz="4" w:space="0" w:color="C7D0D8"/>
              <w:right w:val="single" w:sz="4" w:space="0" w:color="C7D0D8"/>
            </w:tcBorders>
            <w:shd w:val="clear" w:color="auto" w:fill="EAF2F8"/>
            <w:tcMar>
              <w:top w:w="130" w:type="dxa"/>
              <w:left w:w="160" w:type="dxa"/>
              <w:bottom w:w="130" w:type="dxa"/>
              <w:right w:w="160" w:type="dxa"/>
            </w:tcMar>
          </w:tcPr>
          <w:p w14:paraId="11284E87" w14:textId="77777777" w:rsidR="00AF7F17" w:rsidRDefault="00000000">
            <w:pPr>
              <w:spacing w:after="0"/>
              <w:jc w:val="both"/>
            </w:pPr>
            <w:r>
              <w:rPr>
                <w:b/>
                <w:bCs/>
                <w:color w:val="2A8C82"/>
              </w:rPr>
              <w:t xml:space="preserve">Baseline gate: </w:t>
            </w:r>
            <w:r>
              <w:t xml:space="preserve">Do not write “implemented” or “verified” in the final PED until the linked evidence exists. If the repository already contains these files, replace “Planned” with the exact path and </w:t>
            </w:r>
            <w:r>
              <w:lastRenderedPageBreak/>
              <w:t>commit or pull-request reference.</w:t>
            </w:r>
          </w:p>
        </w:tc>
      </w:tr>
    </w:tbl>
    <w:p w14:paraId="49160C6A" w14:textId="77777777" w:rsidR="00AF7F17" w:rsidRDefault="00000000">
      <w:r>
        <w:br w:type="page"/>
      </w:r>
    </w:p>
    <w:p w14:paraId="6DE71CD7" w14:textId="77777777" w:rsidR="00AF7F17" w:rsidRDefault="00000000">
      <w:pPr>
        <w:pStyle w:val="Heading1"/>
      </w:pPr>
      <w:r>
        <w:lastRenderedPageBreak/>
        <w:t>7. Architecture Decision Records</w:t>
      </w:r>
    </w:p>
    <w:p w14:paraId="564A583E" w14:textId="77777777" w:rsidR="00AF7F17" w:rsidRDefault="00000000">
      <w:pPr>
        <w:pStyle w:val="Heading2"/>
      </w:pPr>
      <w:r>
        <w:t>ADR-ARCH-001 — Select a layered modular monolith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6"/>
        <w:gridCol w:w="8260"/>
      </w:tblGrid>
      <w:tr w:rsidR="00AF7F17" w14:paraId="4EAA4C6E" w14:textId="77777777">
        <w:tblPrEx>
          <w:tblCellMar>
            <w:top w:w="0" w:type="dxa"/>
            <w:bottom w:w="0" w:type="dxa"/>
          </w:tblCellMar>
        </w:tblPrEx>
        <w:trPr>
          <w:cantSplit/>
          <w:tblHeader/>
        </w:trPr>
        <w:tc>
          <w:tcPr>
            <w:tcW w:w="1050" w:type="pct"/>
            <w:tcBorders>
              <w:top w:val="single" w:sz="4" w:space="0" w:color="C7D0D8"/>
              <w:left w:val="single" w:sz="4" w:space="0" w:color="C7D0D8"/>
              <w:bottom w:val="single" w:sz="4" w:space="0" w:color="C7D0D8"/>
              <w:right w:val="single" w:sz="4" w:space="0" w:color="C7D0D8"/>
            </w:tcBorders>
            <w:shd w:val="clear" w:color="auto" w:fill="17324D"/>
            <w:tcMar>
              <w:top w:w="90" w:type="dxa"/>
              <w:left w:w="95" w:type="dxa"/>
              <w:bottom w:w="90" w:type="dxa"/>
              <w:right w:w="95" w:type="dxa"/>
            </w:tcMar>
            <w:vAlign w:val="center"/>
          </w:tcPr>
          <w:p w14:paraId="7D283157" w14:textId="77777777" w:rsidR="00AF7F17" w:rsidRDefault="00000000">
            <w:pPr>
              <w:spacing w:after="0"/>
            </w:pPr>
            <w:r>
              <w:rPr>
                <w:b/>
                <w:bCs/>
                <w:color w:val="FFFFFF"/>
                <w:sz w:val="18"/>
                <w:szCs w:val="18"/>
              </w:rPr>
              <w:t>Field</w:t>
            </w:r>
          </w:p>
        </w:tc>
        <w:tc>
          <w:tcPr>
            <w:tcW w:w="3950" w:type="pct"/>
            <w:tcBorders>
              <w:top w:val="single" w:sz="4" w:space="0" w:color="C7D0D8"/>
              <w:left w:val="single" w:sz="4" w:space="0" w:color="C7D0D8"/>
              <w:bottom w:val="single" w:sz="4" w:space="0" w:color="C7D0D8"/>
              <w:right w:val="single" w:sz="4" w:space="0" w:color="C7D0D8"/>
            </w:tcBorders>
            <w:shd w:val="clear" w:color="auto" w:fill="17324D"/>
            <w:tcMar>
              <w:top w:w="90" w:type="dxa"/>
              <w:left w:w="95" w:type="dxa"/>
              <w:bottom w:w="90" w:type="dxa"/>
              <w:right w:w="95" w:type="dxa"/>
            </w:tcMar>
            <w:vAlign w:val="center"/>
          </w:tcPr>
          <w:p w14:paraId="09F9C940" w14:textId="77777777" w:rsidR="00AF7F17" w:rsidRDefault="00000000">
            <w:pPr>
              <w:spacing w:after="0"/>
            </w:pPr>
            <w:r>
              <w:rPr>
                <w:b/>
                <w:bCs/>
                <w:color w:val="FFFFFF"/>
                <w:sz w:val="18"/>
                <w:szCs w:val="18"/>
              </w:rPr>
              <w:t>Record</w:t>
            </w:r>
          </w:p>
        </w:tc>
      </w:tr>
      <w:tr w:rsidR="00AF7F17" w14:paraId="4AFA5163" w14:textId="77777777">
        <w:tblPrEx>
          <w:tblCellMar>
            <w:top w:w="0" w:type="dxa"/>
            <w:bottom w:w="0" w:type="dxa"/>
          </w:tblCellMar>
        </w:tblPrEx>
        <w:trPr>
          <w:cantSplit/>
        </w:trPr>
        <w:tc>
          <w:tcPr>
            <w:tcW w:w="10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7642E9EE" w14:textId="77777777" w:rsidR="00AF7F17" w:rsidRDefault="00000000">
            <w:pPr>
              <w:spacing w:after="0" w:line="220" w:lineRule="auto"/>
            </w:pPr>
            <w:r>
              <w:rPr>
                <w:sz w:val="17"/>
                <w:szCs w:val="17"/>
              </w:rPr>
              <w:t>Status</w:t>
            </w:r>
          </w:p>
        </w:tc>
        <w:tc>
          <w:tcPr>
            <w:tcW w:w="39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001544BA" w14:textId="77777777" w:rsidR="00AF7F17" w:rsidRDefault="00000000">
            <w:pPr>
              <w:spacing w:after="0" w:line="220" w:lineRule="auto"/>
            </w:pPr>
            <w:r>
              <w:rPr>
                <w:sz w:val="17"/>
                <w:szCs w:val="17"/>
              </w:rPr>
              <w:t>Proposed for team approval; target status: Accepted in PED v2.0</w:t>
            </w:r>
          </w:p>
        </w:tc>
      </w:tr>
      <w:tr w:rsidR="00AF7F17" w14:paraId="3CA46348" w14:textId="77777777">
        <w:tblPrEx>
          <w:tblCellMar>
            <w:top w:w="0" w:type="dxa"/>
            <w:bottom w:w="0" w:type="dxa"/>
          </w:tblCellMar>
        </w:tblPrEx>
        <w:trPr>
          <w:cantSplit/>
        </w:trPr>
        <w:tc>
          <w:tcPr>
            <w:tcW w:w="10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00111731" w14:textId="77777777" w:rsidR="00AF7F17" w:rsidRDefault="00000000">
            <w:pPr>
              <w:spacing w:after="0" w:line="220" w:lineRule="auto"/>
            </w:pPr>
            <w:r>
              <w:rPr>
                <w:sz w:val="17"/>
                <w:szCs w:val="17"/>
              </w:rPr>
              <w:t>Context</w:t>
            </w:r>
          </w:p>
        </w:tc>
        <w:tc>
          <w:tcPr>
            <w:tcW w:w="39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2AB353D9" w14:textId="77777777" w:rsidR="00AF7F17" w:rsidRDefault="00000000">
            <w:pPr>
              <w:spacing w:after="0" w:line="220" w:lineRule="auto"/>
            </w:pPr>
            <w:proofErr w:type="spellStart"/>
            <w:r>
              <w:rPr>
                <w:sz w:val="17"/>
                <w:szCs w:val="17"/>
              </w:rPr>
              <w:t>CivicConnect</w:t>
            </w:r>
            <w:proofErr w:type="spellEnd"/>
            <w:r>
              <w:rPr>
                <w:sz w:val="17"/>
                <w:szCs w:val="17"/>
              </w:rPr>
              <w:t xml:space="preserve"> has a three-person team, limited schedule/cost, a relational workflow, strong integrity/audit needs and a modest initial workload. M1 deferred architecture to M2.</w:t>
            </w:r>
          </w:p>
        </w:tc>
      </w:tr>
      <w:tr w:rsidR="00AF7F17" w14:paraId="46D1B2FE" w14:textId="77777777">
        <w:tblPrEx>
          <w:tblCellMar>
            <w:top w:w="0" w:type="dxa"/>
            <w:bottom w:w="0" w:type="dxa"/>
          </w:tblCellMar>
        </w:tblPrEx>
        <w:trPr>
          <w:cantSplit/>
        </w:trPr>
        <w:tc>
          <w:tcPr>
            <w:tcW w:w="10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09819228" w14:textId="77777777" w:rsidR="00AF7F17" w:rsidRDefault="00000000">
            <w:pPr>
              <w:spacing w:after="0" w:line="220" w:lineRule="auto"/>
            </w:pPr>
            <w:r>
              <w:rPr>
                <w:sz w:val="17"/>
                <w:szCs w:val="17"/>
              </w:rPr>
              <w:t>Options</w:t>
            </w:r>
          </w:p>
        </w:tc>
        <w:tc>
          <w:tcPr>
            <w:tcW w:w="39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4AD0C992" w14:textId="77777777" w:rsidR="00AF7F17" w:rsidRDefault="00000000">
            <w:pPr>
              <w:spacing w:after="0" w:line="220" w:lineRule="auto"/>
            </w:pPr>
            <w:r>
              <w:rPr>
                <w:sz w:val="17"/>
                <w:szCs w:val="17"/>
              </w:rPr>
              <w:t>Unstructured monolith; layered modular monolith; microservices.</w:t>
            </w:r>
          </w:p>
        </w:tc>
      </w:tr>
      <w:tr w:rsidR="00AF7F17" w14:paraId="115AE032" w14:textId="77777777">
        <w:tblPrEx>
          <w:tblCellMar>
            <w:top w:w="0" w:type="dxa"/>
            <w:bottom w:w="0" w:type="dxa"/>
          </w:tblCellMar>
        </w:tblPrEx>
        <w:trPr>
          <w:cantSplit/>
        </w:trPr>
        <w:tc>
          <w:tcPr>
            <w:tcW w:w="10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75CC82A7" w14:textId="77777777" w:rsidR="00AF7F17" w:rsidRDefault="00000000">
            <w:pPr>
              <w:spacing w:after="0" w:line="220" w:lineRule="auto"/>
            </w:pPr>
            <w:r>
              <w:rPr>
                <w:sz w:val="17"/>
                <w:szCs w:val="17"/>
              </w:rPr>
              <w:t>Decision</w:t>
            </w:r>
          </w:p>
        </w:tc>
        <w:tc>
          <w:tcPr>
            <w:tcW w:w="39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41BD2C57" w14:textId="77777777" w:rsidR="00AF7F17" w:rsidRDefault="00000000">
            <w:pPr>
              <w:spacing w:after="0" w:line="220" w:lineRule="auto"/>
            </w:pPr>
            <w:r>
              <w:rPr>
                <w:sz w:val="17"/>
                <w:szCs w:val="17"/>
              </w:rPr>
              <w:t>Use one Node.js/Express deployable with explicit layers and feature modules. Use in-process interfaces/events between modules.</w:t>
            </w:r>
          </w:p>
        </w:tc>
      </w:tr>
      <w:tr w:rsidR="00AF7F17" w14:paraId="4F75CADB" w14:textId="77777777">
        <w:tblPrEx>
          <w:tblCellMar>
            <w:top w:w="0" w:type="dxa"/>
            <w:bottom w:w="0" w:type="dxa"/>
          </w:tblCellMar>
        </w:tblPrEx>
        <w:trPr>
          <w:cantSplit/>
        </w:trPr>
        <w:tc>
          <w:tcPr>
            <w:tcW w:w="10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6657A8CA" w14:textId="77777777" w:rsidR="00AF7F17" w:rsidRDefault="00000000">
            <w:pPr>
              <w:spacing w:after="0" w:line="220" w:lineRule="auto"/>
            </w:pPr>
            <w:r>
              <w:rPr>
                <w:sz w:val="17"/>
                <w:szCs w:val="17"/>
              </w:rPr>
              <w:t>Rationale</w:t>
            </w:r>
          </w:p>
        </w:tc>
        <w:tc>
          <w:tcPr>
            <w:tcW w:w="39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4BF34A4A" w14:textId="77777777" w:rsidR="00AF7F17" w:rsidRDefault="00000000">
            <w:pPr>
              <w:spacing w:after="0" w:line="220" w:lineRule="auto"/>
            </w:pPr>
            <w:r>
              <w:rPr>
                <w:sz w:val="17"/>
                <w:szCs w:val="17"/>
              </w:rPr>
              <w:t>Strong transaction boundary and simple deployment fit the constraints; module boundaries support maintainability and an extraction path.</w:t>
            </w:r>
          </w:p>
        </w:tc>
      </w:tr>
      <w:tr w:rsidR="00AF7F17" w14:paraId="7048FBEC" w14:textId="77777777">
        <w:tblPrEx>
          <w:tblCellMar>
            <w:top w:w="0" w:type="dxa"/>
            <w:bottom w:w="0" w:type="dxa"/>
          </w:tblCellMar>
        </w:tblPrEx>
        <w:trPr>
          <w:cantSplit/>
        </w:trPr>
        <w:tc>
          <w:tcPr>
            <w:tcW w:w="10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74F40275" w14:textId="77777777" w:rsidR="00AF7F17" w:rsidRDefault="00000000">
            <w:pPr>
              <w:spacing w:after="0" w:line="220" w:lineRule="auto"/>
            </w:pPr>
            <w:r>
              <w:rPr>
                <w:sz w:val="17"/>
                <w:szCs w:val="17"/>
              </w:rPr>
              <w:t>Consequences</w:t>
            </w:r>
          </w:p>
        </w:tc>
        <w:tc>
          <w:tcPr>
            <w:tcW w:w="39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500F269C" w14:textId="77777777" w:rsidR="00AF7F17" w:rsidRDefault="00000000">
            <w:pPr>
              <w:spacing w:after="0" w:line="220" w:lineRule="auto"/>
            </w:pPr>
            <w:r>
              <w:rPr>
                <w:sz w:val="17"/>
                <w:szCs w:val="17"/>
              </w:rPr>
              <w:t>Independent module deployment is unavailable initially. Boundary discipline and architecture tests are required to prevent a “big ball of mud”.</w:t>
            </w:r>
          </w:p>
        </w:tc>
      </w:tr>
      <w:tr w:rsidR="00AF7F17" w14:paraId="142ADBD7" w14:textId="77777777">
        <w:tblPrEx>
          <w:tblCellMar>
            <w:top w:w="0" w:type="dxa"/>
            <w:bottom w:w="0" w:type="dxa"/>
          </w:tblCellMar>
        </w:tblPrEx>
        <w:trPr>
          <w:cantSplit/>
        </w:trPr>
        <w:tc>
          <w:tcPr>
            <w:tcW w:w="10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3AF570FD" w14:textId="77777777" w:rsidR="00AF7F17" w:rsidRDefault="00000000">
            <w:pPr>
              <w:spacing w:after="0" w:line="220" w:lineRule="auto"/>
            </w:pPr>
            <w:r>
              <w:rPr>
                <w:sz w:val="17"/>
                <w:szCs w:val="17"/>
              </w:rPr>
              <w:t>Revisit trigger</w:t>
            </w:r>
          </w:p>
        </w:tc>
        <w:tc>
          <w:tcPr>
            <w:tcW w:w="39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74FC753F" w14:textId="77777777" w:rsidR="00AF7F17" w:rsidRDefault="00000000">
            <w:pPr>
              <w:spacing w:after="0" w:line="220" w:lineRule="auto"/>
            </w:pPr>
            <w:r>
              <w:rPr>
                <w:sz w:val="17"/>
                <w:szCs w:val="17"/>
              </w:rPr>
              <w:t>A module shows sustained, measured scaling pressure; releases are blocked by coupling; or ownership grows beyond the current team.</w:t>
            </w:r>
          </w:p>
        </w:tc>
      </w:tr>
      <w:tr w:rsidR="00AF7F17" w14:paraId="6E1EB59B" w14:textId="77777777">
        <w:tblPrEx>
          <w:tblCellMar>
            <w:top w:w="0" w:type="dxa"/>
            <w:bottom w:w="0" w:type="dxa"/>
          </w:tblCellMar>
        </w:tblPrEx>
        <w:trPr>
          <w:cantSplit/>
        </w:trPr>
        <w:tc>
          <w:tcPr>
            <w:tcW w:w="10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4B407496" w14:textId="77777777" w:rsidR="00AF7F17" w:rsidRDefault="00000000">
            <w:pPr>
              <w:spacing w:after="0" w:line="220" w:lineRule="auto"/>
            </w:pPr>
            <w:r>
              <w:rPr>
                <w:sz w:val="17"/>
                <w:szCs w:val="17"/>
              </w:rPr>
              <w:t>Linked evidence</w:t>
            </w:r>
          </w:p>
        </w:tc>
        <w:tc>
          <w:tcPr>
            <w:tcW w:w="39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02C58227" w14:textId="77777777" w:rsidR="00AF7F17" w:rsidRDefault="00000000">
            <w:pPr>
              <w:spacing w:after="0" w:line="220" w:lineRule="auto"/>
            </w:pPr>
            <w:r>
              <w:rPr>
                <w:sz w:val="17"/>
                <w:szCs w:val="17"/>
              </w:rPr>
              <w:t>ASR-01–07; RISK-001; CON-001–003/008; architecture comparison; RTM rows in Section 8.</w:t>
            </w:r>
          </w:p>
        </w:tc>
      </w:tr>
    </w:tbl>
    <w:p w14:paraId="2B29F84B" w14:textId="77777777" w:rsidR="00AF7F17" w:rsidRDefault="00000000">
      <w:pPr>
        <w:pStyle w:val="Heading2"/>
      </w:pPr>
      <w:r>
        <w:t>ADR-TECH-001 — Select React, Node.js/Express and PostgreSQL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6"/>
        <w:gridCol w:w="8260"/>
      </w:tblGrid>
      <w:tr w:rsidR="00AF7F17" w14:paraId="0A5C6AC5" w14:textId="77777777">
        <w:tblPrEx>
          <w:tblCellMar>
            <w:top w:w="0" w:type="dxa"/>
            <w:bottom w:w="0" w:type="dxa"/>
          </w:tblCellMar>
        </w:tblPrEx>
        <w:trPr>
          <w:cantSplit/>
          <w:tblHeader/>
        </w:trPr>
        <w:tc>
          <w:tcPr>
            <w:tcW w:w="1050" w:type="pct"/>
            <w:tcBorders>
              <w:top w:val="single" w:sz="4" w:space="0" w:color="C7D0D8"/>
              <w:left w:val="single" w:sz="4" w:space="0" w:color="C7D0D8"/>
              <w:bottom w:val="single" w:sz="4" w:space="0" w:color="C7D0D8"/>
              <w:right w:val="single" w:sz="4" w:space="0" w:color="C7D0D8"/>
            </w:tcBorders>
            <w:shd w:val="clear" w:color="auto" w:fill="17324D"/>
            <w:tcMar>
              <w:top w:w="90" w:type="dxa"/>
              <w:left w:w="95" w:type="dxa"/>
              <w:bottom w:w="90" w:type="dxa"/>
              <w:right w:w="95" w:type="dxa"/>
            </w:tcMar>
            <w:vAlign w:val="center"/>
          </w:tcPr>
          <w:p w14:paraId="04271EE8" w14:textId="77777777" w:rsidR="00AF7F17" w:rsidRDefault="00000000">
            <w:pPr>
              <w:spacing w:after="0"/>
            </w:pPr>
            <w:r>
              <w:rPr>
                <w:b/>
                <w:bCs/>
                <w:color w:val="FFFFFF"/>
                <w:sz w:val="18"/>
                <w:szCs w:val="18"/>
              </w:rPr>
              <w:t>Field</w:t>
            </w:r>
          </w:p>
        </w:tc>
        <w:tc>
          <w:tcPr>
            <w:tcW w:w="3950" w:type="pct"/>
            <w:tcBorders>
              <w:top w:val="single" w:sz="4" w:space="0" w:color="C7D0D8"/>
              <w:left w:val="single" w:sz="4" w:space="0" w:color="C7D0D8"/>
              <w:bottom w:val="single" w:sz="4" w:space="0" w:color="C7D0D8"/>
              <w:right w:val="single" w:sz="4" w:space="0" w:color="C7D0D8"/>
            </w:tcBorders>
            <w:shd w:val="clear" w:color="auto" w:fill="17324D"/>
            <w:tcMar>
              <w:top w:w="90" w:type="dxa"/>
              <w:left w:w="95" w:type="dxa"/>
              <w:bottom w:w="90" w:type="dxa"/>
              <w:right w:w="95" w:type="dxa"/>
            </w:tcMar>
            <w:vAlign w:val="center"/>
          </w:tcPr>
          <w:p w14:paraId="6BD94C99" w14:textId="77777777" w:rsidR="00AF7F17" w:rsidRDefault="00000000">
            <w:pPr>
              <w:spacing w:after="0"/>
            </w:pPr>
            <w:r>
              <w:rPr>
                <w:b/>
                <w:bCs/>
                <w:color w:val="FFFFFF"/>
                <w:sz w:val="18"/>
                <w:szCs w:val="18"/>
              </w:rPr>
              <w:t>Record</w:t>
            </w:r>
          </w:p>
        </w:tc>
      </w:tr>
      <w:tr w:rsidR="00AF7F17" w14:paraId="6B28AA78" w14:textId="77777777">
        <w:tblPrEx>
          <w:tblCellMar>
            <w:top w:w="0" w:type="dxa"/>
            <w:bottom w:w="0" w:type="dxa"/>
          </w:tblCellMar>
        </w:tblPrEx>
        <w:trPr>
          <w:cantSplit/>
        </w:trPr>
        <w:tc>
          <w:tcPr>
            <w:tcW w:w="10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1678AB4F" w14:textId="77777777" w:rsidR="00AF7F17" w:rsidRDefault="00000000">
            <w:pPr>
              <w:spacing w:after="0" w:line="220" w:lineRule="auto"/>
            </w:pPr>
            <w:r>
              <w:rPr>
                <w:sz w:val="17"/>
                <w:szCs w:val="17"/>
              </w:rPr>
              <w:t>Status</w:t>
            </w:r>
          </w:p>
        </w:tc>
        <w:tc>
          <w:tcPr>
            <w:tcW w:w="39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2E50C1D4" w14:textId="77777777" w:rsidR="00AF7F17" w:rsidRDefault="00000000">
            <w:pPr>
              <w:spacing w:after="0" w:line="220" w:lineRule="auto"/>
            </w:pPr>
            <w:r>
              <w:rPr>
                <w:sz w:val="17"/>
                <w:szCs w:val="17"/>
              </w:rPr>
              <w:t>Proposed for team approval; target status: Accepted in PED v2.0</w:t>
            </w:r>
          </w:p>
        </w:tc>
      </w:tr>
      <w:tr w:rsidR="00AF7F17" w14:paraId="5D1A0F93" w14:textId="77777777">
        <w:tblPrEx>
          <w:tblCellMar>
            <w:top w:w="0" w:type="dxa"/>
            <w:bottom w:w="0" w:type="dxa"/>
          </w:tblCellMar>
        </w:tblPrEx>
        <w:trPr>
          <w:cantSplit/>
        </w:trPr>
        <w:tc>
          <w:tcPr>
            <w:tcW w:w="10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1220B03D" w14:textId="77777777" w:rsidR="00AF7F17" w:rsidRDefault="00000000">
            <w:pPr>
              <w:spacing w:after="0" w:line="220" w:lineRule="auto"/>
            </w:pPr>
            <w:r>
              <w:rPr>
                <w:sz w:val="17"/>
                <w:szCs w:val="17"/>
              </w:rPr>
              <w:t>Context</w:t>
            </w:r>
          </w:p>
        </w:tc>
        <w:tc>
          <w:tcPr>
            <w:tcW w:w="39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0B15C458" w14:textId="77777777" w:rsidR="00AF7F17" w:rsidRDefault="00000000">
            <w:pPr>
              <w:spacing w:after="0" w:line="220" w:lineRule="auto"/>
            </w:pPr>
            <w:r>
              <w:rPr>
                <w:sz w:val="17"/>
                <w:szCs w:val="17"/>
              </w:rPr>
              <w:t>The chosen stack must support a responsive browser UI, measurable API performance, relational integrity, auditability, low cost and a small team.</w:t>
            </w:r>
          </w:p>
        </w:tc>
      </w:tr>
      <w:tr w:rsidR="00AF7F17" w14:paraId="5AA9DB89" w14:textId="77777777">
        <w:tblPrEx>
          <w:tblCellMar>
            <w:top w:w="0" w:type="dxa"/>
            <w:bottom w:w="0" w:type="dxa"/>
          </w:tblCellMar>
        </w:tblPrEx>
        <w:trPr>
          <w:cantSplit/>
        </w:trPr>
        <w:tc>
          <w:tcPr>
            <w:tcW w:w="10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4BD46FAA" w14:textId="77777777" w:rsidR="00AF7F17" w:rsidRDefault="00000000">
            <w:pPr>
              <w:spacing w:after="0" w:line="220" w:lineRule="auto"/>
            </w:pPr>
            <w:r>
              <w:rPr>
                <w:sz w:val="17"/>
                <w:szCs w:val="17"/>
              </w:rPr>
              <w:t>Options</w:t>
            </w:r>
          </w:p>
        </w:tc>
        <w:tc>
          <w:tcPr>
            <w:tcW w:w="39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2FCCB0DD" w14:textId="77777777" w:rsidR="00AF7F17" w:rsidRDefault="00000000">
            <w:pPr>
              <w:spacing w:after="0" w:line="220" w:lineRule="auto"/>
            </w:pPr>
            <w:r>
              <w:rPr>
                <w:sz w:val="17"/>
                <w:szCs w:val="17"/>
              </w:rPr>
              <w:t>React or server-rendered UI; Node.js/Express or PHP backend; PostgreSQL or document-oriented NoSQL.</w:t>
            </w:r>
          </w:p>
        </w:tc>
      </w:tr>
      <w:tr w:rsidR="00AF7F17" w14:paraId="0123222A" w14:textId="77777777">
        <w:tblPrEx>
          <w:tblCellMar>
            <w:top w:w="0" w:type="dxa"/>
            <w:bottom w:w="0" w:type="dxa"/>
          </w:tblCellMar>
        </w:tblPrEx>
        <w:trPr>
          <w:cantSplit/>
        </w:trPr>
        <w:tc>
          <w:tcPr>
            <w:tcW w:w="10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4157FB06" w14:textId="77777777" w:rsidR="00AF7F17" w:rsidRDefault="00000000">
            <w:pPr>
              <w:spacing w:after="0" w:line="220" w:lineRule="auto"/>
            </w:pPr>
            <w:r>
              <w:rPr>
                <w:sz w:val="17"/>
                <w:szCs w:val="17"/>
              </w:rPr>
              <w:t>Decision</w:t>
            </w:r>
          </w:p>
        </w:tc>
        <w:tc>
          <w:tcPr>
            <w:tcW w:w="39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6745F05E" w14:textId="77777777" w:rsidR="00AF7F17" w:rsidRDefault="00000000">
            <w:pPr>
              <w:spacing w:after="0" w:line="220" w:lineRule="auto"/>
            </w:pPr>
            <w:r>
              <w:rPr>
                <w:sz w:val="17"/>
                <w:szCs w:val="17"/>
              </w:rPr>
              <w:t>Use React in the browser, Node.js with Express for the API and PostgreSQL for persistent data.</w:t>
            </w:r>
          </w:p>
        </w:tc>
      </w:tr>
      <w:tr w:rsidR="00AF7F17" w14:paraId="6606A4E2" w14:textId="77777777">
        <w:tblPrEx>
          <w:tblCellMar>
            <w:top w:w="0" w:type="dxa"/>
            <w:bottom w:w="0" w:type="dxa"/>
          </w:tblCellMar>
        </w:tblPrEx>
        <w:trPr>
          <w:cantSplit/>
        </w:trPr>
        <w:tc>
          <w:tcPr>
            <w:tcW w:w="10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3BE25AD5" w14:textId="77777777" w:rsidR="00AF7F17" w:rsidRDefault="00000000">
            <w:pPr>
              <w:spacing w:after="0" w:line="220" w:lineRule="auto"/>
            </w:pPr>
            <w:r>
              <w:rPr>
                <w:sz w:val="17"/>
                <w:szCs w:val="17"/>
              </w:rPr>
              <w:t>Rationale</w:t>
            </w:r>
          </w:p>
        </w:tc>
        <w:tc>
          <w:tcPr>
            <w:tcW w:w="39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75C37259" w14:textId="77777777" w:rsidR="00AF7F17" w:rsidRDefault="00000000">
            <w:pPr>
              <w:spacing w:after="0" w:line="220" w:lineRule="auto"/>
            </w:pPr>
            <w:r>
              <w:rPr>
                <w:sz w:val="17"/>
                <w:szCs w:val="17"/>
              </w:rPr>
              <w:t>The supplied evidence supports Node.js performance for the compared workloads, while relational transactions and constraints fit the request workflow and audit model.</w:t>
            </w:r>
          </w:p>
        </w:tc>
      </w:tr>
      <w:tr w:rsidR="00AF7F17" w14:paraId="53323F3C" w14:textId="77777777">
        <w:tblPrEx>
          <w:tblCellMar>
            <w:top w:w="0" w:type="dxa"/>
            <w:bottom w:w="0" w:type="dxa"/>
          </w:tblCellMar>
        </w:tblPrEx>
        <w:trPr>
          <w:cantSplit/>
        </w:trPr>
        <w:tc>
          <w:tcPr>
            <w:tcW w:w="10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27F06950" w14:textId="77777777" w:rsidR="00AF7F17" w:rsidRDefault="00000000">
            <w:pPr>
              <w:spacing w:after="0" w:line="220" w:lineRule="auto"/>
            </w:pPr>
            <w:r>
              <w:rPr>
                <w:sz w:val="17"/>
                <w:szCs w:val="17"/>
              </w:rPr>
              <w:t>Consequences</w:t>
            </w:r>
          </w:p>
        </w:tc>
        <w:tc>
          <w:tcPr>
            <w:tcW w:w="39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4D04FB87" w14:textId="77777777" w:rsidR="00AF7F17" w:rsidRDefault="00000000">
            <w:pPr>
              <w:spacing w:after="0" w:line="220" w:lineRule="auto"/>
            </w:pPr>
            <w:r>
              <w:rPr>
                <w:sz w:val="17"/>
                <w:szCs w:val="17"/>
              </w:rPr>
              <w:t>React bundle and rendering performance must be measured; Node.js CPU-heavy work must not block request handling; database schema migrations require review.</w:t>
            </w:r>
          </w:p>
        </w:tc>
      </w:tr>
      <w:tr w:rsidR="00AF7F17" w14:paraId="79FBB271" w14:textId="77777777">
        <w:tblPrEx>
          <w:tblCellMar>
            <w:top w:w="0" w:type="dxa"/>
            <w:bottom w:w="0" w:type="dxa"/>
          </w:tblCellMar>
        </w:tblPrEx>
        <w:trPr>
          <w:cantSplit/>
        </w:trPr>
        <w:tc>
          <w:tcPr>
            <w:tcW w:w="10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49B0CECB" w14:textId="77777777" w:rsidR="00AF7F17" w:rsidRDefault="00000000">
            <w:pPr>
              <w:spacing w:after="0" w:line="220" w:lineRule="auto"/>
            </w:pPr>
            <w:r>
              <w:rPr>
                <w:sz w:val="17"/>
                <w:szCs w:val="17"/>
              </w:rPr>
              <w:t>Version control</w:t>
            </w:r>
          </w:p>
        </w:tc>
        <w:tc>
          <w:tcPr>
            <w:tcW w:w="39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1EFA0E1A" w14:textId="77777777" w:rsidR="00AF7F17" w:rsidRDefault="00000000">
            <w:pPr>
              <w:spacing w:after="0" w:line="220" w:lineRule="auto"/>
            </w:pPr>
            <w:r>
              <w:rPr>
                <w:sz w:val="17"/>
                <w:szCs w:val="17"/>
              </w:rPr>
              <w:t>Exact supported versions are recorded in manifests/</w:t>
            </w:r>
            <w:proofErr w:type="spellStart"/>
            <w:r>
              <w:rPr>
                <w:sz w:val="17"/>
                <w:szCs w:val="17"/>
              </w:rPr>
              <w:t>lockfiles</w:t>
            </w:r>
            <w:proofErr w:type="spellEnd"/>
            <w:r>
              <w:rPr>
                <w:sz w:val="17"/>
                <w:szCs w:val="17"/>
              </w:rPr>
              <w:t xml:space="preserve"> and deployment evidence before baseline sign-off.</w:t>
            </w:r>
          </w:p>
        </w:tc>
      </w:tr>
      <w:tr w:rsidR="00AF7F17" w14:paraId="30499F9D" w14:textId="77777777">
        <w:tblPrEx>
          <w:tblCellMar>
            <w:top w:w="0" w:type="dxa"/>
            <w:bottom w:w="0" w:type="dxa"/>
          </w:tblCellMar>
        </w:tblPrEx>
        <w:trPr>
          <w:cantSplit/>
        </w:trPr>
        <w:tc>
          <w:tcPr>
            <w:tcW w:w="10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47F97F54" w14:textId="77777777" w:rsidR="00AF7F17" w:rsidRDefault="00000000">
            <w:pPr>
              <w:spacing w:after="0" w:line="220" w:lineRule="auto"/>
            </w:pPr>
            <w:r>
              <w:rPr>
                <w:sz w:val="17"/>
                <w:szCs w:val="17"/>
              </w:rPr>
              <w:t>Linked evidence</w:t>
            </w:r>
          </w:p>
        </w:tc>
        <w:tc>
          <w:tcPr>
            <w:tcW w:w="39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4996911B" w14:textId="77777777" w:rsidR="00AF7F17" w:rsidRDefault="00000000">
            <w:pPr>
              <w:spacing w:after="0" w:line="220" w:lineRule="auto"/>
            </w:pPr>
            <w:r>
              <w:rPr>
                <w:sz w:val="17"/>
                <w:szCs w:val="17"/>
              </w:rPr>
              <w:t xml:space="preserve">NFR-003/007/008/012; RISK-001; </w:t>
            </w:r>
            <w:proofErr w:type="spellStart"/>
            <w:r>
              <w:rPr>
                <w:sz w:val="17"/>
                <w:szCs w:val="17"/>
              </w:rPr>
              <w:t>Odeniran</w:t>
            </w:r>
            <w:proofErr w:type="spellEnd"/>
            <w:r>
              <w:rPr>
                <w:sz w:val="17"/>
                <w:szCs w:val="17"/>
              </w:rPr>
              <w:t xml:space="preserve">, Wimmer and Rebman (2023); </w:t>
            </w:r>
            <w:proofErr w:type="spellStart"/>
            <w:r>
              <w:rPr>
                <w:sz w:val="17"/>
                <w:szCs w:val="17"/>
              </w:rPr>
              <w:t>Sahatqija</w:t>
            </w:r>
            <w:proofErr w:type="spellEnd"/>
            <w:r>
              <w:rPr>
                <w:sz w:val="17"/>
                <w:szCs w:val="17"/>
              </w:rPr>
              <w:t xml:space="preserve"> et al. (2018); Douglas and Douglas (2005).</w:t>
            </w:r>
          </w:p>
        </w:tc>
      </w:tr>
    </w:tbl>
    <w:p w14:paraId="137D059B" w14:textId="77777777" w:rsidR="00AF7F17" w:rsidRDefault="00000000">
      <w:pPr>
        <w:pStyle w:val="Heading2"/>
      </w:pPr>
      <w:r>
        <w:t>ADR-MOD-001 — Enforce feature-aligned module boundaries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6"/>
        <w:gridCol w:w="8260"/>
      </w:tblGrid>
      <w:tr w:rsidR="00AF7F17" w14:paraId="58D75D0E" w14:textId="77777777">
        <w:tblPrEx>
          <w:tblCellMar>
            <w:top w:w="0" w:type="dxa"/>
            <w:bottom w:w="0" w:type="dxa"/>
          </w:tblCellMar>
        </w:tblPrEx>
        <w:trPr>
          <w:cantSplit/>
          <w:tblHeader/>
        </w:trPr>
        <w:tc>
          <w:tcPr>
            <w:tcW w:w="1050" w:type="pct"/>
            <w:tcBorders>
              <w:top w:val="single" w:sz="4" w:space="0" w:color="C7D0D8"/>
              <w:left w:val="single" w:sz="4" w:space="0" w:color="C7D0D8"/>
              <w:bottom w:val="single" w:sz="4" w:space="0" w:color="C7D0D8"/>
              <w:right w:val="single" w:sz="4" w:space="0" w:color="C7D0D8"/>
            </w:tcBorders>
            <w:shd w:val="clear" w:color="auto" w:fill="17324D"/>
            <w:tcMar>
              <w:top w:w="90" w:type="dxa"/>
              <w:left w:w="95" w:type="dxa"/>
              <w:bottom w:w="90" w:type="dxa"/>
              <w:right w:w="95" w:type="dxa"/>
            </w:tcMar>
            <w:vAlign w:val="center"/>
          </w:tcPr>
          <w:p w14:paraId="3E4CCE4B" w14:textId="77777777" w:rsidR="00AF7F17" w:rsidRDefault="00000000">
            <w:pPr>
              <w:spacing w:after="0"/>
            </w:pPr>
            <w:r>
              <w:rPr>
                <w:b/>
                <w:bCs/>
                <w:color w:val="FFFFFF"/>
                <w:sz w:val="18"/>
                <w:szCs w:val="18"/>
              </w:rPr>
              <w:t>Field</w:t>
            </w:r>
          </w:p>
        </w:tc>
        <w:tc>
          <w:tcPr>
            <w:tcW w:w="3950" w:type="pct"/>
            <w:tcBorders>
              <w:top w:val="single" w:sz="4" w:space="0" w:color="C7D0D8"/>
              <w:left w:val="single" w:sz="4" w:space="0" w:color="C7D0D8"/>
              <w:bottom w:val="single" w:sz="4" w:space="0" w:color="C7D0D8"/>
              <w:right w:val="single" w:sz="4" w:space="0" w:color="C7D0D8"/>
            </w:tcBorders>
            <w:shd w:val="clear" w:color="auto" w:fill="17324D"/>
            <w:tcMar>
              <w:top w:w="90" w:type="dxa"/>
              <w:left w:w="95" w:type="dxa"/>
              <w:bottom w:w="90" w:type="dxa"/>
              <w:right w:w="95" w:type="dxa"/>
            </w:tcMar>
            <w:vAlign w:val="center"/>
          </w:tcPr>
          <w:p w14:paraId="2392FBEC" w14:textId="77777777" w:rsidR="00AF7F17" w:rsidRDefault="00000000">
            <w:pPr>
              <w:spacing w:after="0"/>
            </w:pPr>
            <w:r>
              <w:rPr>
                <w:b/>
                <w:bCs/>
                <w:color w:val="FFFFFF"/>
                <w:sz w:val="18"/>
                <w:szCs w:val="18"/>
              </w:rPr>
              <w:t>Record</w:t>
            </w:r>
          </w:p>
        </w:tc>
      </w:tr>
      <w:tr w:rsidR="00AF7F17" w14:paraId="26D24AB9" w14:textId="77777777">
        <w:tblPrEx>
          <w:tblCellMar>
            <w:top w:w="0" w:type="dxa"/>
            <w:bottom w:w="0" w:type="dxa"/>
          </w:tblCellMar>
        </w:tblPrEx>
        <w:trPr>
          <w:cantSplit/>
        </w:trPr>
        <w:tc>
          <w:tcPr>
            <w:tcW w:w="10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5919D77F" w14:textId="77777777" w:rsidR="00AF7F17" w:rsidRDefault="00000000">
            <w:pPr>
              <w:spacing w:after="0" w:line="220" w:lineRule="auto"/>
            </w:pPr>
            <w:r>
              <w:rPr>
                <w:sz w:val="17"/>
                <w:szCs w:val="17"/>
              </w:rPr>
              <w:t>Status</w:t>
            </w:r>
          </w:p>
        </w:tc>
        <w:tc>
          <w:tcPr>
            <w:tcW w:w="39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4F6D152D" w14:textId="77777777" w:rsidR="00AF7F17" w:rsidRDefault="00000000">
            <w:pPr>
              <w:spacing w:after="0" w:line="220" w:lineRule="auto"/>
            </w:pPr>
            <w:r>
              <w:rPr>
                <w:sz w:val="17"/>
                <w:szCs w:val="17"/>
              </w:rPr>
              <w:t>Proposed for team approval</w:t>
            </w:r>
          </w:p>
        </w:tc>
      </w:tr>
      <w:tr w:rsidR="00AF7F17" w14:paraId="3B47290F" w14:textId="77777777">
        <w:tblPrEx>
          <w:tblCellMar>
            <w:top w:w="0" w:type="dxa"/>
            <w:bottom w:w="0" w:type="dxa"/>
          </w:tblCellMar>
        </w:tblPrEx>
        <w:trPr>
          <w:cantSplit/>
        </w:trPr>
        <w:tc>
          <w:tcPr>
            <w:tcW w:w="10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6C8959D8" w14:textId="77777777" w:rsidR="00AF7F17" w:rsidRDefault="00000000">
            <w:pPr>
              <w:spacing w:after="0" w:line="220" w:lineRule="auto"/>
            </w:pPr>
            <w:r>
              <w:rPr>
                <w:sz w:val="17"/>
                <w:szCs w:val="17"/>
              </w:rPr>
              <w:t>Context</w:t>
            </w:r>
          </w:p>
        </w:tc>
        <w:tc>
          <w:tcPr>
            <w:tcW w:w="39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6C48ADF9" w14:textId="77777777" w:rsidR="00AF7F17" w:rsidRDefault="00000000">
            <w:pPr>
              <w:spacing w:after="0" w:line="220" w:lineRule="auto"/>
            </w:pPr>
            <w:r>
              <w:rPr>
                <w:sz w:val="17"/>
                <w:szCs w:val="17"/>
              </w:rPr>
              <w:t>A monolith without boundaries can accumulate technical debt and scatter security, validation and persistence logic.</w:t>
            </w:r>
          </w:p>
        </w:tc>
      </w:tr>
      <w:tr w:rsidR="00AF7F17" w14:paraId="2D4BFC2C" w14:textId="77777777">
        <w:tblPrEx>
          <w:tblCellMar>
            <w:top w:w="0" w:type="dxa"/>
            <w:bottom w:w="0" w:type="dxa"/>
          </w:tblCellMar>
        </w:tblPrEx>
        <w:trPr>
          <w:cantSplit/>
        </w:trPr>
        <w:tc>
          <w:tcPr>
            <w:tcW w:w="10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33FF0B2D" w14:textId="77777777" w:rsidR="00AF7F17" w:rsidRDefault="00000000">
            <w:pPr>
              <w:spacing w:after="0" w:line="220" w:lineRule="auto"/>
            </w:pPr>
            <w:r>
              <w:rPr>
                <w:sz w:val="17"/>
                <w:szCs w:val="17"/>
              </w:rPr>
              <w:t>Decision</w:t>
            </w:r>
          </w:p>
        </w:tc>
        <w:tc>
          <w:tcPr>
            <w:tcW w:w="39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5A5C984F" w14:textId="77777777" w:rsidR="00AF7F17" w:rsidRDefault="00000000">
            <w:pPr>
              <w:spacing w:after="0" w:line="220" w:lineRule="auto"/>
            </w:pPr>
            <w:r>
              <w:rPr>
                <w:sz w:val="17"/>
                <w:szCs w:val="17"/>
              </w:rPr>
              <w:t>Adopt the modules in Figure 3 and permit interaction only through exported application interfaces or in-process domain events.</w:t>
            </w:r>
          </w:p>
        </w:tc>
      </w:tr>
      <w:tr w:rsidR="00AF7F17" w14:paraId="082CAB6D" w14:textId="77777777">
        <w:tblPrEx>
          <w:tblCellMar>
            <w:top w:w="0" w:type="dxa"/>
            <w:bottom w:w="0" w:type="dxa"/>
          </w:tblCellMar>
        </w:tblPrEx>
        <w:trPr>
          <w:cantSplit/>
        </w:trPr>
        <w:tc>
          <w:tcPr>
            <w:tcW w:w="10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5715E5EC" w14:textId="77777777" w:rsidR="00AF7F17" w:rsidRDefault="00000000">
            <w:pPr>
              <w:spacing w:after="0" w:line="220" w:lineRule="auto"/>
            </w:pPr>
            <w:r>
              <w:rPr>
                <w:sz w:val="17"/>
                <w:szCs w:val="17"/>
              </w:rPr>
              <w:t>Enforcement</w:t>
            </w:r>
          </w:p>
        </w:tc>
        <w:tc>
          <w:tcPr>
            <w:tcW w:w="39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7E226293" w14:textId="77777777" w:rsidR="00AF7F17" w:rsidRDefault="00000000">
            <w:pPr>
              <w:spacing w:after="0" w:line="220" w:lineRule="auto"/>
            </w:pPr>
            <w:r>
              <w:rPr>
                <w:sz w:val="17"/>
                <w:szCs w:val="17"/>
              </w:rPr>
              <w:t>Folder/module ownership; dependency rule checks; code review checklist; unit/service/API test separation.</w:t>
            </w:r>
          </w:p>
        </w:tc>
      </w:tr>
      <w:tr w:rsidR="00AF7F17" w14:paraId="60A859F8" w14:textId="77777777">
        <w:tblPrEx>
          <w:tblCellMar>
            <w:top w:w="0" w:type="dxa"/>
            <w:bottom w:w="0" w:type="dxa"/>
          </w:tblCellMar>
        </w:tblPrEx>
        <w:trPr>
          <w:cantSplit/>
        </w:trPr>
        <w:tc>
          <w:tcPr>
            <w:tcW w:w="10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34B91831" w14:textId="77777777" w:rsidR="00AF7F17" w:rsidRDefault="00000000">
            <w:pPr>
              <w:spacing w:after="0" w:line="220" w:lineRule="auto"/>
            </w:pPr>
            <w:r>
              <w:rPr>
                <w:sz w:val="17"/>
                <w:szCs w:val="17"/>
              </w:rPr>
              <w:t>Consequences</w:t>
            </w:r>
          </w:p>
        </w:tc>
        <w:tc>
          <w:tcPr>
            <w:tcW w:w="39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3BE1CDFE" w14:textId="77777777" w:rsidR="00AF7F17" w:rsidRDefault="00000000">
            <w:pPr>
              <w:spacing w:after="0" w:line="220" w:lineRule="auto"/>
            </w:pPr>
            <w:r>
              <w:rPr>
                <w:sz w:val="17"/>
                <w:szCs w:val="17"/>
              </w:rPr>
              <w:t>Some interfaces appear more formal than direct calls, but changes become easier to locate, test and review.</w:t>
            </w:r>
          </w:p>
        </w:tc>
      </w:tr>
      <w:tr w:rsidR="00AF7F17" w14:paraId="416E9A6E" w14:textId="77777777">
        <w:tblPrEx>
          <w:tblCellMar>
            <w:top w:w="0" w:type="dxa"/>
            <w:bottom w:w="0" w:type="dxa"/>
          </w:tblCellMar>
        </w:tblPrEx>
        <w:trPr>
          <w:cantSplit/>
        </w:trPr>
        <w:tc>
          <w:tcPr>
            <w:tcW w:w="10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359070FC" w14:textId="77777777" w:rsidR="00AF7F17" w:rsidRDefault="00000000">
            <w:pPr>
              <w:spacing w:after="0" w:line="220" w:lineRule="auto"/>
            </w:pPr>
            <w:r>
              <w:rPr>
                <w:sz w:val="17"/>
                <w:szCs w:val="17"/>
              </w:rPr>
              <w:t>Linked evidence</w:t>
            </w:r>
          </w:p>
        </w:tc>
        <w:tc>
          <w:tcPr>
            <w:tcW w:w="39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014B50FD" w14:textId="77777777" w:rsidR="00AF7F17" w:rsidRDefault="00000000">
            <w:pPr>
              <w:spacing w:after="0" w:line="220" w:lineRule="auto"/>
            </w:pPr>
            <w:r>
              <w:rPr>
                <w:sz w:val="17"/>
                <w:szCs w:val="17"/>
              </w:rPr>
              <w:t>NFR-009/012; CON-001/007; Skiada et al. (2018); Koziolek (2011).</w:t>
            </w:r>
          </w:p>
        </w:tc>
      </w:tr>
    </w:tbl>
    <w:p w14:paraId="4B27415B" w14:textId="77777777" w:rsidR="00AF7F17" w:rsidRDefault="00000000">
      <w:pPr>
        <w:pStyle w:val="Heading1"/>
      </w:pPr>
      <w:r>
        <w:lastRenderedPageBreak/>
        <w:t>8. RTM evolution and evidence plan</w:t>
      </w:r>
    </w:p>
    <w:p w14:paraId="3C032BBB" w14:textId="77777777" w:rsidR="00AF7F17" w:rsidRDefault="00000000">
      <w:pPr>
        <w:jc w:val="both"/>
      </w:pPr>
      <w:r>
        <w:t>The M1 traceability chain is extended from stakeholder need and requirement into ASR, component, ADR and verifiable evidence. Current evidence is labelled honestly: research and design records can be complete while code-level evidence remains planned.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4"/>
        <w:gridCol w:w="2275"/>
        <w:gridCol w:w="2275"/>
        <w:gridCol w:w="3112"/>
        <w:gridCol w:w="1230"/>
      </w:tblGrid>
      <w:tr w:rsidR="00AF7F17" w14:paraId="36F41478" w14:textId="77777777">
        <w:tblPrEx>
          <w:tblCellMar>
            <w:top w:w="0" w:type="dxa"/>
            <w:bottom w:w="0" w:type="dxa"/>
          </w:tblCellMar>
        </w:tblPrEx>
        <w:trPr>
          <w:cantSplit/>
          <w:tblHeader/>
        </w:trPr>
        <w:tc>
          <w:tcPr>
            <w:tcW w:w="700" w:type="pct"/>
            <w:tcBorders>
              <w:top w:val="single" w:sz="4" w:space="0" w:color="C7D0D8"/>
              <w:left w:val="single" w:sz="4" w:space="0" w:color="C7D0D8"/>
              <w:bottom w:val="single" w:sz="4" w:space="0" w:color="C7D0D8"/>
              <w:right w:val="single" w:sz="4" w:space="0" w:color="C7D0D8"/>
            </w:tcBorders>
            <w:shd w:val="clear" w:color="auto" w:fill="17324D"/>
            <w:tcMar>
              <w:top w:w="90" w:type="dxa"/>
              <w:left w:w="95" w:type="dxa"/>
              <w:bottom w:w="90" w:type="dxa"/>
              <w:right w:w="95" w:type="dxa"/>
            </w:tcMar>
            <w:vAlign w:val="center"/>
          </w:tcPr>
          <w:p w14:paraId="60B17F72" w14:textId="77777777" w:rsidR="00AF7F17" w:rsidRDefault="00000000">
            <w:pPr>
              <w:spacing w:after="0"/>
            </w:pPr>
            <w:r>
              <w:rPr>
                <w:b/>
                <w:bCs/>
                <w:color w:val="FFFFFF"/>
                <w:sz w:val="18"/>
                <w:szCs w:val="18"/>
              </w:rPr>
              <w:t>Requirement</w:t>
            </w:r>
          </w:p>
        </w:tc>
        <w:tc>
          <w:tcPr>
            <w:tcW w:w="1100" w:type="pct"/>
            <w:tcBorders>
              <w:top w:val="single" w:sz="4" w:space="0" w:color="C7D0D8"/>
              <w:left w:val="single" w:sz="4" w:space="0" w:color="C7D0D8"/>
              <w:bottom w:val="single" w:sz="4" w:space="0" w:color="C7D0D8"/>
              <w:right w:val="single" w:sz="4" w:space="0" w:color="C7D0D8"/>
            </w:tcBorders>
            <w:shd w:val="clear" w:color="auto" w:fill="17324D"/>
            <w:tcMar>
              <w:top w:w="90" w:type="dxa"/>
              <w:left w:w="95" w:type="dxa"/>
              <w:bottom w:w="90" w:type="dxa"/>
              <w:right w:w="95" w:type="dxa"/>
            </w:tcMar>
            <w:vAlign w:val="center"/>
          </w:tcPr>
          <w:p w14:paraId="14732271" w14:textId="77777777" w:rsidR="00AF7F17" w:rsidRDefault="00000000">
            <w:pPr>
              <w:spacing w:after="0"/>
            </w:pPr>
            <w:r>
              <w:rPr>
                <w:b/>
                <w:bCs/>
                <w:color w:val="FFFFFF"/>
                <w:sz w:val="18"/>
                <w:szCs w:val="18"/>
              </w:rPr>
              <w:t>ASR / component</w:t>
            </w:r>
          </w:p>
        </w:tc>
        <w:tc>
          <w:tcPr>
            <w:tcW w:w="1100" w:type="pct"/>
            <w:tcBorders>
              <w:top w:val="single" w:sz="4" w:space="0" w:color="C7D0D8"/>
              <w:left w:val="single" w:sz="4" w:space="0" w:color="C7D0D8"/>
              <w:bottom w:val="single" w:sz="4" w:space="0" w:color="C7D0D8"/>
              <w:right w:val="single" w:sz="4" w:space="0" w:color="C7D0D8"/>
            </w:tcBorders>
            <w:shd w:val="clear" w:color="auto" w:fill="17324D"/>
            <w:tcMar>
              <w:top w:w="90" w:type="dxa"/>
              <w:left w:w="95" w:type="dxa"/>
              <w:bottom w:w="90" w:type="dxa"/>
              <w:right w:w="95" w:type="dxa"/>
            </w:tcMar>
            <w:vAlign w:val="center"/>
          </w:tcPr>
          <w:p w14:paraId="1FFCFD5A" w14:textId="77777777" w:rsidR="00AF7F17" w:rsidRDefault="00000000">
            <w:pPr>
              <w:spacing w:after="0"/>
            </w:pPr>
            <w:r>
              <w:rPr>
                <w:b/>
                <w:bCs/>
                <w:color w:val="FFFFFF"/>
                <w:sz w:val="18"/>
                <w:szCs w:val="18"/>
              </w:rPr>
              <w:t>Architecture decision</w:t>
            </w:r>
          </w:p>
        </w:tc>
        <w:tc>
          <w:tcPr>
            <w:tcW w:w="1500" w:type="pct"/>
            <w:tcBorders>
              <w:top w:val="single" w:sz="4" w:space="0" w:color="C7D0D8"/>
              <w:left w:val="single" w:sz="4" w:space="0" w:color="C7D0D8"/>
              <w:bottom w:val="single" w:sz="4" w:space="0" w:color="C7D0D8"/>
              <w:right w:val="single" w:sz="4" w:space="0" w:color="C7D0D8"/>
            </w:tcBorders>
            <w:shd w:val="clear" w:color="auto" w:fill="17324D"/>
            <w:tcMar>
              <w:top w:w="90" w:type="dxa"/>
              <w:left w:w="95" w:type="dxa"/>
              <w:bottom w:w="90" w:type="dxa"/>
              <w:right w:w="95" w:type="dxa"/>
            </w:tcMar>
            <w:vAlign w:val="center"/>
          </w:tcPr>
          <w:p w14:paraId="4790374B" w14:textId="77777777" w:rsidR="00AF7F17" w:rsidRDefault="00000000">
            <w:pPr>
              <w:spacing w:after="0"/>
            </w:pPr>
            <w:r>
              <w:rPr>
                <w:b/>
                <w:bCs/>
                <w:color w:val="FFFFFF"/>
                <w:sz w:val="18"/>
                <w:szCs w:val="18"/>
              </w:rPr>
              <w:t>Acceptance / verification evidence</w:t>
            </w:r>
          </w:p>
        </w:tc>
        <w:tc>
          <w:tcPr>
            <w:tcW w:w="600" w:type="pct"/>
            <w:tcBorders>
              <w:top w:val="single" w:sz="4" w:space="0" w:color="C7D0D8"/>
              <w:left w:val="single" w:sz="4" w:space="0" w:color="C7D0D8"/>
              <w:bottom w:val="single" w:sz="4" w:space="0" w:color="C7D0D8"/>
              <w:right w:val="single" w:sz="4" w:space="0" w:color="C7D0D8"/>
            </w:tcBorders>
            <w:shd w:val="clear" w:color="auto" w:fill="17324D"/>
            <w:tcMar>
              <w:top w:w="90" w:type="dxa"/>
              <w:left w:w="95" w:type="dxa"/>
              <w:bottom w:w="90" w:type="dxa"/>
              <w:right w:w="95" w:type="dxa"/>
            </w:tcMar>
            <w:vAlign w:val="center"/>
          </w:tcPr>
          <w:p w14:paraId="02A60AAC" w14:textId="77777777" w:rsidR="00AF7F17" w:rsidRDefault="00000000">
            <w:pPr>
              <w:spacing w:after="0"/>
            </w:pPr>
            <w:proofErr w:type="gramStart"/>
            <w:r>
              <w:rPr>
                <w:b/>
                <w:bCs/>
                <w:color w:val="FFFFFF"/>
                <w:sz w:val="18"/>
                <w:szCs w:val="18"/>
              </w:rPr>
              <w:t>Current status</w:t>
            </w:r>
            <w:proofErr w:type="gramEnd"/>
          </w:p>
        </w:tc>
      </w:tr>
      <w:tr w:rsidR="00AF7F17" w14:paraId="4DFC99D9" w14:textId="77777777">
        <w:tblPrEx>
          <w:tblCellMar>
            <w:top w:w="0" w:type="dxa"/>
            <w:bottom w:w="0" w:type="dxa"/>
          </w:tblCellMar>
        </w:tblPrEx>
        <w:trPr>
          <w:cantSplit/>
        </w:trPr>
        <w:tc>
          <w:tcPr>
            <w:tcW w:w="7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4CC20AF9" w14:textId="77777777" w:rsidR="00AF7F17" w:rsidRDefault="00000000">
            <w:pPr>
              <w:spacing w:after="0" w:line="220" w:lineRule="auto"/>
            </w:pPr>
            <w:r>
              <w:rPr>
                <w:sz w:val="17"/>
                <w:szCs w:val="17"/>
              </w:rPr>
              <w:t>FR-001 Authenticate users</w:t>
            </w:r>
          </w:p>
        </w:tc>
        <w:tc>
          <w:tcPr>
            <w:tcW w:w="11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4B2BD8F5" w14:textId="77777777" w:rsidR="00AF7F17" w:rsidRDefault="00000000">
            <w:pPr>
              <w:spacing w:after="0" w:line="220" w:lineRule="auto"/>
            </w:pPr>
            <w:r>
              <w:rPr>
                <w:sz w:val="17"/>
                <w:szCs w:val="17"/>
              </w:rPr>
              <w:t>ASR-01; Identity &amp; Access</w:t>
            </w:r>
          </w:p>
        </w:tc>
        <w:tc>
          <w:tcPr>
            <w:tcW w:w="11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6C2F1B6C" w14:textId="77777777" w:rsidR="00AF7F17" w:rsidRDefault="00000000">
            <w:pPr>
              <w:spacing w:after="0" w:line="220" w:lineRule="auto"/>
            </w:pPr>
            <w:r>
              <w:rPr>
                <w:sz w:val="17"/>
                <w:szCs w:val="17"/>
              </w:rPr>
              <w:t>ADR-ARCH-001 / ADR-MOD-001</w:t>
            </w:r>
          </w:p>
        </w:tc>
        <w:tc>
          <w:tcPr>
            <w:tcW w:w="15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663BF811" w14:textId="77777777" w:rsidR="00AF7F17" w:rsidRDefault="00000000">
            <w:pPr>
              <w:spacing w:after="0" w:line="220" w:lineRule="auto"/>
            </w:pPr>
            <w:r>
              <w:rPr>
                <w:sz w:val="17"/>
                <w:szCs w:val="17"/>
              </w:rPr>
              <w:t>Automated valid/invalid/session tests; unauthorised endpoint suite</w:t>
            </w:r>
          </w:p>
        </w:tc>
        <w:tc>
          <w:tcPr>
            <w:tcW w:w="6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25A88B81" w14:textId="77777777" w:rsidR="00AF7F17" w:rsidRDefault="00000000">
            <w:pPr>
              <w:spacing w:after="0" w:line="220" w:lineRule="auto"/>
            </w:pPr>
            <w:r>
              <w:rPr>
                <w:sz w:val="17"/>
                <w:szCs w:val="17"/>
              </w:rPr>
              <w:t>Planned</w:t>
            </w:r>
          </w:p>
        </w:tc>
      </w:tr>
      <w:tr w:rsidR="00AF7F17" w14:paraId="5CB115A2" w14:textId="77777777">
        <w:tblPrEx>
          <w:tblCellMar>
            <w:top w:w="0" w:type="dxa"/>
            <w:bottom w:w="0" w:type="dxa"/>
          </w:tblCellMar>
        </w:tblPrEx>
        <w:trPr>
          <w:cantSplit/>
        </w:trPr>
        <w:tc>
          <w:tcPr>
            <w:tcW w:w="7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6EA6E655" w14:textId="77777777" w:rsidR="00AF7F17" w:rsidRDefault="00000000">
            <w:pPr>
              <w:spacing w:after="0" w:line="220" w:lineRule="auto"/>
            </w:pPr>
            <w:r>
              <w:rPr>
                <w:sz w:val="17"/>
                <w:szCs w:val="17"/>
              </w:rPr>
              <w:t>FR-002 Enforce roles</w:t>
            </w:r>
          </w:p>
        </w:tc>
        <w:tc>
          <w:tcPr>
            <w:tcW w:w="11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13DF362E" w14:textId="77777777" w:rsidR="00AF7F17" w:rsidRDefault="00000000">
            <w:pPr>
              <w:spacing w:after="0" w:line="220" w:lineRule="auto"/>
            </w:pPr>
            <w:r>
              <w:rPr>
                <w:sz w:val="17"/>
                <w:szCs w:val="17"/>
              </w:rPr>
              <w:t>ASR-01; Identity &amp; Access + API middleware</w:t>
            </w:r>
          </w:p>
        </w:tc>
        <w:tc>
          <w:tcPr>
            <w:tcW w:w="11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752E3A61" w14:textId="77777777" w:rsidR="00AF7F17" w:rsidRDefault="00000000">
            <w:pPr>
              <w:spacing w:after="0" w:line="220" w:lineRule="auto"/>
            </w:pPr>
            <w:r>
              <w:rPr>
                <w:sz w:val="17"/>
                <w:szCs w:val="17"/>
              </w:rPr>
              <w:t>ADR-MOD-001</w:t>
            </w:r>
          </w:p>
        </w:tc>
        <w:tc>
          <w:tcPr>
            <w:tcW w:w="15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098299DF" w14:textId="77777777" w:rsidR="00AF7F17" w:rsidRDefault="00000000">
            <w:pPr>
              <w:spacing w:after="0" w:line="220" w:lineRule="auto"/>
            </w:pPr>
            <w:r>
              <w:rPr>
                <w:sz w:val="17"/>
                <w:szCs w:val="17"/>
              </w:rPr>
              <w:t>Role-permission matrix; 100% prohibited cases return 403</w:t>
            </w:r>
          </w:p>
        </w:tc>
        <w:tc>
          <w:tcPr>
            <w:tcW w:w="6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7255B296" w14:textId="77777777" w:rsidR="00AF7F17" w:rsidRDefault="00000000">
            <w:pPr>
              <w:spacing w:after="0" w:line="220" w:lineRule="auto"/>
            </w:pPr>
            <w:r>
              <w:rPr>
                <w:sz w:val="17"/>
                <w:szCs w:val="17"/>
              </w:rPr>
              <w:t>Planned</w:t>
            </w:r>
          </w:p>
        </w:tc>
      </w:tr>
      <w:tr w:rsidR="00AF7F17" w14:paraId="7CEBE464" w14:textId="77777777">
        <w:tblPrEx>
          <w:tblCellMar>
            <w:top w:w="0" w:type="dxa"/>
            <w:bottom w:w="0" w:type="dxa"/>
          </w:tblCellMar>
        </w:tblPrEx>
        <w:trPr>
          <w:cantSplit/>
        </w:trPr>
        <w:tc>
          <w:tcPr>
            <w:tcW w:w="7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1097CC7C" w14:textId="77777777" w:rsidR="00AF7F17" w:rsidRDefault="00000000">
            <w:pPr>
              <w:spacing w:after="0" w:line="220" w:lineRule="auto"/>
            </w:pPr>
            <w:r>
              <w:rPr>
                <w:sz w:val="17"/>
                <w:szCs w:val="17"/>
              </w:rPr>
              <w:t>FR-011 Submit request</w:t>
            </w:r>
          </w:p>
        </w:tc>
        <w:tc>
          <w:tcPr>
            <w:tcW w:w="11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2A8C625A" w14:textId="77777777" w:rsidR="00AF7F17" w:rsidRDefault="00000000">
            <w:pPr>
              <w:spacing w:after="0" w:line="220" w:lineRule="auto"/>
            </w:pPr>
            <w:r>
              <w:rPr>
                <w:sz w:val="17"/>
                <w:szCs w:val="17"/>
              </w:rPr>
              <w:t>ASR-02/03; Request + Audit</w:t>
            </w:r>
          </w:p>
        </w:tc>
        <w:tc>
          <w:tcPr>
            <w:tcW w:w="11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66A5DE1A" w14:textId="77777777" w:rsidR="00AF7F17" w:rsidRDefault="00000000">
            <w:pPr>
              <w:spacing w:after="0" w:line="220" w:lineRule="auto"/>
            </w:pPr>
            <w:r>
              <w:rPr>
                <w:sz w:val="17"/>
                <w:szCs w:val="17"/>
              </w:rPr>
              <w:t>ADR-TECH-001</w:t>
            </w:r>
          </w:p>
        </w:tc>
        <w:tc>
          <w:tcPr>
            <w:tcW w:w="15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04466942" w14:textId="77777777" w:rsidR="00AF7F17" w:rsidRDefault="00000000">
            <w:pPr>
              <w:spacing w:after="0" w:line="220" w:lineRule="auto"/>
            </w:pPr>
            <w:r>
              <w:rPr>
                <w:sz w:val="17"/>
                <w:szCs w:val="17"/>
              </w:rPr>
              <w:t>Integration test proves request and initial event commit together</w:t>
            </w:r>
          </w:p>
        </w:tc>
        <w:tc>
          <w:tcPr>
            <w:tcW w:w="6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1C40CC57" w14:textId="77777777" w:rsidR="00AF7F17" w:rsidRDefault="00000000">
            <w:pPr>
              <w:spacing w:after="0" w:line="220" w:lineRule="auto"/>
            </w:pPr>
            <w:r>
              <w:rPr>
                <w:sz w:val="17"/>
                <w:szCs w:val="17"/>
              </w:rPr>
              <w:t>Planned</w:t>
            </w:r>
          </w:p>
        </w:tc>
      </w:tr>
      <w:tr w:rsidR="00AF7F17" w14:paraId="795F2D26" w14:textId="77777777">
        <w:tblPrEx>
          <w:tblCellMar>
            <w:top w:w="0" w:type="dxa"/>
            <w:bottom w:w="0" w:type="dxa"/>
          </w:tblCellMar>
        </w:tblPrEx>
        <w:trPr>
          <w:cantSplit/>
        </w:trPr>
        <w:tc>
          <w:tcPr>
            <w:tcW w:w="7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00A5D8C7" w14:textId="77777777" w:rsidR="00AF7F17" w:rsidRDefault="00000000">
            <w:pPr>
              <w:spacing w:after="0" w:line="220" w:lineRule="auto"/>
            </w:pPr>
            <w:r>
              <w:rPr>
                <w:sz w:val="17"/>
                <w:szCs w:val="17"/>
              </w:rPr>
              <w:t>FR-015 Update assignment/status</w:t>
            </w:r>
          </w:p>
        </w:tc>
        <w:tc>
          <w:tcPr>
            <w:tcW w:w="11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7579F4ED" w14:textId="77777777" w:rsidR="00AF7F17" w:rsidRDefault="00000000">
            <w:pPr>
              <w:spacing w:after="0" w:line="220" w:lineRule="auto"/>
            </w:pPr>
            <w:r>
              <w:rPr>
                <w:sz w:val="17"/>
                <w:szCs w:val="17"/>
              </w:rPr>
              <w:t>ASR-01/02/03; Workflow</w:t>
            </w:r>
          </w:p>
        </w:tc>
        <w:tc>
          <w:tcPr>
            <w:tcW w:w="11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62B60F80" w14:textId="77777777" w:rsidR="00AF7F17" w:rsidRDefault="00000000">
            <w:pPr>
              <w:spacing w:after="0" w:line="220" w:lineRule="auto"/>
            </w:pPr>
            <w:r>
              <w:rPr>
                <w:sz w:val="17"/>
                <w:szCs w:val="17"/>
              </w:rPr>
              <w:t>ADR-MOD-001</w:t>
            </w:r>
          </w:p>
        </w:tc>
        <w:tc>
          <w:tcPr>
            <w:tcW w:w="15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7D7D79FD" w14:textId="77777777" w:rsidR="00AF7F17" w:rsidRDefault="00000000">
            <w:pPr>
              <w:spacing w:after="0" w:line="220" w:lineRule="auto"/>
            </w:pPr>
            <w:r>
              <w:rPr>
                <w:sz w:val="17"/>
                <w:szCs w:val="17"/>
              </w:rPr>
              <w:t>Transition, concurrency, permission and audit tests</w:t>
            </w:r>
          </w:p>
        </w:tc>
        <w:tc>
          <w:tcPr>
            <w:tcW w:w="6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51BDCC9B" w14:textId="77777777" w:rsidR="00AF7F17" w:rsidRDefault="00000000">
            <w:pPr>
              <w:spacing w:after="0" w:line="220" w:lineRule="auto"/>
            </w:pPr>
            <w:r>
              <w:rPr>
                <w:sz w:val="17"/>
                <w:szCs w:val="17"/>
              </w:rPr>
              <w:t>Planned</w:t>
            </w:r>
          </w:p>
        </w:tc>
      </w:tr>
      <w:tr w:rsidR="00AF7F17" w14:paraId="7AFF4483" w14:textId="77777777">
        <w:tblPrEx>
          <w:tblCellMar>
            <w:top w:w="0" w:type="dxa"/>
            <w:bottom w:w="0" w:type="dxa"/>
          </w:tblCellMar>
        </w:tblPrEx>
        <w:trPr>
          <w:cantSplit/>
        </w:trPr>
        <w:tc>
          <w:tcPr>
            <w:tcW w:w="7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5353F8A6" w14:textId="77777777" w:rsidR="00AF7F17" w:rsidRDefault="00000000">
            <w:pPr>
              <w:spacing w:after="0" w:line="220" w:lineRule="auto"/>
            </w:pPr>
            <w:r>
              <w:rPr>
                <w:sz w:val="17"/>
                <w:szCs w:val="17"/>
              </w:rPr>
              <w:t>FR-017 View history</w:t>
            </w:r>
          </w:p>
        </w:tc>
        <w:tc>
          <w:tcPr>
            <w:tcW w:w="11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5776DD3B" w14:textId="77777777" w:rsidR="00AF7F17" w:rsidRDefault="00000000">
            <w:pPr>
              <w:spacing w:after="0" w:line="220" w:lineRule="auto"/>
            </w:pPr>
            <w:r>
              <w:rPr>
                <w:sz w:val="17"/>
                <w:szCs w:val="17"/>
              </w:rPr>
              <w:t>ASR-03; Audit &amp; History</w:t>
            </w:r>
          </w:p>
        </w:tc>
        <w:tc>
          <w:tcPr>
            <w:tcW w:w="11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061213FA" w14:textId="77777777" w:rsidR="00AF7F17" w:rsidRDefault="00000000">
            <w:pPr>
              <w:spacing w:after="0" w:line="220" w:lineRule="auto"/>
            </w:pPr>
            <w:r>
              <w:rPr>
                <w:sz w:val="17"/>
                <w:szCs w:val="17"/>
              </w:rPr>
              <w:t>ADR-ARCH-001</w:t>
            </w:r>
          </w:p>
        </w:tc>
        <w:tc>
          <w:tcPr>
            <w:tcW w:w="15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7E9514BD" w14:textId="77777777" w:rsidR="00AF7F17" w:rsidRDefault="00000000">
            <w:pPr>
              <w:spacing w:after="0" w:line="220" w:lineRule="auto"/>
            </w:pPr>
            <w:r>
              <w:rPr>
                <w:sz w:val="17"/>
                <w:szCs w:val="17"/>
              </w:rPr>
              <w:t>Timeline test with actor/action/record/time for each event</w:t>
            </w:r>
          </w:p>
        </w:tc>
        <w:tc>
          <w:tcPr>
            <w:tcW w:w="6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38499C55" w14:textId="77777777" w:rsidR="00AF7F17" w:rsidRDefault="00000000">
            <w:pPr>
              <w:spacing w:after="0" w:line="220" w:lineRule="auto"/>
            </w:pPr>
            <w:r>
              <w:rPr>
                <w:sz w:val="17"/>
                <w:szCs w:val="17"/>
              </w:rPr>
              <w:t>Planned</w:t>
            </w:r>
          </w:p>
        </w:tc>
      </w:tr>
      <w:tr w:rsidR="00AF7F17" w14:paraId="75C1BEA8" w14:textId="77777777">
        <w:tblPrEx>
          <w:tblCellMar>
            <w:top w:w="0" w:type="dxa"/>
            <w:bottom w:w="0" w:type="dxa"/>
          </w:tblCellMar>
        </w:tblPrEx>
        <w:trPr>
          <w:cantSplit/>
        </w:trPr>
        <w:tc>
          <w:tcPr>
            <w:tcW w:w="7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2DF45B6A" w14:textId="77777777" w:rsidR="00AF7F17" w:rsidRDefault="00000000">
            <w:pPr>
              <w:spacing w:after="0" w:line="220" w:lineRule="auto"/>
            </w:pPr>
            <w:r>
              <w:rPr>
                <w:sz w:val="17"/>
                <w:szCs w:val="17"/>
              </w:rPr>
              <w:t>NFR-003 Performance</w:t>
            </w:r>
          </w:p>
        </w:tc>
        <w:tc>
          <w:tcPr>
            <w:tcW w:w="11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1263B4DF" w14:textId="77777777" w:rsidR="00AF7F17" w:rsidRDefault="00000000">
            <w:pPr>
              <w:spacing w:after="0" w:line="220" w:lineRule="auto"/>
            </w:pPr>
            <w:r>
              <w:rPr>
                <w:sz w:val="17"/>
                <w:szCs w:val="17"/>
              </w:rPr>
              <w:t>ASR-04; UI/API/Reporting/DB</w:t>
            </w:r>
          </w:p>
        </w:tc>
        <w:tc>
          <w:tcPr>
            <w:tcW w:w="11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161E8DCE" w14:textId="77777777" w:rsidR="00AF7F17" w:rsidRDefault="00000000">
            <w:pPr>
              <w:spacing w:after="0" w:line="220" w:lineRule="auto"/>
            </w:pPr>
            <w:r>
              <w:rPr>
                <w:sz w:val="17"/>
                <w:szCs w:val="17"/>
              </w:rPr>
              <w:t>ADR-ARCH-001 / ADR-TECH-001</w:t>
            </w:r>
          </w:p>
        </w:tc>
        <w:tc>
          <w:tcPr>
            <w:tcW w:w="15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2D32D38E" w14:textId="77777777" w:rsidR="00AF7F17" w:rsidRDefault="00000000">
            <w:pPr>
              <w:spacing w:after="0" w:line="220" w:lineRule="auto"/>
            </w:pPr>
            <w:r>
              <w:rPr>
                <w:sz w:val="17"/>
                <w:szCs w:val="17"/>
              </w:rPr>
              <w:t>10,000 records; 50 concurrent users; p95 thresholds</w:t>
            </w:r>
          </w:p>
        </w:tc>
        <w:tc>
          <w:tcPr>
            <w:tcW w:w="6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11EABF83" w14:textId="77777777" w:rsidR="00AF7F17" w:rsidRDefault="00000000">
            <w:pPr>
              <w:spacing w:after="0" w:line="220" w:lineRule="auto"/>
            </w:pPr>
            <w:r>
              <w:rPr>
                <w:sz w:val="17"/>
                <w:szCs w:val="17"/>
              </w:rPr>
              <w:t>Planned</w:t>
            </w:r>
          </w:p>
        </w:tc>
      </w:tr>
      <w:tr w:rsidR="00AF7F17" w14:paraId="1A848E3D" w14:textId="77777777">
        <w:tblPrEx>
          <w:tblCellMar>
            <w:top w:w="0" w:type="dxa"/>
            <w:bottom w:w="0" w:type="dxa"/>
          </w:tblCellMar>
        </w:tblPrEx>
        <w:trPr>
          <w:cantSplit/>
        </w:trPr>
        <w:tc>
          <w:tcPr>
            <w:tcW w:w="7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24BC2A78" w14:textId="77777777" w:rsidR="00AF7F17" w:rsidRDefault="00000000">
            <w:pPr>
              <w:spacing w:after="0" w:line="220" w:lineRule="auto"/>
            </w:pPr>
            <w:r>
              <w:rPr>
                <w:sz w:val="17"/>
                <w:szCs w:val="17"/>
              </w:rPr>
              <w:t>NFR-007 Integrity</w:t>
            </w:r>
          </w:p>
        </w:tc>
        <w:tc>
          <w:tcPr>
            <w:tcW w:w="11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61B605BF" w14:textId="77777777" w:rsidR="00AF7F17" w:rsidRDefault="00000000">
            <w:pPr>
              <w:spacing w:after="0" w:line="220" w:lineRule="auto"/>
            </w:pPr>
            <w:r>
              <w:rPr>
                <w:sz w:val="17"/>
                <w:szCs w:val="17"/>
              </w:rPr>
              <w:t>ASR-02; PostgreSQL + services</w:t>
            </w:r>
          </w:p>
        </w:tc>
        <w:tc>
          <w:tcPr>
            <w:tcW w:w="11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1F076D85" w14:textId="77777777" w:rsidR="00AF7F17" w:rsidRDefault="00000000">
            <w:pPr>
              <w:spacing w:after="0" w:line="220" w:lineRule="auto"/>
            </w:pPr>
            <w:r>
              <w:rPr>
                <w:sz w:val="17"/>
                <w:szCs w:val="17"/>
              </w:rPr>
              <w:t>ADR-TECH-001</w:t>
            </w:r>
          </w:p>
        </w:tc>
        <w:tc>
          <w:tcPr>
            <w:tcW w:w="15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7B0147D4" w14:textId="77777777" w:rsidR="00AF7F17" w:rsidRDefault="00000000">
            <w:pPr>
              <w:spacing w:after="0" w:line="220" w:lineRule="auto"/>
            </w:pPr>
            <w:r>
              <w:rPr>
                <w:sz w:val="17"/>
                <w:szCs w:val="17"/>
              </w:rPr>
              <w:t>Rollback, unique-reference and foreign-key tests</w:t>
            </w:r>
          </w:p>
        </w:tc>
        <w:tc>
          <w:tcPr>
            <w:tcW w:w="6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7B2D78E9" w14:textId="77777777" w:rsidR="00AF7F17" w:rsidRDefault="00000000">
            <w:pPr>
              <w:spacing w:after="0" w:line="220" w:lineRule="auto"/>
            </w:pPr>
            <w:r>
              <w:rPr>
                <w:sz w:val="17"/>
                <w:szCs w:val="17"/>
              </w:rPr>
              <w:t>Planned</w:t>
            </w:r>
          </w:p>
        </w:tc>
      </w:tr>
      <w:tr w:rsidR="00AF7F17" w14:paraId="308979D2" w14:textId="77777777">
        <w:tblPrEx>
          <w:tblCellMar>
            <w:top w:w="0" w:type="dxa"/>
            <w:bottom w:w="0" w:type="dxa"/>
          </w:tblCellMar>
        </w:tblPrEx>
        <w:trPr>
          <w:cantSplit/>
        </w:trPr>
        <w:tc>
          <w:tcPr>
            <w:tcW w:w="7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6A517CEB" w14:textId="77777777" w:rsidR="00AF7F17" w:rsidRDefault="00000000">
            <w:pPr>
              <w:spacing w:after="0" w:line="220" w:lineRule="auto"/>
            </w:pPr>
            <w:r>
              <w:rPr>
                <w:sz w:val="17"/>
                <w:szCs w:val="17"/>
              </w:rPr>
              <w:t>NFR-008 Auditability</w:t>
            </w:r>
          </w:p>
        </w:tc>
        <w:tc>
          <w:tcPr>
            <w:tcW w:w="11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53323D81" w14:textId="77777777" w:rsidR="00AF7F17" w:rsidRDefault="00000000">
            <w:pPr>
              <w:spacing w:after="0" w:line="220" w:lineRule="auto"/>
            </w:pPr>
            <w:r>
              <w:rPr>
                <w:sz w:val="17"/>
                <w:szCs w:val="17"/>
              </w:rPr>
              <w:t>ASR-03; Audit module</w:t>
            </w:r>
          </w:p>
        </w:tc>
        <w:tc>
          <w:tcPr>
            <w:tcW w:w="11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496E5A8D" w14:textId="77777777" w:rsidR="00AF7F17" w:rsidRDefault="00000000">
            <w:pPr>
              <w:spacing w:after="0" w:line="220" w:lineRule="auto"/>
            </w:pPr>
            <w:r>
              <w:rPr>
                <w:sz w:val="17"/>
                <w:szCs w:val="17"/>
              </w:rPr>
              <w:t>ADR-MOD-001</w:t>
            </w:r>
          </w:p>
        </w:tc>
        <w:tc>
          <w:tcPr>
            <w:tcW w:w="15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2994A126" w14:textId="77777777" w:rsidR="00AF7F17" w:rsidRDefault="00000000">
            <w:pPr>
              <w:spacing w:after="0" w:line="220" w:lineRule="auto"/>
            </w:pPr>
            <w:r>
              <w:rPr>
                <w:sz w:val="17"/>
                <w:szCs w:val="17"/>
              </w:rPr>
              <w:t>Required-event coverage report; tamper-path review</w:t>
            </w:r>
          </w:p>
        </w:tc>
        <w:tc>
          <w:tcPr>
            <w:tcW w:w="6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45F7050C" w14:textId="77777777" w:rsidR="00AF7F17" w:rsidRDefault="00000000">
            <w:pPr>
              <w:spacing w:after="0" w:line="220" w:lineRule="auto"/>
            </w:pPr>
            <w:r>
              <w:rPr>
                <w:sz w:val="17"/>
                <w:szCs w:val="17"/>
              </w:rPr>
              <w:t>Planned</w:t>
            </w:r>
          </w:p>
        </w:tc>
      </w:tr>
      <w:tr w:rsidR="00AF7F17" w14:paraId="6DB4CB85" w14:textId="77777777">
        <w:tblPrEx>
          <w:tblCellMar>
            <w:top w:w="0" w:type="dxa"/>
            <w:bottom w:w="0" w:type="dxa"/>
          </w:tblCellMar>
        </w:tblPrEx>
        <w:trPr>
          <w:cantSplit/>
        </w:trPr>
        <w:tc>
          <w:tcPr>
            <w:tcW w:w="7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25134CAD" w14:textId="77777777" w:rsidR="00AF7F17" w:rsidRDefault="00000000">
            <w:pPr>
              <w:spacing w:after="0" w:line="220" w:lineRule="auto"/>
            </w:pPr>
            <w:r>
              <w:rPr>
                <w:sz w:val="17"/>
                <w:szCs w:val="17"/>
              </w:rPr>
              <w:t>NFR-011 Recovery</w:t>
            </w:r>
          </w:p>
        </w:tc>
        <w:tc>
          <w:tcPr>
            <w:tcW w:w="11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70714516" w14:textId="77777777" w:rsidR="00AF7F17" w:rsidRDefault="00000000">
            <w:pPr>
              <w:spacing w:after="0" w:line="220" w:lineRule="auto"/>
            </w:pPr>
            <w:r>
              <w:rPr>
                <w:sz w:val="17"/>
                <w:szCs w:val="17"/>
              </w:rPr>
              <w:t>ASR-06; PostgreSQL/backup</w:t>
            </w:r>
          </w:p>
        </w:tc>
        <w:tc>
          <w:tcPr>
            <w:tcW w:w="11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44745EB1" w14:textId="77777777" w:rsidR="00AF7F17" w:rsidRDefault="00000000">
            <w:pPr>
              <w:spacing w:after="0" w:line="220" w:lineRule="auto"/>
            </w:pPr>
            <w:r>
              <w:rPr>
                <w:sz w:val="17"/>
                <w:szCs w:val="17"/>
              </w:rPr>
              <w:t>ADR-TECH-001</w:t>
            </w:r>
          </w:p>
        </w:tc>
        <w:tc>
          <w:tcPr>
            <w:tcW w:w="15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3F619653" w14:textId="77777777" w:rsidR="00AF7F17" w:rsidRDefault="00000000">
            <w:pPr>
              <w:spacing w:after="0" w:line="220" w:lineRule="auto"/>
            </w:pPr>
            <w:r>
              <w:rPr>
                <w:sz w:val="17"/>
                <w:szCs w:val="17"/>
              </w:rPr>
              <w:t>Backup log and timed restore rehearsal meeting RPO/RTO</w:t>
            </w:r>
          </w:p>
        </w:tc>
        <w:tc>
          <w:tcPr>
            <w:tcW w:w="6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1DD0C8D1" w14:textId="77777777" w:rsidR="00AF7F17" w:rsidRDefault="00000000">
            <w:pPr>
              <w:spacing w:after="0" w:line="220" w:lineRule="auto"/>
            </w:pPr>
            <w:r>
              <w:rPr>
                <w:sz w:val="17"/>
                <w:szCs w:val="17"/>
              </w:rPr>
              <w:t>Planned</w:t>
            </w:r>
          </w:p>
        </w:tc>
      </w:tr>
      <w:tr w:rsidR="00AF7F17" w14:paraId="20746566" w14:textId="77777777">
        <w:tblPrEx>
          <w:tblCellMar>
            <w:top w:w="0" w:type="dxa"/>
            <w:bottom w:w="0" w:type="dxa"/>
          </w:tblCellMar>
        </w:tblPrEx>
        <w:trPr>
          <w:cantSplit/>
        </w:trPr>
        <w:tc>
          <w:tcPr>
            <w:tcW w:w="7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4BF0A61A" w14:textId="77777777" w:rsidR="00AF7F17" w:rsidRDefault="00000000">
            <w:pPr>
              <w:spacing w:after="0" w:line="220" w:lineRule="auto"/>
            </w:pPr>
            <w:r>
              <w:rPr>
                <w:sz w:val="17"/>
                <w:szCs w:val="17"/>
              </w:rPr>
              <w:t>NFR-012 Maintainability</w:t>
            </w:r>
          </w:p>
        </w:tc>
        <w:tc>
          <w:tcPr>
            <w:tcW w:w="11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6A2105CA" w14:textId="77777777" w:rsidR="00AF7F17" w:rsidRDefault="00000000">
            <w:pPr>
              <w:spacing w:after="0" w:line="220" w:lineRule="auto"/>
            </w:pPr>
            <w:r>
              <w:rPr>
                <w:sz w:val="17"/>
                <w:szCs w:val="17"/>
              </w:rPr>
              <w:t>ASR-05; all modules/CI</w:t>
            </w:r>
          </w:p>
        </w:tc>
        <w:tc>
          <w:tcPr>
            <w:tcW w:w="11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0FE80821" w14:textId="77777777" w:rsidR="00AF7F17" w:rsidRDefault="00000000">
            <w:pPr>
              <w:spacing w:after="0" w:line="220" w:lineRule="auto"/>
            </w:pPr>
            <w:r>
              <w:rPr>
                <w:sz w:val="17"/>
                <w:szCs w:val="17"/>
              </w:rPr>
              <w:t>ADR-MOD-001</w:t>
            </w:r>
          </w:p>
        </w:tc>
        <w:tc>
          <w:tcPr>
            <w:tcW w:w="15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538C8320" w14:textId="77777777" w:rsidR="00AF7F17" w:rsidRDefault="00000000">
            <w:pPr>
              <w:spacing w:after="0" w:line="220" w:lineRule="auto"/>
            </w:pPr>
            <w:r>
              <w:rPr>
                <w:sz w:val="17"/>
                <w:szCs w:val="17"/>
              </w:rPr>
              <w:t>PR approvals, automated checks and dependency-rule result</w:t>
            </w:r>
          </w:p>
        </w:tc>
        <w:tc>
          <w:tcPr>
            <w:tcW w:w="6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508F31C0" w14:textId="77777777" w:rsidR="00AF7F17" w:rsidRDefault="00000000">
            <w:pPr>
              <w:spacing w:after="0" w:line="220" w:lineRule="auto"/>
            </w:pPr>
            <w:r>
              <w:rPr>
                <w:sz w:val="17"/>
                <w:szCs w:val="17"/>
              </w:rPr>
              <w:t>Planned</w:t>
            </w:r>
          </w:p>
        </w:tc>
      </w:tr>
    </w:tbl>
    <w:p w14:paraId="2C62BAF2" w14:textId="77777777" w:rsidR="00AF7F17" w:rsidRDefault="00000000">
      <w:pPr>
        <w:pStyle w:val="Heading2"/>
      </w:pPr>
      <w:r>
        <w:t>8.1 End-to-end trace example: request creation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4"/>
        <w:gridCol w:w="7842"/>
      </w:tblGrid>
      <w:tr w:rsidR="00AF7F17" w14:paraId="0120F38E" w14:textId="77777777">
        <w:tblPrEx>
          <w:tblCellMar>
            <w:top w:w="0" w:type="dxa"/>
            <w:bottom w:w="0" w:type="dxa"/>
          </w:tblCellMar>
        </w:tblPrEx>
        <w:trPr>
          <w:cantSplit/>
          <w:tblHeader/>
        </w:trPr>
        <w:tc>
          <w:tcPr>
            <w:tcW w:w="1250" w:type="pct"/>
            <w:tcBorders>
              <w:top w:val="single" w:sz="4" w:space="0" w:color="C7D0D8"/>
              <w:left w:val="single" w:sz="4" w:space="0" w:color="C7D0D8"/>
              <w:bottom w:val="single" w:sz="4" w:space="0" w:color="C7D0D8"/>
              <w:right w:val="single" w:sz="4" w:space="0" w:color="C7D0D8"/>
            </w:tcBorders>
            <w:shd w:val="clear" w:color="auto" w:fill="17324D"/>
            <w:tcMar>
              <w:top w:w="90" w:type="dxa"/>
              <w:left w:w="95" w:type="dxa"/>
              <w:bottom w:w="90" w:type="dxa"/>
              <w:right w:w="95" w:type="dxa"/>
            </w:tcMar>
            <w:vAlign w:val="center"/>
          </w:tcPr>
          <w:p w14:paraId="62AA94ED" w14:textId="77777777" w:rsidR="00AF7F17" w:rsidRDefault="00000000">
            <w:pPr>
              <w:spacing w:after="0"/>
            </w:pPr>
            <w:r>
              <w:rPr>
                <w:b/>
                <w:bCs/>
                <w:color w:val="FFFFFF"/>
                <w:sz w:val="18"/>
                <w:szCs w:val="18"/>
              </w:rPr>
              <w:t>Trace step</w:t>
            </w:r>
          </w:p>
        </w:tc>
        <w:tc>
          <w:tcPr>
            <w:tcW w:w="3750" w:type="pct"/>
            <w:tcBorders>
              <w:top w:val="single" w:sz="4" w:space="0" w:color="C7D0D8"/>
              <w:left w:val="single" w:sz="4" w:space="0" w:color="C7D0D8"/>
              <w:bottom w:val="single" w:sz="4" w:space="0" w:color="C7D0D8"/>
              <w:right w:val="single" w:sz="4" w:space="0" w:color="C7D0D8"/>
            </w:tcBorders>
            <w:shd w:val="clear" w:color="auto" w:fill="17324D"/>
            <w:tcMar>
              <w:top w:w="90" w:type="dxa"/>
              <w:left w:w="95" w:type="dxa"/>
              <w:bottom w:w="90" w:type="dxa"/>
              <w:right w:w="95" w:type="dxa"/>
            </w:tcMar>
            <w:vAlign w:val="center"/>
          </w:tcPr>
          <w:p w14:paraId="45203F15" w14:textId="77777777" w:rsidR="00AF7F17" w:rsidRDefault="00000000">
            <w:pPr>
              <w:spacing w:after="0"/>
            </w:pPr>
            <w:r>
              <w:rPr>
                <w:b/>
                <w:bCs/>
                <w:color w:val="FFFFFF"/>
                <w:sz w:val="18"/>
                <w:szCs w:val="18"/>
              </w:rPr>
              <w:t>Evidence / decision</w:t>
            </w:r>
          </w:p>
        </w:tc>
      </w:tr>
      <w:tr w:rsidR="00AF7F17" w14:paraId="459EE1A3" w14:textId="77777777">
        <w:tblPrEx>
          <w:tblCellMar>
            <w:top w:w="0" w:type="dxa"/>
            <w:bottom w:w="0" w:type="dxa"/>
          </w:tblCellMar>
        </w:tblPrEx>
        <w:trPr>
          <w:cantSplit/>
        </w:trPr>
        <w:tc>
          <w:tcPr>
            <w:tcW w:w="12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682C49C7" w14:textId="77777777" w:rsidR="00AF7F17" w:rsidRDefault="00000000">
            <w:pPr>
              <w:spacing w:after="0" w:line="220" w:lineRule="auto"/>
            </w:pPr>
            <w:proofErr w:type="gramStart"/>
            <w:r>
              <w:rPr>
                <w:sz w:val="17"/>
                <w:szCs w:val="17"/>
              </w:rPr>
              <w:t>Stakeholder</w:t>
            </w:r>
            <w:proofErr w:type="gramEnd"/>
            <w:r>
              <w:rPr>
                <w:sz w:val="17"/>
                <w:szCs w:val="17"/>
              </w:rPr>
              <w:t xml:space="preserve"> need</w:t>
            </w:r>
          </w:p>
        </w:tc>
        <w:tc>
          <w:tcPr>
            <w:tcW w:w="37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0617442B" w14:textId="77777777" w:rsidR="00AF7F17" w:rsidRDefault="00000000">
            <w:pPr>
              <w:spacing w:after="0" w:line="220" w:lineRule="auto"/>
            </w:pPr>
            <w:r>
              <w:rPr>
                <w:sz w:val="17"/>
                <w:szCs w:val="17"/>
              </w:rPr>
              <w:t>Community member needs one reliable channel and a reference for follow-up.</w:t>
            </w:r>
          </w:p>
        </w:tc>
      </w:tr>
      <w:tr w:rsidR="00AF7F17" w14:paraId="5F79B847" w14:textId="77777777">
        <w:tblPrEx>
          <w:tblCellMar>
            <w:top w:w="0" w:type="dxa"/>
            <w:bottom w:w="0" w:type="dxa"/>
          </w:tblCellMar>
        </w:tblPrEx>
        <w:trPr>
          <w:cantSplit/>
        </w:trPr>
        <w:tc>
          <w:tcPr>
            <w:tcW w:w="12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7B431702" w14:textId="77777777" w:rsidR="00AF7F17" w:rsidRDefault="00000000">
            <w:pPr>
              <w:spacing w:after="0" w:line="220" w:lineRule="auto"/>
            </w:pPr>
            <w:r>
              <w:rPr>
                <w:sz w:val="17"/>
                <w:szCs w:val="17"/>
              </w:rPr>
              <w:t>Requirement</w:t>
            </w:r>
          </w:p>
        </w:tc>
        <w:tc>
          <w:tcPr>
            <w:tcW w:w="37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57D69E0A" w14:textId="77777777" w:rsidR="00AF7F17" w:rsidRDefault="00000000">
            <w:pPr>
              <w:spacing w:after="0" w:line="220" w:lineRule="auto"/>
            </w:pPr>
            <w:r>
              <w:rPr>
                <w:sz w:val="17"/>
                <w:szCs w:val="17"/>
              </w:rPr>
              <w:t>FR-011 Submit Request; NFR-007 Integrity; NFR-008 Auditability.</w:t>
            </w:r>
          </w:p>
        </w:tc>
      </w:tr>
      <w:tr w:rsidR="00AF7F17" w14:paraId="11416D80" w14:textId="77777777">
        <w:tblPrEx>
          <w:tblCellMar>
            <w:top w:w="0" w:type="dxa"/>
            <w:bottom w:w="0" w:type="dxa"/>
          </w:tblCellMar>
        </w:tblPrEx>
        <w:trPr>
          <w:cantSplit/>
        </w:trPr>
        <w:tc>
          <w:tcPr>
            <w:tcW w:w="12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5B9F630B" w14:textId="77777777" w:rsidR="00AF7F17" w:rsidRDefault="00000000">
            <w:pPr>
              <w:spacing w:after="0" w:line="220" w:lineRule="auto"/>
            </w:pPr>
            <w:r>
              <w:rPr>
                <w:sz w:val="17"/>
                <w:szCs w:val="17"/>
              </w:rPr>
              <w:t>ASR</w:t>
            </w:r>
          </w:p>
        </w:tc>
        <w:tc>
          <w:tcPr>
            <w:tcW w:w="37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0CA78261" w14:textId="77777777" w:rsidR="00AF7F17" w:rsidRDefault="00000000">
            <w:pPr>
              <w:spacing w:after="0" w:line="220" w:lineRule="auto"/>
            </w:pPr>
            <w:r>
              <w:rPr>
                <w:sz w:val="17"/>
                <w:szCs w:val="17"/>
              </w:rPr>
              <w:t>ASR-02 requires atomic persistence; ASR-03 requires complete event history.</w:t>
            </w:r>
          </w:p>
        </w:tc>
      </w:tr>
      <w:tr w:rsidR="00AF7F17" w14:paraId="285DFC3C" w14:textId="77777777">
        <w:tblPrEx>
          <w:tblCellMar>
            <w:top w:w="0" w:type="dxa"/>
            <w:bottom w:w="0" w:type="dxa"/>
          </w:tblCellMar>
        </w:tblPrEx>
        <w:trPr>
          <w:cantSplit/>
        </w:trPr>
        <w:tc>
          <w:tcPr>
            <w:tcW w:w="12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16128C10" w14:textId="77777777" w:rsidR="00AF7F17" w:rsidRDefault="00000000">
            <w:pPr>
              <w:spacing w:after="0" w:line="220" w:lineRule="auto"/>
            </w:pPr>
            <w:r>
              <w:rPr>
                <w:sz w:val="17"/>
                <w:szCs w:val="17"/>
              </w:rPr>
              <w:t>Architecture</w:t>
            </w:r>
          </w:p>
        </w:tc>
        <w:tc>
          <w:tcPr>
            <w:tcW w:w="37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6093FD01" w14:textId="77777777" w:rsidR="00AF7F17" w:rsidRDefault="00000000">
            <w:pPr>
              <w:spacing w:after="0" w:line="220" w:lineRule="auto"/>
            </w:pPr>
            <w:r>
              <w:rPr>
                <w:sz w:val="17"/>
                <w:szCs w:val="17"/>
              </w:rPr>
              <w:t>React form → Express API → Request service → PostgreSQL transaction; audit entry in the same unit of work.</w:t>
            </w:r>
          </w:p>
        </w:tc>
      </w:tr>
      <w:tr w:rsidR="00AF7F17" w14:paraId="69C6FD1E" w14:textId="77777777">
        <w:tblPrEx>
          <w:tblCellMar>
            <w:top w:w="0" w:type="dxa"/>
            <w:bottom w:w="0" w:type="dxa"/>
          </w:tblCellMar>
        </w:tblPrEx>
        <w:trPr>
          <w:cantSplit/>
        </w:trPr>
        <w:tc>
          <w:tcPr>
            <w:tcW w:w="12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38A260B7" w14:textId="77777777" w:rsidR="00AF7F17" w:rsidRDefault="00000000">
            <w:pPr>
              <w:spacing w:after="0" w:line="220" w:lineRule="auto"/>
            </w:pPr>
            <w:r>
              <w:rPr>
                <w:sz w:val="17"/>
                <w:szCs w:val="17"/>
              </w:rPr>
              <w:t>ADR</w:t>
            </w:r>
          </w:p>
        </w:tc>
        <w:tc>
          <w:tcPr>
            <w:tcW w:w="37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48651AEE" w14:textId="77777777" w:rsidR="00AF7F17" w:rsidRDefault="00000000">
            <w:pPr>
              <w:spacing w:after="0" w:line="220" w:lineRule="auto"/>
            </w:pPr>
            <w:r>
              <w:rPr>
                <w:sz w:val="17"/>
                <w:szCs w:val="17"/>
              </w:rPr>
              <w:t>ADR-ARCH-001 and ADR-TECH-001.</w:t>
            </w:r>
          </w:p>
        </w:tc>
      </w:tr>
      <w:tr w:rsidR="00AF7F17" w14:paraId="2113B58F" w14:textId="77777777">
        <w:tblPrEx>
          <w:tblCellMar>
            <w:top w:w="0" w:type="dxa"/>
            <w:bottom w:w="0" w:type="dxa"/>
          </w:tblCellMar>
        </w:tblPrEx>
        <w:trPr>
          <w:cantSplit/>
        </w:trPr>
        <w:tc>
          <w:tcPr>
            <w:tcW w:w="12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11E94DE1" w14:textId="77777777" w:rsidR="00AF7F17" w:rsidRDefault="00000000">
            <w:pPr>
              <w:spacing w:after="0" w:line="220" w:lineRule="auto"/>
            </w:pPr>
            <w:r>
              <w:rPr>
                <w:sz w:val="17"/>
                <w:szCs w:val="17"/>
              </w:rPr>
              <w:t>Verification</w:t>
            </w:r>
          </w:p>
        </w:tc>
        <w:tc>
          <w:tcPr>
            <w:tcW w:w="37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3E5D6C62" w14:textId="77777777" w:rsidR="00AF7F17" w:rsidRDefault="00000000">
            <w:pPr>
              <w:spacing w:after="0" w:line="220" w:lineRule="auto"/>
            </w:pPr>
            <w:r>
              <w:rPr>
                <w:sz w:val="17"/>
                <w:szCs w:val="17"/>
              </w:rPr>
              <w:t>API/integration test creates request + initial history; injected failure proves rollback; uniqueness test proves no duplicate reference.</w:t>
            </w:r>
          </w:p>
        </w:tc>
      </w:tr>
      <w:tr w:rsidR="00AF7F17" w14:paraId="3AC0F3D2" w14:textId="77777777">
        <w:tblPrEx>
          <w:tblCellMar>
            <w:top w:w="0" w:type="dxa"/>
            <w:bottom w:w="0" w:type="dxa"/>
          </w:tblCellMar>
        </w:tblPrEx>
        <w:trPr>
          <w:cantSplit/>
        </w:trPr>
        <w:tc>
          <w:tcPr>
            <w:tcW w:w="12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0C28ED25" w14:textId="77777777" w:rsidR="00AF7F17" w:rsidRDefault="00000000">
            <w:pPr>
              <w:spacing w:after="0" w:line="220" w:lineRule="auto"/>
            </w:pPr>
            <w:r>
              <w:rPr>
                <w:sz w:val="17"/>
                <w:szCs w:val="17"/>
              </w:rPr>
              <w:t>Repository evidence to link</w:t>
            </w:r>
          </w:p>
        </w:tc>
        <w:tc>
          <w:tcPr>
            <w:tcW w:w="37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191E4EC7" w14:textId="77777777" w:rsidR="00AF7F17" w:rsidRDefault="00000000">
            <w:pPr>
              <w:spacing w:after="0" w:line="220" w:lineRule="auto"/>
            </w:pPr>
            <w:r>
              <w:rPr>
                <w:sz w:val="17"/>
                <w:szCs w:val="17"/>
              </w:rPr>
              <w:t>Planned: route/service test path, migration containing constraints, CI run and pull request.</w:t>
            </w:r>
          </w:p>
        </w:tc>
      </w:tr>
    </w:tbl>
    <w:p w14:paraId="17569CBA" w14:textId="77777777" w:rsidR="00AF7F17" w:rsidRDefault="00000000">
      <w:pPr>
        <w:pStyle w:val="Heading1"/>
      </w:pPr>
      <w:r>
        <w:t>9. Risks, trade-offs and forward engineering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5"/>
        <w:gridCol w:w="2719"/>
        <w:gridCol w:w="3450"/>
        <w:gridCol w:w="1882"/>
      </w:tblGrid>
      <w:tr w:rsidR="00AF7F17" w14:paraId="07DCE9F6" w14:textId="77777777">
        <w:tblPrEx>
          <w:tblCellMar>
            <w:top w:w="0" w:type="dxa"/>
            <w:bottom w:w="0" w:type="dxa"/>
          </w:tblCellMar>
        </w:tblPrEx>
        <w:trPr>
          <w:cantSplit/>
          <w:tblHeader/>
        </w:trPr>
        <w:tc>
          <w:tcPr>
            <w:tcW w:w="1150" w:type="pct"/>
            <w:tcBorders>
              <w:top w:val="single" w:sz="4" w:space="0" w:color="C7D0D8"/>
              <w:left w:val="single" w:sz="4" w:space="0" w:color="C7D0D8"/>
              <w:bottom w:val="single" w:sz="4" w:space="0" w:color="C7D0D8"/>
              <w:right w:val="single" w:sz="4" w:space="0" w:color="C7D0D8"/>
            </w:tcBorders>
            <w:shd w:val="clear" w:color="auto" w:fill="17324D"/>
            <w:tcMar>
              <w:top w:w="90" w:type="dxa"/>
              <w:left w:w="95" w:type="dxa"/>
              <w:bottom w:w="90" w:type="dxa"/>
              <w:right w:w="95" w:type="dxa"/>
            </w:tcMar>
            <w:vAlign w:val="center"/>
          </w:tcPr>
          <w:p w14:paraId="70C75273" w14:textId="77777777" w:rsidR="00AF7F17" w:rsidRDefault="00000000">
            <w:pPr>
              <w:spacing w:after="0"/>
            </w:pPr>
            <w:r>
              <w:rPr>
                <w:b/>
                <w:bCs/>
                <w:color w:val="FFFFFF"/>
                <w:sz w:val="18"/>
                <w:szCs w:val="18"/>
              </w:rPr>
              <w:t>Risk / trade-off</w:t>
            </w:r>
          </w:p>
        </w:tc>
        <w:tc>
          <w:tcPr>
            <w:tcW w:w="1300" w:type="pct"/>
            <w:tcBorders>
              <w:top w:val="single" w:sz="4" w:space="0" w:color="C7D0D8"/>
              <w:left w:val="single" w:sz="4" w:space="0" w:color="C7D0D8"/>
              <w:bottom w:val="single" w:sz="4" w:space="0" w:color="C7D0D8"/>
              <w:right w:val="single" w:sz="4" w:space="0" w:color="C7D0D8"/>
            </w:tcBorders>
            <w:shd w:val="clear" w:color="auto" w:fill="17324D"/>
            <w:tcMar>
              <w:top w:w="90" w:type="dxa"/>
              <w:left w:w="95" w:type="dxa"/>
              <w:bottom w:w="90" w:type="dxa"/>
              <w:right w:w="95" w:type="dxa"/>
            </w:tcMar>
            <w:vAlign w:val="center"/>
          </w:tcPr>
          <w:p w14:paraId="29B2FF8A" w14:textId="77777777" w:rsidR="00AF7F17" w:rsidRDefault="00000000">
            <w:pPr>
              <w:spacing w:after="0"/>
            </w:pPr>
            <w:r>
              <w:rPr>
                <w:b/>
                <w:bCs/>
                <w:color w:val="FFFFFF"/>
                <w:sz w:val="18"/>
                <w:szCs w:val="18"/>
              </w:rPr>
              <w:t>Ripple effect</w:t>
            </w:r>
          </w:p>
        </w:tc>
        <w:tc>
          <w:tcPr>
            <w:tcW w:w="1650" w:type="pct"/>
            <w:tcBorders>
              <w:top w:val="single" w:sz="4" w:space="0" w:color="C7D0D8"/>
              <w:left w:val="single" w:sz="4" w:space="0" w:color="C7D0D8"/>
              <w:bottom w:val="single" w:sz="4" w:space="0" w:color="C7D0D8"/>
              <w:right w:val="single" w:sz="4" w:space="0" w:color="C7D0D8"/>
            </w:tcBorders>
            <w:shd w:val="clear" w:color="auto" w:fill="17324D"/>
            <w:tcMar>
              <w:top w:w="90" w:type="dxa"/>
              <w:left w:w="95" w:type="dxa"/>
              <w:bottom w:w="90" w:type="dxa"/>
              <w:right w:w="95" w:type="dxa"/>
            </w:tcMar>
            <w:vAlign w:val="center"/>
          </w:tcPr>
          <w:p w14:paraId="53020B0D" w14:textId="77777777" w:rsidR="00AF7F17" w:rsidRDefault="00000000">
            <w:pPr>
              <w:spacing w:after="0"/>
            </w:pPr>
            <w:r>
              <w:rPr>
                <w:b/>
                <w:bCs/>
                <w:color w:val="FFFFFF"/>
                <w:sz w:val="18"/>
                <w:szCs w:val="18"/>
              </w:rPr>
              <w:t>Control / next evidence</w:t>
            </w:r>
          </w:p>
        </w:tc>
        <w:tc>
          <w:tcPr>
            <w:tcW w:w="900" w:type="pct"/>
            <w:tcBorders>
              <w:top w:val="single" w:sz="4" w:space="0" w:color="C7D0D8"/>
              <w:left w:val="single" w:sz="4" w:space="0" w:color="C7D0D8"/>
              <w:bottom w:val="single" w:sz="4" w:space="0" w:color="C7D0D8"/>
              <w:right w:val="single" w:sz="4" w:space="0" w:color="C7D0D8"/>
            </w:tcBorders>
            <w:shd w:val="clear" w:color="auto" w:fill="17324D"/>
            <w:tcMar>
              <w:top w:w="90" w:type="dxa"/>
              <w:left w:w="95" w:type="dxa"/>
              <w:bottom w:w="90" w:type="dxa"/>
              <w:right w:w="95" w:type="dxa"/>
            </w:tcMar>
            <w:vAlign w:val="center"/>
          </w:tcPr>
          <w:p w14:paraId="106EDB3A" w14:textId="77777777" w:rsidR="00AF7F17" w:rsidRDefault="00000000">
            <w:pPr>
              <w:spacing w:after="0"/>
            </w:pPr>
            <w:r>
              <w:rPr>
                <w:b/>
                <w:bCs/>
                <w:color w:val="FFFFFF"/>
                <w:sz w:val="18"/>
                <w:szCs w:val="18"/>
              </w:rPr>
              <w:t>Owner / status</w:t>
            </w:r>
          </w:p>
        </w:tc>
      </w:tr>
      <w:tr w:rsidR="00AF7F17" w14:paraId="49CAC997" w14:textId="77777777">
        <w:tblPrEx>
          <w:tblCellMar>
            <w:top w:w="0" w:type="dxa"/>
            <w:bottom w:w="0" w:type="dxa"/>
          </w:tblCellMar>
        </w:tblPrEx>
        <w:trPr>
          <w:cantSplit/>
        </w:trPr>
        <w:tc>
          <w:tcPr>
            <w:tcW w:w="11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41082416" w14:textId="77777777" w:rsidR="00AF7F17" w:rsidRDefault="00000000">
            <w:pPr>
              <w:spacing w:after="0" w:line="220" w:lineRule="auto"/>
            </w:pPr>
            <w:r>
              <w:rPr>
                <w:sz w:val="17"/>
                <w:szCs w:val="17"/>
              </w:rPr>
              <w:t>RISK-001 stack unfamiliarity</w:t>
            </w:r>
          </w:p>
        </w:tc>
        <w:tc>
          <w:tcPr>
            <w:tcW w:w="13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705D2FCA" w14:textId="77777777" w:rsidR="00AF7F17" w:rsidRDefault="00000000">
            <w:pPr>
              <w:spacing w:after="0" w:line="220" w:lineRule="auto"/>
            </w:pPr>
            <w:r>
              <w:rPr>
                <w:sz w:val="17"/>
                <w:szCs w:val="17"/>
              </w:rPr>
              <w:t>Learning delays could consume architecture and test time</w:t>
            </w:r>
          </w:p>
        </w:tc>
        <w:tc>
          <w:tcPr>
            <w:tcW w:w="16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41FF4361" w14:textId="77777777" w:rsidR="00AF7F17" w:rsidRDefault="00000000">
            <w:pPr>
              <w:spacing w:after="0" w:line="220" w:lineRule="auto"/>
            </w:pPr>
            <w:r>
              <w:rPr>
                <w:sz w:val="17"/>
                <w:szCs w:val="17"/>
              </w:rPr>
              <w:t xml:space="preserve">Time-box authentication, transaction, React and deployment </w:t>
            </w:r>
            <w:proofErr w:type="spellStart"/>
            <w:r>
              <w:rPr>
                <w:sz w:val="17"/>
                <w:szCs w:val="17"/>
              </w:rPr>
              <w:t>PoCs</w:t>
            </w:r>
            <w:proofErr w:type="spellEnd"/>
            <w:r>
              <w:rPr>
                <w:sz w:val="17"/>
                <w:szCs w:val="17"/>
              </w:rPr>
              <w:t>; record results in ADR-TECH-001</w:t>
            </w:r>
          </w:p>
        </w:tc>
        <w:tc>
          <w:tcPr>
            <w:tcW w:w="9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78C8C8C3" w14:textId="77777777" w:rsidR="00AF7F17" w:rsidRDefault="00000000">
            <w:pPr>
              <w:spacing w:after="0" w:line="220" w:lineRule="auto"/>
            </w:pPr>
            <w:r>
              <w:rPr>
                <w:sz w:val="17"/>
                <w:szCs w:val="17"/>
              </w:rPr>
              <w:t>Whole team / Open</w:t>
            </w:r>
          </w:p>
        </w:tc>
      </w:tr>
      <w:tr w:rsidR="00AF7F17" w14:paraId="74264135" w14:textId="77777777">
        <w:tblPrEx>
          <w:tblCellMar>
            <w:top w:w="0" w:type="dxa"/>
            <w:bottom w:w="0" w:type="dxa"/>
          </w:tblCellMar>
        </w:tblPrEx>
        <w:trPr>
          <w:cantSplit/>
        </w:trPr>
        <w:tc>
          <w:tcPr>
            <w:tcW w:w="11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03A47D4D" w14:textId="77777777" w:rsidR="00AF7F17" w:rsidRDefault="00000000">
            <w:pPr>
              <w:spacing w:after="0" w:line="220" w:lineRule="auto"/>
            </w:pPr>
            <w:r>
              <w:rPr>
                <w:sz w:val="17"/>
                <w:szCs w:val="17"/>
              </w:rPr>
              <w:lastRenderedPageBreak/>
              <w:t>Architecture erosion</w:t>
            </w:r>
          </w:p>
        </w:tc>
        <w:tc>
          <w:tcPr>
            <w:tcW w:w="13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5867A579" w14:textId="77777777" w:rsidR="00AF7F17" w:rsidRDefault="00000000">
            <w:pPr>
              <w:spacing w:after="0" w:line="220" w:lineRule="auto"/>
            </w:pPr>
            <w:r>
              <w:rPr>
                <w:sz w:val="17"/>
                <w:szCs w:val="17"/>
              </w:rPr>
              <w:t>Direct imports and table access could turn modular monolith into an unstructured monolith</w:t>
            </w:r>
          </w:p>
        </w:tc>
        <w:tc>
          <w:tcPr>
            <w:tcW w:w="16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1B43FD22" w14:textId="77777777" w:rsidR="00AF7F17" w:rsidRDefault="00000000">
            <w:pPr>
              <w:spacing w:after="0" w:line="220" w:lineRule="auto"/>
            </w:pPr>
            <w:r>
              <w:rPr>
                <w:sz w:val="17"/>
                <w:szCs w:val="17"/>
              </w:rPr>
              <w:t>Dependency rule, module ownership and review checklist</w:t>
            </w:r>
          </w:p>
        </w:tc>
        <w:tc>
          <w:tcPr>
            <w:tcW w:w="9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1A52C397" w14:textId="77777777" w:rsidR="00AF7F17" w:rsidRDefault="00000000">
            <w:pPr>
              <w:spacing w:after="0" w:line="220" w:lineRule="auto"/>
            </w:pPr>
            <w:r>
              <w:rPr>
                <w:sz w:val="17"/>
                <w:szCs w:val="17"/>
              </w:rPr>
              <w:t>Member 1 / Planned</w:t>
            </w:r>
          </w:p>
        </w:tc>
      </w:tr>
      <w:tr w:rsidR="00AF7F17" w14:paraId="7ED0B98A" w14:textId="77777777">
        <w:tblPrEx>
          <w:tblCellMar>
            <w:top w:w="0" w:type="dxa"/>
            <w:bottom w:w="0" w:type="dxa"/>
          </w:tblCellMar>
        </w:tblPrEx>
        <w:trPr>
          <w:cantSplit/>
        </w:trPr>
        <w:tc>
          <w:tcPr>
            <w:tcW w:w="11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7AA087C9" w14:textId="77777777" w:rsidR="00AF7F17" w:rsidRDefault="00000000">
            <w:pPr>
              <w:spacing w:after="0" w:line="220" w:lineRule="auto"/>
            </w:pPr>
            <w:r>
              <w:rPr>
                <w:sz w:val="17"/>
                <w:szCs w:val="17"/>
              </w:rPr>
              <w:t>Single database/runtime failure</w:t>
            </w:r>
          </w:p>
        </w:tc>
        <w:tc>
          <w:tcPr>
            <w:tcW w:w="13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7B861BD5" w14:textId="77777777" w:rsidR="00AF7F17" w:rsidRDefault="00000000">
            <w:pPr>
              <w:spacing w:after="0" w:line="220" w:lineRule="auto"/>
            </w:pPr>
            <w:r>
              <w:rPr>
                <w:sz w:val="17"/>
                <w:szCs w:val="17"/>
              </w:rPr>
              <w:t>Simple deployment creates concentrated availability risk</w:t>
            </w:r>
          </w:p>
        </w:tc>
        <w:tc>
          <w:tcPr>
            <w:tcW w:w="16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62E6B748" w14:textId="77777777" w:rsidR="00AF7F17" w:rsidRDefault="00000000">
            <w:pPr>
              <w:spacing w:after="0" w:line="220" w:lineRule="auto"/>
            </w:pPr>
            <w:r>
              <w:rPr>
                <w:sz w:val="17"/>
                <w:szCs w:val="17"/>
              </w:rPr>
              <w:t>Health monitoring, rollback, daily backup and timed restore rehearsal</w:t>
            </w:r>
          </w:p>
        </w:tc>
        <w:tc>
          <w:tcPr>
            <w:tcW w:w="9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48123D91" w14:textId="77777777" w:rsidR="00AF7F17" w:rsidRDefault="00000000">
            <w:pPr>
              <w:spacing w:after="0" w:line="220" w:lineRule="auto"/>
            </w:pPr>
            <w:r>
              <w:rPr>
                <w:sz w:val="17"/>
                <w:szCs w:val="17"/>
              </w:rPr>
              <w:t>Deployment owner / Planned</w:t>
            </w:r>
          </w:p>
        </w:tc>
      </w:tr>
      <w:tr w:rsidR="00AF7F17" w14:paraId="69A0CE5E" w14:textId="77777777">
        <w:tblPrEx>
          <w:tblCellMar>
            <w:top w:w="0" w:type="dxa"/>
            <w:bottom w:w="0" w:type="dxa"/>
          </w:tblCellMar>
        </w:tblPrEx>
        <w:trPr>
          <w:cantSplit/>
        </w:trPr>
        <w:tc>
          <w:tcPr>
            <w:tcW w:w="11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286AE97B" w14:textId="77777777" w:rsidR="00AF7F17" w:rsidRDefault="00000000">
            <w:pPr>
              <w:spacing w:after="0" w:line="220" w:lineRule="auto"/>
            </w:pPr>
            <w:r>
              <w:rPr>
                <w:sz w:val="17"/>
                <w:szCs w:val="17"/>
              </w:rPr>
              <w:t>React initial-load performance</w:t>
            </w:r>
          </w:p>
        </w:tc>
        <w:tc>
          <w:tcPr>
            <w:tcW w:w="13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288BE163" w14:textId="77777777" w:rsidR="00AF7F17" w:rsidRDefault="00000000">
            <w:pPr>
              <w:spacing w:after="0" w:line="220" w:lineRule="auto"/>
            </w:pPr>
            <w:r>
              <w:rPr>
                <w:sz w:val="17"/>
                <w:szCs w:val="17"/>
              </w:rPr>
              <w:t>Large client bundle can weaken mobile experience</w:t>
            </w:r>
          </w:p>
        </w:tc>
        <w:tc>
          <w:tcPr>
            <w:tcW w:w="16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1952544E" w14:textId="77777777" w:rsidR="00AF7F17" w:rsidRDefault="00000000">
            <w:pPr>
              <w:spacing w:after="0" w:line="220" w:lineRule="auto"/>
            </w:pPr>
            <w:r>
              <w:rPr>
                <w:sz w:val="17"/>
                <w:szCs w:val="17"/>
              </w:rPr>
              <w:t>Bundle measurement, code splitting, pagination and measured rendering strategy</w:t>
            </w:r>
          </w:p>
        </w:tc>
        <w:tc>
          <w:tcPr>
            <w:tcW w:w="9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0678F6CD" w14:textId="77777777" w:rsidR="00AF7F17" w:rsidRDefault="00000000">
            <w:pPr>
              <w:spacing w:after="0" w:line="220" w:lineRule="auto"/>
            </w:pPr>
            <w:r>
              <w:rPr>
                <w:sz w:val="17"/>
                <w:szCs w:val="17"/>
              </w:rPr>
              <w:t>Frontend owner / Planned</w:t>
            </w:r>
          </w:p>
        </w:tc>
      </w:tr>
      <w:tr w:rsidR="00AF7F17" w14:paraId="6140CA73" w14:textId="77777777">
        <w:tblPrEx>
          <w:tblCellMar>
            <w:top w:w="0" w:type="dxa"/>
            <w:bottom w:w="0" w:type="dxa"/>
          </w:tblCellMar>
        </w:tblPrEx>
        <w:trPr>
          <w:cantSplit/>
        </w:trPr>
        <w:tc>
          <w:tcPr>
            <w:tcW w:w="11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5919D951" w14:textId="77777777" w:rsidR="00AF7F17" w:rsidRDefault="00000000">
            <w:pPr>
              <w:spacing w:after="0" w:line="220" w:lineRule="auto"/>
            </w:pPr>
            <w:r>
              <w:rPr>
                <w:sz w:val="17"/>
                <w:szCs w:val="17"/>
              </w:rPr>
              <w:t>Node.js CPU-bound work</w:t>
            </w:r>
          </w:p>
        </w:tc>
        <w:tc>
          <w:tcPr>
            <w:tcW w:w="13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4FB2EB37" w14:textId="77777777" w:rsidR="00AF7F17" w:rsidRDefault="00000000">
            <w:pPr>
              <w:spacing w:after="0" w:line="220" w:lineRule="auto"/>
            </w:pPr>
            <w:r>
              <w:rPr>
                <w:sz w:val="17"/>
                <w:szCs w:val="17"/>
              </w:rPr>
              <w:t>Heavy synchronous processing can delay unrelated requests</w:t>
            </w:r>
          </w:p>
        </w:tc>
        <w:tc>
          <w:tcPr>
            <w:tcW w:w="16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1DF68150" w14:textId="77777777" w:rsidR="00AF7F17" w:rsidRDefault="00000000">
            <w:pPr>
              <w:spacing w:after="0" w:line="220" w:lineRule="auto"/>
            </w:pPr>
            <w:r>
              <w:rPr>
                <w:sz w:val="17"/>
                <w:szCs w:val="17"/>
              </w:rPr>
              <w:t>Keep handlers non-blocking; profile reporting; move genuinely heavy work to controlled background execution only if measured</w:t>
            </w:r>
          </w:p>
        </w:tc>
        <w:tc>
          <w:tcPr>
            <w:tcW w:w="9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14CB95DC" w14:textId="77777777" w:rsidR="00AF7F17" w:rsidRDefault="00000000">
            <w:pPr>
              <w:spacing w:after="0" w:line="220" w:lineRule="auto"/>
            </w:pPr>
            <w:r>
              <w:rPr>
                <w:sz w:val="17"/>
                <w:szCs w:val="17"/>
              </w:rPr>
              <w:t>Backend owner / Planned</w:t>
            </w:r>
          </w:p>
        </w:tc>
      </w:tr>
      <w:tr w:rsidR="00AF7F17" w14:paraId="75654BDD" w14:textId="77777777">
        <w:tblPrEx>
          <w:tblCellMar>
            <w:top w:w="0" w:type="dxa"/>
            <w:bottom w:w="0" w:type="dxa"/>
          </w:tblCellMar>
        </w:tblPrEx>
        <w:trPr>
          <w:cantSplit/>
        </w:trPr>
        <w:tc>
          <w:tcPr>
            <w:tcW w:w="11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0DA37A18" w14:textId="77777777" w:rsidR="00AF7F17" w:rsidRDefault="00000000">
            <w:pPr>
              <w:spacing w:after="0" w:line="220" w:lineRule="auto"/>
            </w:pPr>
            <w:r>
              <w:rPr>
                <w:sz w:val="17"/>
                <w:szCs w:val="17"/>
              </w:rPr>
              <w:t>Audit data growth</w:t>
            </w:r>
          </w:p>
        </w:tc>
        <w:tc>
          <w:tcPr>
            <w:tcW w:w="13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538F95CD" w14:textId="77777777" w:rsidR="00AF7F17" w:rsidRDefault="00000000">
            <w:pPr>
              <w:spacing w:after="0" w:line="220" w:lineRule="auto"/>
            </w:pPr>
            <w:r>
              <w:rPr>
                <w:sz w:val="17"/>
                <w:szCs w:val="17"/>
              </w:rPr>
              <w:t>Complete event history increases storage and query cost</w:t>
            </w:r>
          </w:p>
        </w:tc>
        <w:tc>
          <w:tcPr>
            <w:tcW w:w="16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4672C452" w14:textId="77777777" w:rsidR="00AF7F17" w:rsidRDefault="00000000">
            <w:pPr>
              <w:spacing w:after="0" w:line="220" w:lineRule="auto"/>
            </w:pPr>
            <w:r>
              <w:rPr>
                <w:sz w:val="17"/>
                <w:szCs w:val="17"/>
              </w:rPr>
              <w:t>Indexes, pagination, retention decision and query plan review</w:t>
            </w:r>
          </w:p>
        </w:tc>
        <w:tc>
          <w:tcPr>
            <w:tcW w:w="9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3BE25861" w14:textId="77777777" w:rsidR="00AF7F17" w:rsidRDefault="00000000">
            <w:pPr>
              <w:spacing w:after="0" w:line="220" w:lineRule="auto"/>
            </w:pPr>
            <w:r>
              <w:rPr>
                <w:sz w:val="17"/>
                <w:szCs w:val="17"/>
              </w:rPr>
              <w:t>Data owner / Planned</w:t>
            </w:r>
          </w:p>
        </w:tc>
      </w:tr>
      <w:tr w:rsidR="00AF7F17" w14:paraId="10E138B8" w14:textId="77777777">
        <w:tblPrEx>
          <w:tblCellMar>
            <w:top w:w="0" w:type="dxa"/>
            <w:bottom w:w="0" w:type="dxa"/>
          </w:tblCellMar>
        </w:tblPrEx>
        <w:trPr>
          <w:cantSplit/>
        </w:trPr>
        <w:tc>
          <w:tcPr>
            <w:tcW w:w="11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4A1C5A31" w14:textId="77777777" w:rsidR="00AF7F17" w:rsidRDefault="00000000">
            <w:pPr>
              <w:spacing w:after="0" w:line="220" w:lineRule="auto"/>
            </w:pPr>
            <w:r>
              <w:rPr>
                <w:sz w:val="17"/>
                <w:szCs w:val="17"/>
              </w:rPr>
              <w:t>Deferred microservices</w:t>
            </w:r>
          </w:p>
        </w:tc>
        <w:tc>
          <w:tcPr>
            <w:tcW w:w="13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3CBCDBD9" w14:textId="77777777" w:rsidR="00AF7F17" w:rsidRDefault="00000000">
            <w:pPr>
              <w:spacing w:after="0" w:line="220" w:lineRule="auto"/>
            </w:pPr>
            <w:r>
              <w:rPr>
                <w:sz w:val="17"/>
                <w:szCs w:val="17"/>
              </w:rPr>
              <w:t>Coarse deployment prevents independent scaling</w:t>
            </w:r>
          </w:p>
        </w:tc>
        <w:tc>
          <w:tcPr>
            <w:tcW w:w="16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344AE9B3" w14:textId="77777777" w:rsidR="00AF7F17" w:rsidRDefault="00000000">
            <w:pPr>
              <w:spacing w:after="0" w:line="220" w:lineRule="auto"/>
            </w:pPr>
            <w:r>
              <w:rPr>
                <w:sz w:val="17"/>
                <w:szCs w:val="17"/>
              </w:rPr>
              <w:t>Maintain module seams; revisit ADR only on measured trigger</w:t>
            </w:r>
          </w:p>
        </w:tc>
        <w:tc>
          <w:tcPr>
            <w:tcW w:w="9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38F45803" w14:textId="77777777" w:rsidR="00AF7F17" w:rsidRDefault="00000000">
            <w:pPr>
              <w:spacing w:after="0" w:line="220" w:lineRule="auto"/>
            </w:pPr>
            <w:r>
              <w:rPr>
                <w:sz w:val="17"/>
                <w:szCs w:val="17"/>
              </w:rPr>
              <w:t>Architect / Accepted trade-off</w:t>
            </w:r>
          </w:p>
        </w:tc>
      </w:tr>
    </w:tbl>
    <w:p w14:paraId="2B49A537" w14:textId="77777777" w:rsidR="00AF7F17" w:rsidRDefault="00000000">
      <w:pPr>
        <w:jc w:val="both"/>
      </w:pPr>
      <w:r>
        <w:t>Software architecture strongly influences how quickly and correctly a system can be understood, changed, tested and maintained over its life. Architecture evaluation should therefore use concrete change scenarios and measurable evidence rather than rely only on initial implementation speed (Koziolek, 2011).</w:t>
      </w:r>
    </w:p>
    <w:p w14:paraId="4353F590" w14:textId="77777777" w:rsidR="00AF7F17" w:rsidRDefault="00000000">
      <w:pPr>
        <w:jc w:val="both"/>
      </w:pPr>
      <w:r>
        <w:t xml:space="preserve">Distributed web-service auditing must correlate activity across heterogeneous components and workflows. Keeping </w:t>
      </w:r>
      <w:proofErr w:type="spellStart"/>
      <w:r>
        <w:t>CivicConnect</w:t>
      </w:r>
      <w:proofErr w:type="spellEnd"/>
      <w:r>
        <w:t xml:space="preserve"> as one deployable application reduces that correlation problem for M2, although audit records still require complete actor, action, record and time context (Bates et al., 2017).</w:t>
      </w:r>
    </w:p>
    <w:p w14:paraId="07007334" w14:textId="77777777" w:rsidR="00AF7F17" w:rsidRDefault="00000000">
      <w:pPr>
        <w:pStyle w:val="Heading2"/>
      </w:pPr>
      <w:r>
        <w:t>9.1 Deliberate deferments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4"/>
        <w:gridCol w:w="4914"/>
        <w:gridCol w:w="2928"/>
      </w:tblGrid>
      <w:tr w:rsidR="00AF7F17" w14:paraId="0AB52C78" w14:textId="77777777">
        <w:tblPrEx>
          <w:tblCellMar>
            <w:top w:w="0" w:type="dxa"/>
            <w:bottom w:w="0" w:type="dxa"/>
          </w:tblCellMar>
        </w:tblPrEx>
        <w:trPr>
          <w:cantSplit/>
          <w:tblHeader/>
        </w:trPr>
        <w:tc>
          <w:tcPr>
            <w:tcW w:w="1250" w:type="pct"/>
            <w:tcBorders>
              <w:top w:val="single" w:sz="4" w:space="0" w:color="C7D0D8"/>
              <w:left w:val="single" w:sz="4" w:space="0" w:color="C7D0D8"/>
              <w:bottom w:val="single" w:sz="4" w:space="0" w:color="C7D0D8"/>
              <w:right w:val="single" w:sz="4" w:space="0" w:color="C7D0D8"/>
            </w:tcBorders>
            <w:shd w:val="clear" w:color="auto" w:fill="17324D"/>
            <w:tcMar>
              <w:top w:w="90" w:type="dxa"/>
              <w:left w:w="95" w:type="dxa"/>
              <w:bottom w:w="90" w:type="dxa"/>
              <w:right w:w="95" w:type="dxa"/>
            </w:tcMar>
            <w:vAlign w:val="center"/>
          </w:tcPr>
          <w:p w14:paraId="375035DB" w14:textId="77777777" w:rsidR="00AF7F17" w:rsidRDefault="00000000">
            <w:pPr>
              <w:spacing w:after="0"/>
            </w:pPr>
            <w:r>
              <w:rPr>
                <w:b/>
                <w:bCs/>
                <w:color w:val="FFFFFF"/>
                <w:sz w:val="18"/>
                <w:szCs w:val="18"/>
              </w:rPr>
              <w:t>Deferred item</w:t>
            </w:r>
          </w:p>
        </w:tc>
        <w:tc>
          <w:tcPr>
            <w:tcW w:w="2350" w:type="pct"/>
            <w:tcBorders>
              <w:top w:val="single" w:sz="4" w:space="0" w:color="C7D0D8"/>
              <w:left w:val="single" w:sz="4" w:space="0" w:color="C7D0D8"/>
              <w:bottom w:val="single" w:sz="4" w:space="0" w:color="C7D0D8"/>
              <w:right w:val="single" w:sz="4" w:space="0" w:color="C7D0D8"/>
            </w:tcBorders>
            <w:shd w:val="clear" w:color="auto" w:fill="17324D"/>
            <w:tcMar>
              <w:top w:w="90" w:type="dxa"/>
              <w:left w:w="95" w:type="dxa"/>
              <w:bottom w:w="90" w:type="dxa"/>
              <w:right w:w="95" w:type="dxa"/>
            </w:tcMar>
            <w:vAlign w:val="center"/>
          </w:tcPr>
          <w:p w14:paraId="1B2EF398" w14:textId="77777777" w:rsidR="00AF7F17" w:rsidRDefault="00000000">
            <w:pPr>
              <w:spacing w:after="0"/>
            </w:pPr>
            <w:r>
              <w:rPr>
                <w:b/>
                <w:bCs/>
                <w:color w:val="FFFFFF"/>
                <w:sz w:val="18"/>
                <w:szCs w:val="18"/>
              </w:rPr>
              <w:t>Why it is deferred</w:t>
            </w:r>
          </w:p>
        </w:tc>
        <w:tc>
          <w:tcPr>
            <w:tcW w:w="1400" w:type="pct"/>
            <w:tcBorders>
              <w:top w:val="single" w:sz="4" w:space="0" w:color="C7D0D8"/>
              <w:left w:val="single" w:sz="4" w:space="0" w:color="C7D0D8"/>
              <w:bottom w:val="single" w:sz="4" w:space="0" w:color="C7D0D8"/>
              <w:right w:val="single" w:sz="4" w:space="0" w:color="C7D0D8"/>
            </w:tcBorders>
            <w:shd w:val="clear" w:color="auto" w:fill="17324D"/>
            <w:tcMar>
              <w:top w:w="90" w:type="dxa"/>
              <w:left w:w="95" w:type="dxa"/>
              <w:bottom w:w="90" w:type="dxa"/>
              <w:right w:w="95" w:type="dxa"/>
            </w:tcMar>
            <w:vAlign w:val="center"/>
          </w:tcPr>
          <w:p w14:paraId="7343CA4F" w14:textId="77777777" w:rsidR="00AF7F17" w:rsidRDefault="00000000">
            <w:pPr>
              <w:spacing w:after="0"/>
            </w:pPr>
            <w:r>
              <w:rPr>
                <w:b/>
                <w:bCs/>
                <w:color w:val="FFFFFF"/>
                <w:sz w:val="18"/>
                <w:szCs w:val="18"/>
              </w:rPr>
              <w:t>Trigger to reconsider</w:t>
            </w:r>
          </w:p>
        </w:tc>
      </w:tr>
      <w:tr w:rsidR="00AF7F17" w14:paraId="378D5D50" w14:textId="77777777">
        <w:tblPrEx>
          <w:tblCellMar>
            <w:top w:w="0" w:type="dxa"/>
            <w:bottom w:w="0" w:type="dxa"/>
          </w:tblCellMar>
        </w:tblPrEx>
        <w:trPr>
          <w:cantSplit/>
        </w:trPr>
        <w:tc>
          <w:tcPr>
            <w:tcW w:w="12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63779D22" w14:textId="77777777" w:rsidR="00AF7F17" w:rsidRDefault="00000000">
            <w:pPr>
              <w:spacing w:after="0" w:line="220" w:lineRule="auto"/>
            </w:pPr>
            <w:r>
              <w:rPr>
                <w:sz w:val="17"/>
                <w:szCs w:val="17"/>
              </w:rPr>
              <w:t>Microservices</w:t>
            </w:r>
          </w:p>
        </w:tc>
        <w:tc>
          <w:tcPr>
            <w:tcW w:w="23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7ED3FB43" w14:textId="77777777" w:rsidR="00AF7F17" w:rsidRDefault="00000000">
            <w:pPr>
              <w:spacing w:after="0" w:line="220" w:lineRule="auto"/>
            </w:pPr>
            <w:r>
              <w:rPr>
                <w:sz w:val="17"/>
                <w:szCs w:val="17"/>
              </w:rPr>
              <w:t>No demonstrated independent scaling/deployment need; overhead conflicts with team, schedule and cost constraints</w:t>
            </w:r>
          </w:p>
        </w:tc>
        <w:tc>
          <w:tcPr>
            <w:tcW w:w="14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255B3858" w14:textId="77777777" w:rsidR="00AF7F17" w:rsidRDefault="00000000">
            <w:pPr>
              <w:spacing w:after="0" w:line="220" w:lineRule="auto"/>
            </w:pPr>
            <w:r>
              <w:rPr>
                <w:sz w:val="17"/>
                <w:szCs w:val="17"/>
              </w:rPr>
              <w:t>Measured bottleneck or release/ownership independence that cannot be solved proportionately</w:t>
            </w:r>
          </w:p>
        </w:tc>
      </w:tr>
      <w:tr w:rsidR="00AF7F17" w14:paraId="58C8F78E" w14:textId="77777777">
        <w:tblPrEx>
          <w:tblCellMar>
            <w:top w:w="0" w:type="dxa"/>
            <w:bottom w:w="0" w:type="dxa"/>
          </w:tblCellMar>
        </w:tblPrEx>
        <w:trPr>
          <w:cantSplit/>
        </w:trPr>
        <w:tc>
          <w:tcPr>
            <w:tcW w:w="12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45419BA1" w14:textId="77777777" w:rsidR="00AF7F17" w:rsidRDefault="00000000">
            <w:pPr>
              <w:spacing w:after="0" w:line="220" w:lineRule="auto"/>
            </w:pPr>
            <w:r>
              <w:rPr>
                <w:sz w:val="17"/>
                <w:szCs w:val="17"/>
              </w:rPr>
              <w:t>External message broker</w:t>
            </w:r>
          </w:p>
        </w:tc>
        <w:tc>
          <w:tcPr>
            <w:tcW w:w="23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00FC59F7" w14:textId="77777777" w:rsidR="00AF7F17" w:rsidRDefault="00000000">
            <w:pPr>
              <w:spacing w:after="0" w:line="220" w:lineRule="auto"/>
            </w:pPr>
            <w:r>
              <w:rPr>
                <w:sz w:val="17"/>
                <w:szCs w:val="17"/>
              </w:rPr>
              <w:t>In-process events meet current use cases and keep transaction/error handling visible</w:t>
            </w:r>
          </w:p>
        </w:tc>
        <w:tc>
          <w:tcPr>
            <w:tcW w:w="14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6C14107A" w14:textId="77777777" w:rsidR="00AF7F17" w:rsidRDefault="00000000">
            <w:pPr>
              <w:spacing w:after="0" w:line="220" w:lineRule="auto"/>
            </w:pPr>
            <w:r>
              <w:rPr>
                <w:sz w:val="17"/>
                <w:szCs w:val="17"/>
              </w:rPr>
              <w:t>Reliable cross-system asynchronous integration becomes in-scope</w:t>
            </w:r>
          </w:p>
        </w:tc>
      </w:tr>
      <w:tr w:rsidR="00AF7F17" w14:paraId="03E1A32C" w14:textId="77777777">
        <w:tblPrEx>
          <w:tblCellMar>
            <w:top w:w="0" w:type="dxa"/>
            <w:bottom w:w="0" w:type="dxa"/>
          </w:tblCellMar>
        </w:tblPrEx>
        <w:trPr>
          <w:cantSplit/>
        </w:trPr>
        <w:tc>
          <w:tcPr>
            <w:tcW w:w="12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30CDE2DF" w14:textId="77777777" w:rsidR="00AF7F17" w:rsidRDefault="00000000">
            <w:pPr>
              <w:spacing w:after="0" w:line="220" w:lineRule="auto"/>
            </w:pPr>
            <w:r>
              <w:rPr>
                <w:sz w:val="17"/>
                <w:szCs w:val="17"/>
              </w:rPr>
              <w:t>Separate reporting database</w:t>
            </w:r>
          </w:p>
        </w:tc>
        <w:tc>
          <w:tcPr>
            <w:tcW w:w="23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65854825" w14:textId="77777777" w:rsidR="00AF7F17" w:rsidRDefault="00000000">
            <w:pPr>
              <w:spacing w:after="0" w:line="220" w:lineRule="auto"/>
            </w:pPr>
            <w:r>
              <w:rPr>
                <w:sz w:val="17"/>
                <w:szCs w:val="17"/>
              </w:rPr>
              <w:t>10,000-record target does not justify replication and consistency overhead</w:t>
            </w:r>
          </w:p>
        </w:tc>
        <w:tc>
          <w:tcPr>
            <w:tcW w:w="14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452DAA0E" w14:textId="77777777" w:rsidR="00AF7F17" w:rsidRDefault="00000000">
            <w:pPr>
              <w:spacing w:after="0" w:line="220" w:lineRule="auto"/>
            </w:pPr>
            <w:r>
              <w:rPr>
                <w:sz w:val="17"/>
                <w:szCs w:val="17"/>
              </w:rPr>
              <w:t>Production query load harms transactional service despite indexing/optimisation</w:t>
            </w:r>
          </w:p>
        </w:tc>
      </w:tr>
      <w:tr w:rsidR="00AF7F17" w14:paraId="449D13BA" w14:textId="77777777">
        <w:tblPrEx>
          <w:tblCellMar>
            <w:top w:w="0" w:type="dxa"/>
            <w:bottom w:w="0" w:type="dxa"/>
          </w:tblCellMar>
        </w:tblPrEx>
        <w:trPr>
          <w:cantSplit/>
        </w:trPr>
        <w:tc>
          <w:tcPr>
            <w:tcW w:w="12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023D786C" w14:textId="77777777" w:rsidR="00AF7F17" w:rsidRDefault="00000000">
            <w:pPr>
              <w:spacing w:after="0" w:line="220" w:lineRule="auto"/>
            </w:pPr>
            <w:r>
              <w:rPr>
                <w:sz w:val="17"/>
                <w:szCs w:val="17"/>
              </w:rPr>
              <w:t>Server-side React rendering/meta-framework</w:t>
            </w:r>
          </w:p>
        </w:tc>
        <w:tc>
          <w:tcPr>
            <w:tcW w:w="235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0B418BDF" w14:textId="77777777" w:rsidR="00AF7F17" w:rsidRDefault="00000000">
            <w:pPr>
              <w:spacing w:after="0" w:line="220" w:lineRule="auto"/>
            </w:pPr>
            <w:proofErr w:type="spellStart"/>
            <w:r>
              <w:rPr>
                <w:sz w:val="17"/>
                <w:szCs w:val="17"/>
              </w:rPr>
              <w:t>CivicConnect</w:t>
            </w:r>
            <w:proofErr w:type="spellEnd"/>
            <w:r>
              <w:rPr>
                <w:sz w:val="17"/>
                <w:szCs w:val="17"/>
              </w:rPr>
              <w:t xml:space="preserve"> is an authenticated operational app, not a public content/SEO product; extra server/build complexity is not yet justified</w:t>
            </w:r>
          </w:p>
        </w:tc>
        <w:tc>
          <w:tcPr>
            <w:tcW w:w="1400" w:type="pct"/>
            <w:tcBorders>
              <w:top w:val="single" w:sz="4" w:space="0" w:color="C7D0D8"/>
              <w:left w:val="single" w:sz="4" w:space="0" w:color="C7D0D8"/>
              <w:bottom w:val="single" w:sz="4" w:space="0" w:color="C7D0D8"/>
              <w:right w:val="single" w:sz="4" w:space="0" w:color="C7D0D8"/>
            </w:tcBorders>
            <w:shd w:val="clear" w:color="auto" w:fill="F3F5F7"/>
            <w:tcMar>
              <w:top w:w="90" w:type="dxa"/>
              <w:left w:w="95" w:type="dxa"/>
              <w:bottom w:w="90" w:type="dxa"/>
              <w:right w:w="95" w:type="dxa"/>
            </w:tcMar>
            <w:vAlign w:val="center"/>
          </w:tcPr>
          <w:p w14:paraId="6C9FAC2C" w14:textId="77777777" w:rsidR="00AF7F17" w:rsidRDefault="00000000">
            <w:pPr>
              <w:spacing w:after="0" w:line="220" w:lineRule="auto"/>
            </w:pPr>
            <w:r>
              <w:rPr>
                <w:sz w:val="17"/>
                <w:szCs w:val="17"/>
              </w:rPr>
              <w:t>Measured initial-render failure against the agreed performance target</w:t>
            </w:r>
          </w:p>
        </w:tc>
      </w:tr>
      <w:tr w:rsidR="00AF7F17" w14:paraId="7F27A4E0" w14:textId="77777777">
        <w:tblPrEx>
          <w:tblCellMar>
            <w:top w:w="0" w:type="dxa"/>
            <w:bottom w:w="0" w:type="dxa"/>
          </w:tblCellMar>
        </w:tblPrEx>
        <w:trPr>
          <w:cantSplit/>
        </w:trPr>
        <w:tc>
          <w:tcPr>
            <w:tcW w:w="12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590AABF2" w14:textId="77777777" w:rsidR="00AF7F17" w:rsidRDefault="00000000">
            <w:pPr>
              <w:spacing w:after="0" w:line="220" w:lineRule="auto"/>
            </w:pPr>
            <w:r>
              <w:rPr>
                <w:sz w:val="17"/>
                <w:szCs w:val="17"/>
              </w:rPr>
              <w:t>External notifications</w:t>
            </w:r>
          </w:p>
        </w:tc>
        <w:tc>
          <w:tcPr>
            <w:tcW w:w="235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097359E7" w14:textId="77777777" w:rsidR="00AF7F17" w:rsidRDefault="00000000">
            <w:pPr>
              <w:spacing w:after="0" w:line="220" w:lineRule="auto"/>
            </w:pPr>
            <w:r>
              <w:rPr>
                <w:sz w:val="17"/>
                <w:szCs w:val="17"/>
              </w:rPr>
              <w:t>Explicitly deferred in M1 scope baseline</w:t>
            </w:r>
          </w:p>
        </w:tc>
        <w:tc>
          <w:tcPr>
            <w:tcW w:w="1400" w:type="pct"/>
            <w:tcBorders>
              <w:top w:val="single" w:sz="4" w:space="0" w:color="C7D0D8"/>
              <w:left w:val="single" w:sz="4" w:space="0" w:color="C7D0D8"/>
              <w:bottom w:val="single" w:sz="4" w:space="0" w:color="C7D0D8"/>
              <w:right w:val="single" w:sz="4" w:space="0" w:color="C7D0D8"/>
            </w:tcBorders>
            <w:shd w:val="clear" w:color="auto" w:fill="FFFFFF"/>
            <w:tcMar>
              <w:top w:w="90" w:type="dxa"/>
              <w:left w:w="95" w:type="dxa"/>
              <w:bottom w:w="90" w:type="dxa"/>
              <w:right w:w="95" w:type="dxa"/>
            </w:tcMar>
            <w:vAlign w:val="center"/>
          </w:tcPr>
          <w:p w14:paraId="294CB77B" w14:textId="77777777" w:rsidR="00AF7F17" w:rsidRDefault="00000000">
            <w:pPr>
              <w:spacing w:after="0" w:line="220" w:lineRule="auto"/>
            </w:pPr>
            <w:r>
              <w:rPr>
                <w:sz w:val="17"/>
                <w:szCs w:val="17"/>
              </w:rPr>
              <w:t>Approved scope change with stakeholder value, privacy and delivery evidence</w:t>
            </w:r>
          </w:p>
        </w:tc>
      </w:tr>
    </w:tbl>
    <w:p w14:paraId="6AC0F897" w14:textId="5EA4A199" w:rsidR="00AF7F17" w:rsidRDefault="0073635F">
      <w:r>
        <w:br w:type="textWrapping" w:clear="all"/>
      </w:r>
      <w:r w:rsidR="00000000">
        <w:br w:type="page"/>
      </w:r>
    </w:p>
    <w:p w14:paraId="080DA3A2" w14:textId="77777777" w:rsidR="00AF7F17" w:rsidRDefault="00000000">
      <w:pPr>
        <w:pStyle w:val="Heading1"/>
      </w:pPr>
      <w:r>
        <w:lastRenderedPageBreak/>
        <w:t>References</w:t>
      </w:r>
    </w:p>
    <w:p w14:paraId="0E4B2B1D" w14:textId="77777777" w:rsidR="00AF7F17" w:rsidRDefault="00000000">
      <w:pPr>
        <w:spacing w:after="100"/>
        <w:ind w:left="360" w:hanging="360"/>
      </w:pPr>
      <w:r>
        <w:t>Bacon, J., Moody, K. and Yao, W. (2002) “A Model of OASIS Role-Based Access Control and Its Support for Active Security”, ACM Transactions on Information and System Security, 5(4), pp. 492–540.</w:t>
      </w:r>
    </w:p>
    <w:p w14:paraId="74C19FEB" w14:textId="77777777" w:rsidR="00AF7F17" w:rsidRDefault="00000000">
      <w:pPr>
        <w:spacing w:after="100"/>
        <w:ind w:left="360" w:hanging="360"/>
      </w:pPr>
      <w:r>
        <w:t>Bates, A., Butler, K., Cable, P., Hassan, W.U., Dobra, A., Reaves, B., Moyer, T. and Schear, N. (2017) “Transparent Web Service Auditing via Network Provenance Functions”, Proceedings of WWW 2017, Perth, Australia.</w:t>
      </w:r>
    </w:p>
    <w:p w14:paraId="4320F6E7" w14:textId="77777777" w:rsidR="00AF7F17" w:rsidRDefault="00000000">
      <w:pPr>
        <w:spacing w:after="100"/>
        <w:ind w:left="360" w:hanging="360"/>
      </w:pPr>
      <w:r>
        <w:t xml:space="preserve">Blinowski, G., </w:t>
      </w:r>
      <w:proofErr w:type="spellStart"/>
      <w:r>
        <w:t>Ojdowska</w:t>
      </w:r>
      <w:proofErr w:type="spellEnd"/>
      <w:r>
        <w:t xml:space="preserve">, A. and </w:t>
      </w:r>
      <w:proofErr w:type="spellStart"/>
      <w:r>
        <w:t>Przybyłek</w:t>
      </w:r>
      <w:proofErr w:type="spellEnd"/>
      <w:r>
        <w:t>, A. (2022) “Monolithic vs. Microservice Architecture: A Performance and Scalability Evaluation”, IEEE Access, 10. doi:10.1109/ACCESS.2022.3152803.</w:t>
      </w:r>
    </w:p>
    <w:p w14:paraId="62ACD18F" w14:textId="77777777" w:rsidR="00AF7F17" w:rsidRDefault="00000000">
      <w:pPr>
        <w:spacing w:after="100"/>
        <w:ind w:left="360" w:hanging="360"/>
      </w:pPr>
      <w:proofErr w:type="spellStart"/>
      <w:r>
        <w:t>CivicConnect</w:t>
      </w:r>
      <w:proofErr w:type="spellEnd"/>
      <w:r>
        <w:t xml:space="preserve"> Team (2026a) SEN381 Project Milestone 1: </w:t>
      </w:r>
      <w:proofErr w:type="spellStart"/>
      <w:r>
        <w:t>CivicConnect</w:t>
      </w:r>
      <w:proofErr w:type="spellEnd"/>
      <w:r>
        <w:t xml:space="preserve"> Project Engineering Document v1.0. Supplied project document.</w:t>
      </w:r>
    </w:p>
    <w:p w14:paraId="1AF04C65" w14:textId="77777777" w:rsidR="00AF7F17" w:rsidRDefault="00000000">
      <w:pPr>
        <w:spacing w:after="100"/>
        <w:ind w:left="360" w:hanging="360"/>
      </w:pPr>
      <w:proofErr w:type="spellStart"/>
      <w:r>
        <w:t>CivicConnect</w:t>
      </w:r>
      <w:proofErr w:type="spellEnd"/>
      <w:r>
        <w:t xml:space="preserve"> Team (2026b) SEN Assignment 2: Engineering Decisions. Supplied project document.</w:t>
      </w:r>
    </w:p>
    <w:p w14:paraId="0FAF7252" w14:textId="77777777" w:rsidR="00AF7F17" w:rsidRDefault="00000000">
      <w:pPr>
        <w:spacing w:after="100"/>
        <w:ind w:left="360" w:hanging="360"/>
      </w:pPr>
      <w:r>
        <w:t xml:space="preserve">Douglas, K. and Douglas, S. (2005) PostgreSQL, 2nd </w:t>
      </w:r>
      <w:proofErr w:type="spellStart"/>
      <w:r>
        <w:t>edn</w:t>
      </w:r>
      <w:proofErr w:type="spellEnd"/>
      <w:r>
        <w:t>. Sams.</w:t>
      </w:r>
    </w:p>
    <w:p w14:paraId="58C16D08" w14:textId="77777777" w:rsidR="00AF7F17" w:rsidRDefault="00000000">
      <w:pPr>
        <w:spacing w:after="100"/>
        <w:ind w:left="360" w:hanging="360"/>
      </w:pPr>
      <w:r>
        <w:t>Koziolek, H. (2011) “Sustainability Evaluation of Software Architectures: A Systematic Review”, QoSA+ISARCS 2011, Boulder, Colorado.</w:t>
      </w:r>
    </w:p>
    <w:p w14:paraId="0F80C36C" w14:textId="77777777" w:rsidR="00AF7F17" w:rsidRDefault="00000000">
      <w:pPr>
        <w:spacing w:after="100"/>
        <w:ind w:left="360" w:hanging="360"/>
      </w:pPr>
      <w:r>
        <w:t>Lee, J. et al. (2025) “Software Security Mapping Framework: Operationalization of Security Requirements”, arXiv:2506.11051v1.</w:t>
      </w:r>
    </w:p>
    <w:p w14:paraId="59D5AED8" w14:textId="77777777" w:rsidR="00AF7F17" w:rsidRDefault="00000000">
      <w:pPr>
        <w:spacing w:after="100"/>
        <w:ind w:left="360" w:hanging="360"/>
      </w:pPr>
      <w:r>
        <w:t>Lonka, T. (2023) Improving the Initial Rendering Performance of React Applications Through Contemporary Rendering Approaches. Master’s thesis. Aalto University.</w:t>
      </w:r>
    </w:p>
    <w:p w14:paraId="75A17F8A" w14:textId="77777777" w:rsidR="00AF7F17" w:rsidRDefault="00000000">
      <w:pPr>
        <w:spacing w:after="100"/>
        <w:ind w:left="360" w:hanging="360"/>
      </w:pPr>
      <w:proofErr w:type="spellStart"/>
      <w:r>
        <w:t>Odeniran</w:t>
      </w:r>
      <w:proofErr w:type="spellEnd"/>
      <w:r>
        <w:t>, Q., Wimmer, H. and Rebman, C.M. Jr. (2023) “Node.js or PHP? Determining the Better Website Server Backend Scripting Language”, Issues in Information Systems, 24(1), pp. 328–341. doi:10.48009/1_iis_2023_128.</w:t>
      </w:r>
    </w:p>
    <w:p w14:paraId="4FA6C0A0" w14:textId="77777777" w:rsidR="00AF7F17" w:rsidRDefault="00000000">
      <w:pPr>
        <w:spacing w:after="100"/>
        <w:ind w:left="360" w:hanging="360"/>
      </w:pPr>
      <w:r>
        <w:t>Offutt, J. (2002) “Quality Attributes of Web Software Applications”, IEEE Software, 19(2), pp. 25–32.</w:t>
      </w:r>
    </w:p>
    <w:p w14:paraId="4B389EC1" w14:textId="77777777" w:rsidR="00AF7F17" w:rsidRDefault="00000000">
      <w:pPr>
        <w:spacing w:after="100"/>
        <w:ind w:left="360" w:hanging="360"/>
      </w:pPr>
      <w:proofErr w:type="spellStart"/>
      <w:r>
        <w:t>Sahatqija</w:t>
      </w:r>
      <w:proofErr w:type="spellEnd"/>
      <w:r>
        <w:t xml:space="preserve">, K., Ajdari, J., </w:t>
      </w:r>
      <w:proofErr w:type="spellStart"/>
      <w:r>
        <w:t>Zenuni</w:t>
      </w:r>
      <w:proofErr w:type="spellEnd"/>
      <w:r>
        <w:t>, X., Raufi, B. and Ismaili, F. (2018) “Comparison between Relational and NoSQL Databases”, MIPRO 2018/DS-DC.</w:t>
      </w:r>
    </w:p>
    <w:p w14:paraId="562F29C7" w14:textId="77777777" w:rsidR="00AF7F17" w:rsidRDefault="00000000">
      <w:pPr>
        <w:spacing w:after="100"/>
        <w:ind w:left="360" w:hanging="360"/>
      </w:pPr>
      <w:r>
        <w:t xml:space="preserve">SEN381 Milestone 2 Brief (2026) </w:t>
      </w:r>
      <w:proofErr w:type="spellStart"/>
      <w:r>
        <w:t>CivicConnect</w:t>
      </w:r>
      <w:proofErr w:type="spellEnd"/>
      <w:r>
        <w:t xml:space="preserve"> Project Milestone 2. Supplied assessment brief.</w:t>
      </w:r>
    </w:p>
    <w:p w14:paraId="6A62A510" w14:textId="77777777" w:rsidR="00AF7F17" w:rsidRDefault="00000000">
      <w:pPr>
        <w:spacing w:after="100"/>
        <w:ind w:left="360" w:hanging="360"/>
      </w:pPr>
      <w:r>
        <w:t>Sharma, A., Kumar, M. and Agarwal, S. (2015) “A Complete Survey on Software Architectural Styles and Patterns”, Procedia Computer Science, 70, pp. 16–28.</w:t>
      </w:r>
    </w:p>
    <w:p w14:paraId="6563349F" w14:textId="77777777" w:rsidR="00AF7F17" w:rsidRDefault="00000000">
      <w:pPr>
        <w:spacing w:after="100"/>
        <w:ind w:left="360" w:hanging="360"/>
      </w:pPr>
      <w:r>
        <w:t xml:space="preserve">Skiada, P., Ampatzoglou, A., </w:t>
      </w:r>
      <w:proofErr w:type="spellStart"/>
      <w:r>
        <w:t>Arvanitou</w:t>
      </w:r>
      <w:proofErr w:type="spellEnd"/>
      <w:r>
        <w:t xml:space="preserve">, E.-M., Chatzigeorgiou, A. and </w:t>
      </w:r>
      <w:proofErr w:type="spellStart"/>
      <w:r>
        <w:t>Stamelos</w:t>
      </w:r>
      <w:proofErr w:type="spellEnd"/>
      <w:r>
        <w:t xml:space="preserve">, I. (2018) “Exploring the Relationship between Software Modularity and Technical Debt”, 44th </w:t>
      </w:r>
      <w:proofErr w:type="spellStart"/>
      <w:r>
        <w:t>Euromicro</w:t>
      </w:r>
      <w:proofErr w:type="spellEnd"/>
      <w:r>
        <w:t xml:space="preserve"> Conference on Software Engineering and Advanced Applications.</w:t>
      </w:r>
    </w:p>
    <w:p w14:paraId="6B91419B" w14:textId="77777777" w:rsidR="00D6631C" w:rsidRDefault="00D6631C"/>
    <w:sectPr w:rsidR="00D6631C">
      <w:headerReference w:type="default" r:id="rId11"/>
      <w:footerReference w:type="default" r:id="rId12"/>
      <w:type w:val="continuous"/>
      <w:pgSz w:w="11906" w:h="16838"/>
      <w:pgMar w:top="850" w:right="720" w:bottom="85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3F4CD" w14:textId="77777777" w:rsidR="00D6631C" w:rsidRDefault="00D6631C">
      <w:pPr>
        <w:spacing w:after="0" w:line="240" w:lineRule="auto"/>
      </w:pPr>
      <w:r>
        <w:separator/>
      </w:r>
    </w:p>
  </w:endnote>
  <w:endnote w:type="continuationSeparator" w:id="0">
    <w:p w14:paraId="791F4DE6" w14:textId="77777777" w:rsidR="00D6631C" w:rsidRDefault="00D663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5AC64" w14:textId="39451083" w:rsidR="00AF7F17" w:rsidRDefault="00000000">
    <w:pPr>
      <w:jc w:val="right"/>
    </w:pPr>
    <w:r>
      <w:rPr>
        <w:color w:val="5F6B76"/>
        <w:sz w:val="16"/>
        <w:szCs w:val="16"/>
      </w:rPr>
      <w:t xml:space="preserve">•   </w:t>
    </w:r>
    <w:r>
      <w:rPr>
        <w:color w:val="5F6B76"/>
        <w:sz w:val="16"/>
        <w:szCs w:val="16"/>
      </w:rPr>
      <w:fldChar w:fldCharType="begin"/>
    </w:r>
    <w:r>
      <w:rPr>
        <w:color w:val="5F6B76"/>
        <w:sz w:val="16"/>
        <w:szCs w:val="16"/>
      </w:rPr>
      <w:instrText>PAGE</w:instrText>
    </w:r>
    <w:r>
      <w:rPr>
        <w:color w:val="5F6B76"/>
        <w:sz w:val="16"/>
        <w:szCs w:val="16"/>
      </w:rPr>
      <w:fldChar w:fldCharType="separate"/>
    </w:r>
    <w:r w:rsidR="006F03BE">
      <w:rPr>
        <w:noProof/>
        <w:color w:val="5F6B76"/>
        <w:sz w:val="16"/>
        <w:szCs w:val="16"/>
      </w:rPr>
      <w:t>1</w:t>
    </w:r>
    <w:r>
      <w:rPr>
        <w:color w:val="5F6B7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CBAC1" w14:textId="77777777" w:rsidR="00D6631C" w:rsidRDefault="00D6631C">
      <w:pPr>
        <w:spacing w:after="0" w:line="240" w:lineRule="auto"/>
      </w:pPr>
      <w:r>
        <w:separator/>
      </w:r>
    </w:p>
  </w:footnote>
  <w:footnote w:type="continuationSeparator" w:id="0">
    <w:p w14:paraId="65C15D88" w14:textId="77777777" w:rsidR="00D6631C" w:rsidRDefault="00D663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60528" w14:textId="29973BD8" w:rsidR="00AF7F17" w:rsidRDefault="00AF7F17">
    <w:pPr>
      <w:pBdr>
        <w:bottom w:val="single" w:sz="6" w:space="0" w:color="2A8C82"/>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E543C6"/>
    <w:multiLevelType w:val="hybridMultilevel"/>
    <w:tmpl w:val="7138E190"/>
    <w:lvl w:ilvl="0" w:tplc="173EEAD2">
      <w:start w:val="1"/>
      <w:numFmt w:val="bullet"/>
      <w:lvlText w:val="●"/>
      <w:lvlJc w:val="left"/>
      <w:pPr>
        <w:ind w:left="720" w:hanging="360"/>
      </w:pPr>
    </w:lvl>
    <w:lvl w:ilvl="1" w:tplc="3C3AD256">
      <w:start w:val="1"/>
      <w:numFmt w:val="bullet"/>
      <w:lvlText w:val="○"/>
      <w:lvlJc w:val="left"/>
      <w:pPr>
        <w:ind w:left="1440" w:hanging="360"/>
      </w:pPr>
    </w:lvl>
    <w:lvl w:ilvl="2" w:tplc="AC0023E0">
      <w:start w:val="1"/>
      <w:numFmt w:val="bullet"/>
      <w:lvlText w:val="■"/>
      <w:lvlJc w:val="left"/>
      <w:pPr>
        <w:ind w:left="2160" w:hanging="360"/>
      </w:pPr>
    </w:lvl>
    <w:lvl w:ilvl="3" w:tplc="9ED86AF2">
      <w:start w:val="1"/>
      <w:numFmt w:val="bullet"/>
      <w:lvlText w:val="●"/>
      <w:lvlJc w:val="left"/>
      <w:pPr>
        <w:ind w:left="2880" w:hanging="360"/>
      </w:pPr>
    </w:lvl>
    <w:lvl w:ilvl="4" w:tplc="551A40FC">
      <w:start w:val="1"/>
      <w:numFmt w:val="bullet"/>
      <w:lvlText w:val="○"/>
      <w:lvlJc w:val="left"/>
      <w:pPr>
        <w:ind w:left="3600" w:hanging="360"/>
      </w:pPr>
    </w:lvl>
    <w:lvl w:ilvl="5" w:tplc="93B02C7A">
      <w:start w:val="1"/>
      <w:numFmt w:val="bullet"/>
      <w:lvlText w:val="■"/>
      <w:lvlJc w:val="left"/>
      <w:pPr>
        <w:ind w:left="4320" w:hanging="360"/>
      </w:pPr>
    </w:lvl>
    <w:lvl w:ilvl="6" w:tplc="B9AEED40">
      <w:start w:val="1"/>
      <w:numFmt w:val="bullet"/>
      <w:lvlText w:val="●"/>
      <w:lvlJc w:val="left"/>
      <w:pPr>
        <w:ind w:left="5040" w:hanging="360"/>
      </w:pPr>
    </w:lvl>
    <w:lvl w:ilvl="7" w:tplc="74E6F9C0">
      <w:start w:val="1"/>
      <w:numFmt w:val="bullet"/>
      <w:lvlText w:val="●"/>
      <w:lvlJc w:val="left"/>
      <w:pPr>
        <w:ind w:left="5760" w:hanging="360"/>
      </w:pPr>
    </w:lvl>
    <w:lvl w:ilvl="8" w:tplc="C35885E2">
      <w:start w:val="1"/>
      <w:numFmt w:val="bullet"/>
      <w:lvlText w:val="●"/>
      <w:lvlJc w:val="left"/>
      <w:pPr>
        <w:ind w:left="6480" w:hanging="360"/>
      </w:pPr>
    </w:lvl>
  </w:abstractNum>
  <w:abstractNum w:abstractNumId="1" w15:restartNumberingAfterBreak="0">
    <w:nsid w:val="771C302B"/>
    <w:multiLevelType w:val="hybridMultilevel"/>
    <w:tmpl w:val="5D0898FE"/>
    <w:lvl w:ilvl="0" w:tplc="D270D112">
      <w:start w:val="1"/>
      <w:numFmt w:val="bullet"/>
      <w:lvlText w:val="•"/>
      <w:lvlJc w:val="left"/>
      <w:pPr>
        <w:ind w:left="360" w:hanging="180"/>
      </w:pPr>
    </w:lvl>
    <w:lvl w:ilvl="1" w:tplc="2912E864">
      <w:start w:val="1"/>
      <w:numFmt w:val="bullet"/>
      <w:lvlText w:val="–"/>
      <w:lvlJc w:val="left"/>
      <w:pPr>
        <w:ind w:left="720" w:hanging="180"/>
      </w:pPr>
    </w:lvl>
    <w:lvl w:ilvl="2" w:tplc="CF5A5A5C">
      <w:numFmt w:val="decimal"/>
      <w:lvlText w:val=""/>
      <w:lvlJc w:val="left"/>
    </w:lvl>
    <w:lvl w:ilvl="3" w:tplc="0B6CB050">
      <w:numFmt w:val="decimal"/>
      <w:lvlText w:val=""/>
      <w:lvlJc w:val="left"/>
    </w:lvl>
    <w:lvl w:ilvl="4" w:tplc="5CBE68D8">
      <w:numFmt w:val="decimal"/>
      <w:lvlText w:val=""/>
      <w:lvlJc w:val="left"/>
    </w:lvl>
    <w:lvl w:ilvl="5" w:tplc="A1EA3EF8">
      <w:numFmt w:val="decimal"/>
      <w:lvlText w:val=""/>
      <w:lvlJc w:val="left"/>
    </w:lvl>
    <w:lvl w:ilvl="6" w:tplc="FC68D374">
      <w:numFmt w:val="decimal"/>
      <w:lvlText w:val=""/>
      <w:lvlJc w:val="left"/>
    </w:lvl>
    <w:lvl w:ilvl="7" w:tplc="88605932">
      <w:numFmt w:val="decimal"/>
      <w:lvlText w:val=""/>
      <w:lvlJc w:val="left"/>
    </w:lvl>
    <w:lvl w:ilvl="8" w:tplc="6FC4214C">
      <w:numFmt w:val="decimal"/>
      <w:lvlText w:val=""/>
      <w:lvlJc w:val="left"/>
    </w:lvl>
  </w:abstractNum>
  <w:num w:numId="1" w16cid:durableId="1085031707">
    <w:abstractNumId w:val="0"/>
    <w:lvlOverride w:ilvl="0">
      <w:startOverride w:val="1"/>
    </w:lvlOverride>
  </w:num>
  <w:num w:numId="2" w16cid:durableId="18738345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F17"/>
    <w:rsid w:val="006F03BE"/>
    <w:rsid w:val="0073635F"/>
    <w:rsid w:val="008F200E"/>
    <w:rsid w:val="00AF7F17"/>
    <w:rsid w:val="00D6631C"/>
    <w:rsid w:val="00D76EA3"/>
    <w:rsid w:val="00E21BF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54D38"/>
  <w15:docId w15:val="{AA636C8B-0508-411E-B9D9-91E600B45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17324D"/>
        <w:sz w:val="21"/>
        <w:szCs w:val="21"/>
        <w:lang w:val="en-ZA" w:eastAsia="en-ZA" w:bidi="ar-SA"/>
      </w:rPr>
    </w:rPrDefault>
    <w:pPrDefault>
      <w:pPr>
        <w:spacing w:after="120" w:line="27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80" w:after="140"/>
      <w:outlineLvl w:val="0"/>
    </w:pPr>
    <w:rPr>
      <w:rFonts w:ascii="Aptos Display" w:eastAsia="Aptos Display" w:hAnsi="Aptos Display" w:cs="Aptos Display"/>
      <w:b/>
      <w:bCs/>
      <w:sz w:val="30"/>
      <w:szCs w:val="30"/>
    </w:rPr>
  </w:style>
  <w:style w:type="paragraph" w:styleId="Heading2">
    <w:name w:val="heading 2"/>
    <w:uiPriority w:val="9"/>
    <w:unhideWhenUsed/>
    <w:qFormat/>
    <w:pPr>
      <w:keepNext/>
      <w:spacing w:before="220" w:after="110"/>
      <w:outlineLvl w:val="1"/>
    </w:pPr>
    <w:rPr>
      <w:rFonts w:ascii="Aptos Display" w:eastAsia="Aptos Display" w:hAnsi="Aptos Display" w:cs="Aptos Display"/>
      <w:b/>
      <w:bCs/>
      <w:color w:val="2A8C82"/>
      <w:sz w:val="25"/>
      <w:szCs w:val="25"/>
    </w:rPr>
  </w:style>
  <w:style w:type="paragraph" w:styleId="Heading3">
    <w:name w:val="heading 3"/>
    <w:uiPriority w:val="9"/>
    <w:semiHidden/>
    <w:unhideWhenUsed/>
    <w:qFormat/>
    <w:pPr>
      <w:keepNext/>
      <w:spacing w:before="180" w:after="90"/>
      <w:outlineLvl w:val="2"/>
    </w:pPr>
    <w:rPr>
      <w:b/>
      <w:bCs/>
      <w:color w:val="2F6B9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rFonts w:ascii="Aptos Display" w:eastAsia="Aptos Display" w:hAnsi="Aptos Display" w:cs="Aptos Display"/>
      <w:b/>
      <w:bCs/>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F03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03BE"/>
  </w:style>
  <w:style w:type="paragraph" w:styleId="Footer">
    <w:name w:val="footer"/>
    <w:basedOn w:val="Normal"/>
    <w:link w:val="FooterChar"/>
    <w:uiPriority w:val="99"/>
    <w:unhideWhenUsed/>
    <w:rsid w:val="006F03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03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13</Pages>
  <Words>4151</Words>
  <Characters>23666</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CivicConnect Milestone 2 — Member 1 Architecture and Quality Drivers</vt:lpstr>
    </vt:vector>
  </TitlesOfParts>
  <Company/>
  <LinksUpToDate>false</LinksUpToDate>
  <CharactersWithSpaces>27762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CivicConnect Milestone 2 — Member 1 Architecture and Quality Drivers</dc:title>
  <dc:subject>PED v2.0 architecture contribution</dc:subject>
  <dc:creator>OpenAI Codex</dc:creator>
  <dc:description>Member 1 contribution using user-supplied evidence only.</dc:description>
  <cp:lastModifiedBy>Mkhanyisi Mqadi</cp:lastModifiedBy>
  <cp:revision>3</cp:revision>
  <dcterms:created xsi:type="dcterms:W3CDTF">2026-09-30T17:22:00Z</dcterms:created>
  <dcterms:modified xsi:type="dcterms:W3CDTF">2026-09-30T18:06:00Z</dcterms:modified>
</cp:coreProperties>
</file>