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630402d6b504c873e69a2f62161f53c922340d"/>
    <w:p>
      <w:pPr>
        <w:pStyle w:val="Heading1"/>
      </w:pPr>
      <w:r>
        <w:t xml:space="preserve">Appendix D — Historical Response Functions: Data and Estimation Design</w:t>
      </w:r>
    </w:p>
    <w:p>
      <w:pPr>
        <w:pStyle w:val="FirstParagraph"/>
      </w:pPr>
      <w:r>
        <w:t xml:space="preserve">This appendix documents the empirical response functions estimated from</w:t>
      </w:r>
      <w:r>
        <w:t xml:space="preserve"> </w:t>
      </w:r>
      <w:r>
        <w:t xml:space="preserve">observational-era data — one for crop yield, one for household energy demand —</w:t>
      </w:r>
      <w:r>
        <w:t xml:space="preserve"> </w:t>
      </w:r>
      <w:r>
        <w:t xml:space="preserve">together with the datasets on which they are built and the reasoning behind each</w:t>
      </w:r>
      <w:r>
        <w:t xml:space="preserve"> </w:t>
      </w:r>
      <w:r>
        <w:t xml:space="preserve">design choice. These functions are the impact models: the stylised</w:t>
      </w:r>
      <w:r>
        <w:t xml:space="preserve"> </w:t>
      </w:r>
      <w:r>
        <w:t xml:space="preserve">AMOC-weakening signal constructed in Appendices A and B is superimposed on the</w:t>
      </w:r>
      <w:r>
        <w:t xml:space="preserve"> </w:t>
      </w:r>
      <w:r>
        <w:t xml:space="preserve">ISIMIP3b baseline and then read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coefficients estimated here to</w:t>
      </w:r>
      <w:r>
        <w:t xml:space="preserve"> </w:t>
      </w:r>
      <w:r>
        <w:t xml:space="preserve">translate a shifted climate into changes in European crop production and energy</w:t>
      </w:r>
      <w:r>
        <w:t xml:space="preserve"> </w:t>
      </w:r>
      <w:r>
        <w:t xml:space="preserve">demand. The present appendix concerns the estimation step only; the scenario</w:t>
      </w:r>
      <w:r>
        <w:t xml:space="preserve"> </w:t>
      </w:r>
      <w:r>
        <w:t xml:space="preserve">replay is documented separately.</w:t>
      </w:r>
    </w:p>
    <w:bookmarkStart w:id="9" w:name="d1-design-principle"/>
    <w:p>
      <w:pPr>
        <w:pStyle w:val="Heading2"/>
      </w:pPr>
      <w:r>
        <w:t xml:space="preserve">D.1 Design principle</w:t>
      </w:r>
    </w:p>
    <w:p>
      <w:pPr>
        <w:pStyle w:val="FirstParagraph"/>
      </w:pPr>
      <w:r>
        <w:t xml:space="preserve">Two modules are estimated, each at the finest spatial resolution at which its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observed: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Estimation unit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Native resolution of the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</w:pPr>
            <w:r>
              <w:t xml:space="preserve">NUTS3 × crop × year</w:t>
            </w:r>
          </w:p>
        </w:tc>
        <w:tc>
          <w:tcPr/>
          <w:p>
            <w:pPr>
              <w:pStyle w:val="Compact"/>
            </w:pPr>
            <w:r>
              <w:t xml:space="preserve">Yield (t ha⁻¹), CropStatHarm</w:t>
            </w:r>
          </w:p>
        </w:tc>
        <w:tc>
          <w:tcPr/>
          <w:p>
            <w:pPr>
              <w:pStyle w:val="Compact"/>
            </w:pPr>
            <w:r>
              <w:t xml:space="preserve">Sub-national (NUTS3)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Country × fuel × year</w:t>
            </w:r>
          </w:p>
        </w:tc>
        <w:tc>
          <w:tcPr/>
          <w:p>
            <w:pPr>
              <w:pStyle w:val="Compact"/>
            </w:pPr>
            <w:r>
              <w:t xml:space="preserve">Household gas / electricity final use (ktoe), Eurostat</w:t>
            </w:r>
          </w:p>
        </w:tc>
        <w:tc>
          <w:tcPr/>
          <w:p>
            <w:pPr>
              <w:pStyle w:val="Compact"/>
            </w:pPr>
            <w:r>
              <w:t xml:space="preserve">National only</w:t>
            </w:r>
          </w:p>
        </w:tc>
      </w:tr>
    </w:tbl>
    <w:p>
      <w:pPr>
        <w:pStyle w:val="BodyText"/>
      </w:pPr>
      <w:r>
        <w:t xml:space="preserve">The asymmetry is dictated by data, not preference: the estimation unit can be no</w:t>
      </w:r>
      <w:r>
        <w:t xml:space="preserve"> </w:t>
      </w:r>
      <w:r>
        <w:t xml:space="preserve">finer than the outcome. Crop yield is reported sub-nationally, so the crop</w:t>
      </w:r>
      <w:r>
        <w:t xml:space="preserve"> </w:t>
      </w:r>
      <w:r>
        <w:t xml:space="preserve">response is identified at NUTS3, where within-country cross-sectional weather</w:t>
      </w:r>
      <w:r>
        <w:t xml:space="preserve"> </w:t>
      </w:r>
      <w:r>
        <w:t xml:space="preserve">variation is large; no sub-national household-energy series exists, so the</w:t>
      </w:r>
      <w:r>
        <w:t xml:space="preserve"> </w:t>
      </w:r>
      <w:r>
        <w:t xml:space="preserve">energy response can only be identified at the country level. Weather, by</w:t>
      </w:r>
      <w:r>
        <w:t xml:space="preserve"> </w:t>
      </w:r>
      <w:r>
        <w:t xml:space="preserve">contrast, is always constructed on the fine E-OBS 0.25° (~28 km) grid and then</w:t>
      </w:r>
      <w:r>
        <w:t xml:space="preserve"> </w:t>
      </w:r>
      <w:r>
        <w:t xml:space="preserve">aggregated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to the estimation unit, so spatial detail is preserved as far</w:t>
      </w:r>
      <w:r>
        <w:t xml:space="preserve"> </w:t>
      </w:r>
      <w:r>
        <w:t xml:space="preserve">as each outcome permits.</w:t>
      </w:r>
    </w:p>
    <w:p>
      <w:pPr>
        <w:pStyle w:val="BodyText"/>
      </w:pPr>
      <w:r>
        <w:t xml:space="preserve">The aggregation weight differs by module, matching the physical support of each</w:t>
      </w:r>
      <w:r>
        <w:t xml:space="preserve"> </w:t>
      </w:r>
      <w:r>
        <w:t xml:space="preserve">channel. Crop weather is</w:t>
      </w:r>
      <w:r>
        <w:t xml:space="preserve"> </w:t>
      </w:r>
      <w:r>
        <w:rPr>
          <w:b/>
          <w:bCs/>
        </w:rPr>
        <w:t xml:space="preserve">area</w:t>
      </w:r>
      <w:r>
        <w:t xml:space="preserve">-weighted, because crops occupy land; energy</w:t>
      </w:r>
      <w:r>
        <w:t xml:space="preserve"> </w:t>
      </w:r>
      <w:r>
        <w:t xml:space="preserve">weather is</w:t>
      </w:r>
      <w:r>
        <w:t xml:space="preserve"> </w:t>
      </w:r>
      <w:r>
        <w:rPr>
          <w:b/>
          <w:bCs/>
        </w:rPr>
        <w:t xml:space="preserve">population</w:t>
      </w:r>
      <w:r>
        <w:t xml:space="preserve">-weighted, because demand follows people. The two</w:t>
      </w:r>
      <w:r>
        <w:t xml:space="preserve"> </w:t>
      </w:r>
      <w:r>
        <w:t xml:space="preserve">weighting schemes are documented in §D.3 and §D.4.</w:t>
      </w:r>
    </w:p>
    <w:bookmarkEnd w:id="9"/>
    <w:bookmarkStart w:id="10" w:name="d2-weather-indicators"/>
    <w:p>
      <w:pPr>
        <w:pStyle w:val="Heading2"/>
      </w:pPr>
      <w:r>
        <w:t xml:space="preserve">D.2 Weather indicators</w:t>
      </w:r>
    </w:p>
    <w:p>
      <w:pPr>
        <w:pStyle w:val="FirstParagraph"/>
      </w:pPr>
      <w:r>
        <w:t xml:space="preserve">All indicators are computed</w:t>
      </w:r>
      <w:r>
        <w:t xml:space="preserve"> </w:t>
      </w:r>
      <w:r>
        <w:rPr>
          <w:b/>
          <w:bCs/>
        </w:rPr>
        <w:t xml:space="preserve">per grid cell, per day, before any spatial or</w:t>
      </w:r>
      <w:r>
        <w:rPr>
          <w:b/>
          <w:bCs/>
        </w:rPr>
        <w:t xml:space="preserve"> </w:t>
      </w:r>
      <w:r>
        <w:rPr>
          <w:b/>
          <w:bCs/>
        </w:rPr>
        <w:t xml:space="preserve">temporal aggregation</w:t>
      </w:r>
      <w:r>
        <w:t xml:space="preserve">. This ordering is not cosmetic: the transforms are</w:t>
      </w:r>
      <w:r>
        <w:t xml:space="preserve"> </w:t>
      </w:r>
      <w:r>
        <w:t xml:space="preserve">nonlinear, so for a nonlinear indicator</w:t>
      </w:r>
      <w:r>
        <w:t xml:space="preserve"> </w:t>
      </w:r>
      <w:r>
        <w:rPr>
          <w:i/>
          <w:iCs/>
        </w:rPr>
        <w:t xml:space="preserve">f</w:t>
      </w:r>
      <w:r>
        <w:t xml:space="preserve">,</w:t>
      </w:r>
      <w:r>
        <w:t xml:space="preserve"> </w:t>
      </w:r>
      <w:r>
        <w:rPr>
          <w:rStyle w:val="VerbatimChar"/>
        </w:rPr>
        <w:t xml:space="preserve">E[f(T)] ≠ f(E[T])</w:t>
      </w:r>
      <w:r>
        <w:t xml:space="preserve">, and averaging</w:t>
      </w:r>
      <w:r>
        <w:t xml:space="preserve"> </w:t>
      </w:r>
      <w:r>
        <w:t xml:space="preserve">temperature before applying a threshold would return a biased value. Let</w:t>
      </w:r>
      <w:r>
        <w:t xml:space="preserve"> </w:t>
      </w:r>
      <w:r>
        <w:rPr>
          <w:rStyle w:val="VerbatimChar"/>
        </w:rPr>
        <w:t xml:space="preserve">tg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  <w:r>
        <w:t xml:space="preserve">,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denote the daily mean, maximum, and minimum temperature of a cell,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rr</w:t>
      </w:r>
      <w:r>
        <w:t xml:space="preserve"> </w:t>
      </w:r>
      <w:r>
        <w:t xml:space="preserve">its daily precipitation.</w:t>
      </w:r>
    </w:p>
    <w:p>
      <w:pPr>
        <w:pStyle w:val="BodyText"/>
      </w:pPr>
      <w:r>
        <w:rPr>
          <w:b/>
          <w:bCs/>
        </w:rPr>
        <w:t xml:space="preserve">Crop (growing-season indicators).</w:t>
      </w:r>
    </w:p>
    <w:p>
      <w:pPr>
        <w:pStyle w:val="SourceCode"/>
      </w:pPr>
      <w:r>
        <w:rPr>
          <w:rStyle w:val="VerbatimChar"/>
        </w:rPr>
        <w:t xml:space="preserve">GDD   = max( min(tg, 28) − 5, 0 )      growing degree-days, warmth capped at 28 °C</w:t>
      </w:r>
      <w:r>
        <w:br/>
      </w:r>
      <w:r>
        <w:rPr>
          <w:rStyle w:val="VerbatimChar"/>
        </w:rPr>
        <w:t xml:space="preserve">Heat  = max( tx − 28, 0 )              extreme-heat degree-days above 28 °C</w:t>
      </w:r>
      <w:r>
        <w:br/>
      </w:r>
      <w:r>
        <w:rPr>
          <w:rStyle w:val="VerbatimChar"/>
        </w:rPr>
        <w:t xml:space="preserve">Frost = 1( tn &lt; 0 )                    frost-day indicator</w:t>
      </w:r>
      <w:r>
        <w:br/>
      </w:r>
      <w:r>
        <w:rPr>
          <w:rStyle w:val="VerbatimChar"/>
        </w:rPr>
        <w:t xml:space="preserve">Precip = rr                            daily precipitation</w:t>
      </w:r>
    </w:p>
    <w:p>
      <w:pPr>
        <w:pStyle w:val="FirstParagraph"/>
      </w:pPr>
      <w:r>
        <w:t xml:space="preserve">The 28 °C cap on GDD makes the beneficial-warmth term (GDD) and the</w:t>
      </w:r>
      <w:r>
        <w:t xml:space="preserve"> </w:t>
      </w:r>
      <w:r>
        <w:t xml:space="preserve">harmful-extreme term (Heat)</w:t>
      </w:r>
      <w:r>
        <w:t xml:space="preserve"> </w:t>
      </w:r>
      <w:r>
        <w:rPr>
          <w:b/>
          <w:bCs/>
        </w:rPr>
        <w:t xml:space="preserve">non-overlapping</w:t>
      </w:r>
      <w:r>
        <w:t xml:space="preserve">, following the Schlenker–Roberts</w:t>
      </w:r>
      <w:r>
        <w:t xml:space="preserve"> </w:t>
      </w:r>
      <w:r>
        <w:t xml:space="preserve">degree-day convention: beyond roughly 28 °C additional warmth ceases to help C3</w:t>
      </w:r>
      <w:r>
        <w:t xml:space="preserve"> </w:t>
      </w:r>
      <w:r>
        <w:t xml:space="preserve">cereals (photorespiration rises, grain-filling shortens), and that range is</w:t>
      </w:r>
      <w:r>
        <w:t xml:space="preserve"> </w:t>
      </w:r>
      <w:r>
        <w:t xml:space="preserve">carried by Heat rather than double-counted in GDD. The cap binds rarely, because</w:t>
      </w:r>
      <w:r>
        <w:t xml:space="preserve"> </w:t>
      </w:r>
      <w:r>
        <w:t xml:space="preserve">the daily-mean</w:t>
      </w:r>
      <w:r>
        <w:t xml:space="preserve"> </w:t>
      </w:r>
      <w:r>
        <w:rPr>
          <w:rStyle w:val="VerbatimChar"/>
        </w:rPr>
        <w:t xml:space="preserve">tg</w:t>
      </w:r>
      <w:r>
        <w:t xml:space="preserve"> </w:t>
      </w:r>
      <w:r>
        <w:t xml:space="preserve">seldom exceeds 28 °C, but it is the physiologically correct</w:t>
      </w:r>
      <w:r>
        <w:t xml:space="preserve"> </w:t>
      </w:r>
      <w:r>
        <w:t xml:space="preserve">and literature-consistent construction.</w:t>
      </w:r>
    </w:p>
    <w:p>
      <w:pPr>
        <w:pStyle w:val="BodyText"/>
      </w:pPr>
      <w:r>
        <w:rPr>
          <w:b/>
          <w:bCs/>
        </w:rPr>
        <w:t xml:space="preserve">Energy (heating and cooling demand).</w:t>
      </w:r>
      <w:r>
        <w:t xml:space="preserve"> </w:t>
      </w:r>
      <w:r>
        <w:t xml:space="preserve">With hinge functions</w:t>
      </w:r>
    </w:p>
    <w:p>
      <w:pPr>
        <w:pStyle w:val="SourceCode"/>
      </w:pPr>
      <w:r>
        <w:rPr>
          <w:rStyle w:val="VerbatimChar"/>
        </w:rPr>
        <w:t xml:space="preserve">HDD = 1( T &lt; 15 ) · (18 − T)</w:t>
      </w:r>
      <w:r>
        <w:br/>
      </w:r>
      <w:r>
        <w:rPr>
          <w:rStyle w:val="VerbatimChar"/>
        </w:rPr>
        <w:t xml:space="preserve">CDD = 1( T ≥ 24 ) · (T − 21)</w:t>
      </w:r>
    </w:p>
    <w:p>
      <w:pPr>
        <w:pStyle w:val="FirstParagraph"/>
      </w:pPr>
      <w:r>
        <w:t xml:space="preserve">the daily degree-day value is obtained by</w:t>
      </w:r>
      <w:r>
        <w:t xml:space="preserve"> </w:t>
      </w:r>
      <w:r>
        <w:rPr>
          <w:b/>
          <w:bCs/>
        </w:rPr>
        <w:t xml:space="preserve">integrating the hinge over the</w:t>
      </w:r>
      <w:r>
        <w:rPr>
          <w:b/>
          <w:bCs/>
        </w:rPr>
        <w:t xml:space="preserve"> </w:t>
      </w:r>
      <w:r>
        <w:rPr>
          <w:b/>
          <w:bCs/>
        </w:rPr>
        <w:t xml:space="preserve">within-day temperature path</w:t>
      </w:r>
      <w:r>
        <w:t xml:space="preserve"> </w:t>
      </w:r>
      <w:r>
        <w:t xml:space="preserve">— a sine cycle centred on</w:t>
      </w:r>
      <w:r>
        <w:t xml:space="preserve"> </w:t>
      </w:r>
      <w:r>
        <w:rPr>
          <w:rStyle w:val="VerbatimChar"/>
        </w:rPr>
        <w:t xml:space="preserve">tg</w:t>
      </w:r>
      <w:r>
        <w:t xml:space="preserve"> </w:t>
      </w:r>
      <w:r>
        <w:t xml:space="preserve">with amplitude</w:t>
      </w:r>
      <w:r>
        <w:t xml:space="preserve"> </w:t>
      </w:r>
      <w:r>
        <w:rPr>
          <w:rStyle w:val="VerbatimChar"/>
        </w:rPr>
        <w:t xml:space="preserve">(tx − tn)/2</w:t>
      </w:r>
      <w:r>
        <w:t xml:space="preserve"> </w:t>
      </w:r>
      <w:r>
        <w:t xml:space="preserve">— rather than by evaluating the hinge at the daily mean. The</w:t>
      </w:r>
      <w:r>
        <w:t xml:space="preserve"> </w:t>
      </w:r>
      <w:r>
        <w:t xml:space="preserve">correction is material for cooling: because the 24 °C cooling threshold sits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typical daily swing, evaluating at the mean systematically</w:t>
      </w:r>
      <w:r>
        <w:t xml:space="preserve"> </w:t>
      </w:r>
      <w:r>
        <w:t xml:space="preserve">undercounts (roughly 34.5 % of summer days straddle 24 °C, understating total</w:t>
      </w:r>
      <w:r>
        <w:t xml:space="preserve"> </w:t>
      </w:r>
      <w:r>
        <w:t xml:space="preserve">CDD by a factor of about 1.7). It is negligible for crop GDD and mild for HDD,</w:t>
      </w:r>
      <w:r>
        <w:t xml:space="preserve"> </w:t>
      </w:r>
      <w:r>
        <w:t xml:space="preserve">whose 15 °C threshold is rarely straddled in winter — consistent with the</w:t>
      </w:r>
      <w:r>
        <w:t xml:space="preserve"> </w:t>
      </w:r>
      <w:r>
        <w:rPr>
          <w:rStyle w:val="VerbatimChar"/>
        </w:rPr>
        <w:t xml:space="preserve">E[f(T)] ≠ f(E[T])</w:t>
      </w:r>
      <w:r>
        <w:t xml:space="preserve"> </w:t>
      </w:r>
      <w:r>
        <w:t xml:space="preserve">bias biting only where a threshold falls within the daily</w:t>
      </w:r>
      <w:r>
        <w:t xml:space="preserve"> </w:t>
      </w:r>
      <w:r>
        <w:t xml:space="preserve">range. The within-day construction is also what makes the estimated coefficient</w:t>
      </w:r>
      <w:r>
        <w:t xml:space="preserve"> </w:t>
      </w:r>
      <w:r>
        <w:rPr>
          <w:b/>
          <w:bCs/>
        </w:rPr>
        <w:t xml:space="preserve">transportable</w:t>
      </w:r>
      <w:r>
        <w:t xml:space="preserve">: the same integrator applies under a shifted scenario climate,</w:t>
      </w:r>
      <w:r>
        <w:t xml:space="preserve"> </w:t>
      </w:r>
      <w:r>
        <w:t xml:space="preserve">so the coefficient is not tied to the historical position of the temperature</w:t>
      </w:r>
      <w:r>
        <w:t xml:space="preserve"> </w:t>
      </w:r>
      <w:r>
        <w:t xml:space="preserve">distribution relative to the threshold.</w:t>
      </w:r>
    </w:p>
    <w:p>
      <w:pPr>
        <w:pStyle w:val="BodyText"/>
      </w:pPr>
      <w:r>
        <w:t xml:space="preserve">Daily indicators are aggregated to the estimation unit and then summed over the</w:t>
      </w:r>
      <w:r>
        <w:t xml:space="preserve"> </w:t>
      </w:r>
      <w:r>
        <w:t xml:space="preserve">relevant window: crop over</w:t>
      </w:r>
      <w:r>
        <w:t xml:space="preserve"> </w:t>
      </w:r>
      <w:r>
        <w:rPr>
          <w:b/>
          <w:bCs/>
        </w:rPr>
        <w:t xml:space="preserve">March–July</w:t>
      </w:r>
      <w:r>
        <w:t xml:space="preserve"> </w:t>
      </w:r>
      <w:r>
        <w:t xml:space="preserve">(main) or April–August (robustness);</w:t>
      </w:r>
      <w:r>
        <w:t xml:space="preserve"> </w:t>
      </w:r>
      <w:r>
        <w:t xml:space="preserve">energy HDD over the calendar year and the October–March heating season, energy</w:t>
      </w:r>
      <w:r>
        <w:t xml:space="preserve"> </w:t>
      </w:r>
      <w:r>
        <w:t xml:space="preserve">CDD over June–August. A single shared construction module builds these variables</w:t>
      </w:r>
      <w:r>
        <w:t xml:space="preserve"> </w:t>
      </w:r>
      <w:r>
        <w:t xml:space="preserve">identically for estimation and for the later scenario replay, which is the</w:t>
      </w:r>
      <w:r>
        <w:t xml:space="preserve"> </w:t>
      </w:r>
      <w:r>
        <w:t xml:space="preserve">precondition for a response function to be applied to a counterfactual climate.</w:t>
      </w:r>
    </w:p>
    <w:bookmarkEnd w:id="10"/>
    <w:bookmarkStart w:id="11" w:name="d3-crop-datasets"/>
    <w:p>
      <w:pPr>
        <w:pStyle w:val="Heading2"/>
      </w:pPr>
      <w:r>
        <w:t xml:space="preserve">D.3 Crop datasets</w:t>
      </w:r>
    </w:p>
    <w:p>
      <w:pPr>
        <w:pStyle w:val="FirstParagraph"/>
      </w:pPr>
      <w:r>
        <w:rPr>
          <w:b/>
          <w:bCs/>
        </w:rPr>
        <w:t xml:space="preserve">Outcome.</w:t>
      </w:r>
      <w:r>
        <w:t xml:space="preserve"> </w:t>
      </w:r>
      <w:r>
        <w:t xml:space="preserve">The yield panel is built from CropStatHarm (Ronchetti et al., 2024),</w:t>
      </w:r>
      <w:r>
        <w:t xml:space="preserve"> </w:t>
      </w:r>
      <w:r>
        <w:t xml:space="preserve">a peer-reviewed sub-national crop dataset already harmonised to NUTS 2016</w:t>
      </w:r>
      <w:r>
        <w:t xml:space="preserve"> </w:t>
      </w:r>
      <w:r>
        <w:t xml:space="preserve">geometry, so region codes join one-to-one with the weather crosswalk without any</w:t>
      </w:r>
      <w:r>
        <w:t xml:space="preserve"> </w:t>
      </w:r>
      <w:r>
        <w:t xml:space="preserve">bridging. Area is gap-filled from a second, area-only source (EU-JRC</w:t>
      </w:r>
      <w:r>
        <w:t xml:space="preserve"> </w:t>
      </w:r>
      <w:r>
        <w:rPr>
          <w:rStyle w:val="VerbatimChar"/>
        </w:rPr>
        <w:t xml:space="preserve">cropareaRegional</w:t>
      </w:r>
      <w:r>
        <w:t xml:space="preserve">) where CropStatHarm is missing; CropStatHarm always takes</w:t>
      </w:r>
      <w:r>
        <w:t xml:space="preserve"> </w:t>
      </w:r>
      <w:r>
        <w:t xml:space="preserve">precedence on overlap, and</w:t>
      </w:r>
      <w:r>
        <w:t xml:space="preserve"> </w:t>
      </w:r>
      <w:r>
        <w:rPr>
          <w:b/>
          <w:bCs/>
        </w:rPr>
        <w:t xml:space="preserve">no yields are ever fabricated</w:t>
      </w:r>
      <w:r>
        <w:t xml:space="preserve"> </w:t>
      </w:r>
      <w:r>
        <w:t xml:space="preserve">— only area is</w:t>
      </w:r>
      <w:r>
        <w:t xml:space="preserve"> </w:t>
      </w:r>
      <w:r>
        <w:t xml:space="preserve">filled. Six crops are retained (Soft, Durum, and Total wheat; Spring, Winter, and</w:t>
      </w:r>
      <w:r>
        <w:t xml:space="preserve"> </w:t>
      </w:r>
      <w:r>
        <w:t xml:space="preserve">Total barley); because the totals are the component crops summed, any single</w:t>
      </w:r>
      <w:r>
        <w:t xml:space="preserve"> </w:t>
      </w:r>
      <w:r>
        <w:t xml:space="preserve">regression uses</w:t>
      </w:r>
      <w:r>
        <w:t xml:space="preserve"> </w:t>
      </w:r>
      <w:r>
        <w:rPr>
          <w:b/>
          <w:bCs/>
        </w:rPr>
        <w:t xml:space="preserve">one set only</w:t>
      </w:r>
      <w:r>
        <w:t xml:space="preserve">, never both, to avoid double-counting.</w:t>
      </w:r>
    </w:p>
    <w:p>
      <w:pPr>
        <w:pStyle w:val="BodyText"/>
      </w:pPr>
      <w:r>
        <w:rPr>
          <w:b/>
          <w:bCs/>
        </w:rPr>
        <w:t xml:space="preserve">Weather.</w:t>
      </w:r>
      <w:r>
        <w:t xml:space="preserve"> </w:t>
      </w:r>
      <w:r>
        <w:t xml:space="preserve">Each E-OBS cell is mapped to the NUTS3 regions it intersects by</w:t>
      </w:r>
      <w:r>
        <w:t xml:space="preserve"> </w:t>
      </w:r>
      <w:r>
        <w:t xml:space="preserve">area-overlap weights</w:t>
      </w:r>
    </w:p>
    <w:p>
      <w:pPr>
        <w:pStyle w:val="SourceCode"/>
      </w:pPr>
      <w:r>
        <w:rPr>
          <w:rStyle w:val="VerbatimChar"/>
        </w:rPr>
        <w:t xml:space="preserve">ω(g, r) = Area(g ∩ r) / Σ_h Area(h ∩ r),</w:t>
      </w:r>
    </w:p>
    <w:p>
      <w:pPr>
        <w:pStyle w:val="FirstParagraph"/>
      </w:pPr>
      <w:r>
        <w:t xml:space="preserve">computed by exact geometric intersection in the equal-area projection EPSG:3035,</w:t>
      </w:r>
      <w:r>
        <w:t xml:space="preserve"> </w:t>
      </w:r>
      <w:r>
        <w:t xml:space="preserve">so the weights are true areal shares. Regions smaller than one grid cell receive</w:t>
      </w:r>
      <w:r>
        <w:t xml:space="preserve"> </w:t>
      </w:r>
      <w:r>
        <w:t xml:space="preserve">a nearest-cell fallback (capped at 40 km); regions off the E-OBS domain</w:t>
      </w:r>
      <w:r>
        <w:t xml:space="preserve"> </w:t>
      </w:r>
      <w:r>
        <w:t xml:space="preserve">(Canaries, Azores) remain unassigned. Daily cell indicators are combined into an</w:t>
      </w:r>
      <w:r>
        <w:t xml:space="preserve"> </w:t>
      </w:r>
      <w:r>
        <w:t xml:space="preserve">area-weighted regional mean — renormalised over the cells reporting data on a</w:t>
      </w:r>
      <w:r>
        <w:t xml:space="preserve"> </w:t>
      </w:r>
      <w:r>
        <w:t xml:space="preserve">given day, so a partially observed day still yields a value — and then summed to</w:t>
      </w:r>
      <w:r>
        <w:t xml:space="preserve"> </w:t>
      </w:r>
      <w:r>
        <w:t xml:space="preserve">the month and to the crop window.</w:t>
      </w:r>
    </w:p>
    <w:p>
      <w:pPr>
        <w:pStyle w:val="BodyText"/>
      </w:pPr>
      <w:r>
        <w:rPr>
          <w:b/>
          <w:bCs/>
        </w:rPr>
        <w:t xml:space="preserve">Estimation panels.</w:t>
      </w:r>
      <w:r>
        <w:t xml:space="preserve"> </w:t>
      </w:r>
      <w:r>
        <w:t xml:space="preserve">Two panels are produced. The primary panel keeps</w:t>
      </w:r>
      <w:r>
        <w:t xml:space="preserve"> </w:t>
      </w:r>
      <w:r>
        <w:t xml:space="preserve">CropStatHarm rows reported at</w:t>
      </w:r>
      <w:r>
        <w:t xml:space="preserve"> </w:t>
      </w:r>
      <w:r>
        <w:rPr>
          <w:b/>
          <w:bCs/>
        </w:rPr>
        <w:t xml:space="preserve">NUTS3</w:t>
      </w:r>
      <w:r>
        <w:t xml:space="preserve"> </w:t>
      </w:r>
      <w:r>
        <w:t xml:space="preserve">with observed positive yield (76,979</w:t>
      </w:r>
      <w:r>
        <w:t xml:space="preserve"> </w:t>
      </w:r>
      <w:r>
        <w:t xml:space="preserve">rows; 15 countries; 816 NUTS3 regions; six crops; 1989–2023). One broken source</w:t>
      </w:r>
      <w:r>
        <w:t xml:space="preserve"> </w:t>
      </w:r>
      <w:r>
        <w:t xml:space="preserve">cell is dropped by name (ES300 durum wheat 2012, an upstream area error yielding</w:t>
      </w:r>
      <w:r>
        <w:t xml:space="preserve"> </w:t>
      </w:r>
      <w:r>
        <w:t xml:space="preserve">3,606 t ha⁻¹); no blanket yield cap is imposed. A second,</w:t>
      </w:r>
      <w:r>
        <w:t xml:space="preserve"> </w:t>
      </w:r>
      <w:r>
        <w:rPr>
          <w:b/>
          <w:bCs/>
        </w:rPr>
        <w:t xml:space="preserve">mixed-level</w:t>
      </w:r>
      <w:r>
        <w:t xml:space="preserve"> </w:t>
      </w:r>
      <w:r>
        <w:t xml:space="preserve">panel</w:t>
      </w:r>
      <w:r>
        <w:t xml:space="preserve"> </w:t>
      </w:r>
      <w:r>
        <w:t xml:space="preserve">recovers the eleven countries that report yield only at NUTS2 or NUTS0, by</w:t>
      </w:r>
      <w:r>
        <w:t xml:space="preserve"> </w:t>
      </w:r>
      <w:r>
        <w:t xml:space="preserve">aggregating the existing NUTS3 weather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to the coarser unit by area weights</w:t>
      </w:r>
      <w:r>
        <w:t xml:space="preserve"> </w:t>
      </w:r>
      <w:r>
        <w:t xml:space="preserve">(no re-reading of E-OBS is required, since NUTS3 nest exactly inside coarser</w:t>
      </w:r>
      <w:r>
        <w:t xml:space="preserve"> </w:t>
      </w:r>
      <w:r>
        <w:t xml:space="preserve">units and the indicators are area-linear); it spans 86,591 rows and 26 countries.</w:t>
      </w:r>
      <w:r>
        <w:t xml:space="preserve"> </w:t>
      </w:r>
      <w:r>
        <w:t xml:space="preserve">Each country reports yield at exactly one NUTS level, verified, so there is no</w:t>
      </w:r>
      <w:r>
        <w:t xml:space="preserve"> </w:t>
      </w:r>
      <w:r>
        <w:t xml:space="preserve">parent–child double-counting. The mixed panel buys wider country</w:t>
      </w:r>
      <w:r>
        <w:t xml:space="preserve"> </w:t>
      </w:r>
      <w:r>
        <w:rPr>
          <w:b/>
          <w:bCs/>
        </w:rPr>
        <w:t xml:space="preserve">coverage</w:t>
      </w:r>
      <w:r>
        <w:t xml:space="preserve"> </w:t>
      </w:r>
      <w:r>
        <w:t xml:space="preserve">for</w:t>
      </w:r>
      <w:r>
        <w:t xml:space="preserve"> </w:t>
      </w:r>
      <w:r>
        <w:t xml:space="preserve">EU-level valuation, but its added units are coarser and contribute less</w:t>
      </w:r>
      <w:r>
        <w:t xml:space="preserve"> </w:t>
      </w:r>
      <w:r>
        <w:t xml:space="preserve">within-country weather variation — coverage, not identifying power — and it is</w:t>
      </w:r>
      <w:r>
        <w:t xml:space="preserve"> </w:t>
      </w:r>
      <w:r>
        <w:t xml:space="preserve">therefore reported as a robustness sample rather than the headline.</w:t>
      </w:r>
    </w:p>
    <w:bookmarkEnd w:id="11"/>
    <w:bookmarkStart w:id="12" w:name="d4-energy-datasets"/>
    <w:p>
      <w:pPr>
        <w:pStyle w:val="Heading2"/>
      </w:pPr>
      <w:r>
        <w:t xml:space="preserve">D.4 Energy datasets</w:t>
      </w:r>
    </w:p>
    <w:p>
      <w:pPr>
        <w:pStyle w:val="FirstParagraph"/>
      </w:pPr>
      <w:r>
        <w:rPr>
          <w:b/>
          <w:bCs/>
        </w:rPr>
        <w:t xml:space="preserve">Outcome.</w:t>
      </w:r>
      <w:r>
        <w:t xml:space="preserve"> </w:t>
      </w:r>
      <w:r>
        <w:t xml:space="preserve">Household final use of gas and electricity (ktoe) comes from the</w:t>
      </w:r>
      <w:r>
        <w:t xml:space="preserve"> </w:t>
      </w:r>
      <w:r>
        <w:t xml:space="preserve">Eurostat energy balance (</w:t>
      </w:r>
      <w:r>
        <w:rPr>
          <w:rStyle w:val="VerbatimChar"/>
        </w:rPr>
        <w:t xml:space="preserve">nrg_bal_c</w:t>
      </w:r>
      <w:r>
        <w:t xml:space="preserve">). The outcome is expressed</w:t>
      </w:r>
      <w:r>
        <w:t xml:space="preserve"> </w:t>
      </w:r>
      <w:r>
        <w:rPr>
          <w:b/>
          <w:bCs/>
        </w:rPr>
        <w:t xml:space="preserve">per capita</w:t>
      </w:r>
      <w:r>
        <w:t xml:space="preserve">,</w:t>
      </w:r>
      <w:r>
        <w:t xml:space="preserve"> </w:t>
      </w:r>
      <w:r>
        <w:rPr>
          <w:rStyle w:val="VerbatimChar"/>
        </w:rPr>
        <w:t xml:space="preserve">ln(E / Pop)</w:t>
      </w:r>
      <w:r>
        <w:t xml:space="preserve">, which removes the mechanical scale effect of population and strips</w:t>
      </w:r>
      <w:r>
        <w:t xml:space="preserve"> </w:t>
      </w:r>
      <w:r>
        <w:t xml:space="preserve">the within-country demographic trend that a country fixed effect — absorbing only</w:t>
      </w:r>
      <w:r>
        <w:t xml:space="preserve"> </w:t>
      </w:r>
      <w:r>
        <w:t xml:space="preserve">the level — would otherwise leave in the residual.</w:t>
      </w:r>
    </w:p>
    <w:p>
      <w:pPr>
        <w:pStyle w:val="BodyText"/>
      </w:pPr>
      <w:r>
        <w:rPr>
          <w:b/>
          <w:bCs/>
        </w:rPr>
        <w:t xml:space="preserve">Weather.</w:t>
      </w:r>
      <w:r>
        <w:t xml:space="preserve"> </w:t>
      </w:r>
      <w:r>
        <w:t xml:space="preserve">Population weights are built from the 1 km GISCO Census-2021 grid:</w:t>
      </w:r>
      <w:r>
        <w:t xml:space="preserve"> </w:t>
      </w:r>
      <w:r>
        <w:t xml:space="preserve">each populated pixel is assigned to its E-OBS cell and its country, giving</w:t>
      </w:r>
      <w:r>
        <w:t xml:space="preserve"> </w:t>
      </w:r>
      <w:r>
        <w:rPr>
          <w:rStyle w:val="VerbatimChar"/>
        </w:rPr>
        <w:t xml:space="preserve">w(g, c) = pop(g) / pop(c)</w:t>
      </w:r>
      <w:r>
        <w:t xml:space="preserve">. Population landing on a data-less E-OBS cell</w:t>
      </w:r>
      <w:r>
        <w:t xml:space="preserve"> </w:t>
      </w:r>
      <w:r>
        <w:t xml:space="preserve">(coastal or island pixels over sea) is snapped to the nearest valid land cell,</w:t>
      </w:r>
      <w:r>
        <w:t xml:space="preserve"> </w:t>
      </w:r>
      <w:r>
        <w:t xml:space="preserve">capped at</w:t>
      </w:r>
      <w:r>
        <w:t xml:space="preserve"> </w:t>
      </w:r>
      <w:r>
        <w:rPr>
          <w:b/>
          <w:bCs/>
        </w:rPr>
        <w:t xml:space="preserve">300 km</w:t>
      </w:r>
      <w:r>
        <w:t xml:space="preserve"> </w:t>
      </w:r>
      <w:r>
        <w:t xml:space="preserve">— retaining reachable islands (Malta to Sicily, ~110 km)</w:t>
      </w:r>
      <w:r>
        <w:t xml:space="preserve"> </w:t>
      </w:r>
      <w:r>
        <w:t xml:space="preserve">while dropping off-domain Atlantic islands (Azores, Madeira, ~1,500 km), whose</w:t>
      </w:r>
      <w:r>
        <w:t xml:space="preserve"> </w:t>
      </w:r>
      <w:r>
        <w:t xml:space="preserve">energy remains in the national outcome but whose weather cannot be fabricated.</w:t>
      </w:r>
      <w:r>
        <w:t xml:space="preserve"> </w:t>
      </w:r>
      <w:r>
        <w:t xml:space="preserve">Daily HDD/CDD are computed per cell by the within-day construction (§D.2),</w:t>
      </w:r>
      <w:r>
        <w:t xml:space="preserve"> </w:t>
      </w:r>
      <w:r>
        <w:t xml:space="preserve">population-weighted to the country, and summed into calendar-year HDD, Oct–Mar</w:t>
      </w:r>
      <w:r>
        <w:t xml:space="preserve"> </w:t>
      </w:r>
      <w:r>
        <w:t xml:space="preserve">heating-season HDD, and JJA CDD. The population weight is</w:t>
      </w:r>
      <w:r>
        <w:t xml:space="preserve"> </w:t>
      </w:r>
      <w:r>
        <w:rPr>
          <w:b/>
          <w:bCs/>
        </w:rPr>
        <w:t xml:space="preserve">fixed at its 2021</w:t>
      </w:r>
      <w:r>
        <w:rPr>
          <w:b/>
          <w:bCs/>
        </w:rPr>
        <w:t xml:space="preserve"> </w:t>
      </w:r>
      <w:r>
        <w:rPr>
          <w:b/>
          <w:bCs/>
        </w:rPr>
        <w:t xml:space="preserve">geography</w:t>
      </w:r>
      <w:r>
        <w:t xml:space="preserve"> </w:t>
      </w:r>
      <w:r>
        <w:t xml:space="preserve">deliberately: it fixes</w:t>
      </w:r>
      <w:r>
        <w:t xml:space="preserve"> </w:t>
      </w:r>
      <w:r>
        <w:rPr>
          <w:i/>
          <w:iCs/>
        </w:rPr>
        <w:t xml:space="preserve">where people live</w:t>
      </w:r>
      <w:r>
        <w:t xml:space="preserve"> </w:t>
      </w:r>
      <w:r>
        <w:t xml:space="preserve">as a baseline, while</w:t>
      </w:r>
      <w:r>
        <w:t xml:space="preserve"> </w:t>
      </w:r>
      <w:r>
        <w:t xml:space="preserve">time-varying population enters the panel separately as an annual control, because</w:t>
      </w:r>
      <w:r>
        <w:t xml:space="preserve"> </w:t>
      </w:r>
      <w:r>
        <w:t xml:space="preserve">a fixed total would simply be absorbed by the country fixed effect.</w:t>
      </w:r>
    </w:p>
    <w:p>
      <w:pPr>
        <w:pStyle w:val="BodyText"/>
      </w:pPr>
      <w:r>
        <w:rPr>
          <w:b/>
          <w:bCs/>
        </w:rPr>
        <w:t xml:space="preserve">Prices.</w:t>
      </w:r>
      <w:r>
        <w:t xml:space="preserve"> </w:t>
      </w:r>
      <w:r>
        <w:t xml:space="preserve">Annual household electricity and gas prices (taxes included) splice a</w:t>
      </w:r>
      <w:r>
        <w:t xml:space="preserve"> </w:t>
      </w:r>
      <w:r>
        <w:t xml:space="preserve">historical Eurostat series (≤2007) to the current series (2007+) at a consistent</w:t>
      </w:r>
      <w:r>
        <w:t xml:space="preserve"> </w:t>
      </w:r>
      <w:r>
        <w:t xml:space="preserve">consumption band, unit, tax level, and currency, averaging the two semesters to</w:t>
      </w:r>
      <w:r>
        <w:t xml:space="preserve"> </w:t>
      </w:r>
      <w:r>
        <w:t xml:space="preserve">an annual figure. The splice is required because Eurostat redefined the</w:t>
      </w:r>
      <w:r>
        <w:t xml:space="preserve"> </w:t>
      </w:r>
      <w:r>
        <w:t xml:space="preserve">consumption bands in 2007.</w:t>
      </w:r>
    </w:p>
    <w:p>
      <w:pPr>
        <w:pStyle w:val="BodyText"/>
      </w:pPr>
      <w:r>
        <w:rPr>
          <w:b/>
          <w:bCs/>
        </w:rPr>
        <w:t xml:space="preserve">Estimation panel.</w:t>
      </w:r>
      <w:r>
        <w:t xml:space="preserve"> </w:t>
      </w:r>
      <w:r>
        <w:t xml:space="preserve">Merging outcome, weather, population, and prices on a</w:t>
      </w:r>
      <w:r>
        <w:t xml:space="preserve"> </w:t>
      </w:r>
      <w:r>
        <w:t xml:space="preserve">canonical country identifier — every merge routed through an explicit ISO3 ↔</w:t>
      </w:r>
      <w:r>
        <w:t xml:space="preserve"> </w:t>
      </w:r>
      <w:r>
        <w:t xml:space="preserve">Eurostat ↔ FAOSTAT crosswalk, never raw names, to avoid coding traps (Greece</w:t>
      </w:r>
      <w:r>
        <w:t xml:space="preserve"> </w:t>
      </w:r>
      <w:r>
        <w:rPr>
          <w:rStyle w:val="VerbatimChar"/>
        </w:rPr>
        <w:t xml:space="preserve">EL ≠ GR</w:t>
      </w:r>
      <w:r>
        <w:t xml:space="preserve">, the United Kingdom</w:t>
      </w:r>
      <w:r>
        <w:t xml:space="preserve"> </w:t>
      </w:r>
      <w:r>
        <w:rPr>
          <w:rStyle w:val="VerbatimChar"/>
        </w:rPr>
        <w:t xml:space="preserve">UK ≠ GB</w:t>
      </w:r>
      <w:r>
        <w:t xml:space="preserve">, and similar) — yields the energy panel</w:t>
      </w:r>
      <w:r>
        <w:t xml:space="preserve"> </w:t>
      </w:r>
      <w:r>
        <w:t xml:space="preserve">(2,924 rows; 29 countries; 1990–2024). Coverage gaps are automatic consequences</w:t>
      </w:r>
      <w:r>
        <w:t xml:space="preserve"> </w:t>
      </w:r>
      <w:r>
        <w:t xml:space="preserve">of data availability, not choices: Switzerland has no household-energy outcome,</w:t>
      </w:r>
      <w:r>
        <w:t xml:space="preserve"> </w:t>
      </w:r>
      <w:r>
        <w:t xml:space="preserve">Norway (and Cyprus, Finland, Malta) have no household gas price and so drop from</w:t>
      </w:r>
      <w:r>
        <w:t xml:space="preserve"> </w:t>
      </w:r>
      <w:r>
        <w:t xml:space="preserve">the gas regression.</w:t>
      </w:r>
    </w:p>
    <w:bookmarkEnd w:id="12"/>
    <w:bookmarkStart w:id="13" w:name="d5-response-function-specifications"/>
    <w:p>
      <w:pPr>
        <w:pStyle w:val="Heading2"/>
      </w:pPr>
      <w:r>
        <w:t xml:space="preserve">D.5 Response-function specifications</w:t>
      </w:r>
    </w:p>
    <w:p>
      <w:pPr>
        <w:pStyle w:val="FirstParagraph"/>
      </w:pPr>
      <w:r>
        <w:t xml:space="preserve">Both modules share one identification logic (Blanc &amp; Schlenker, 2017). With</w:t>
      </w:r>
      <w:r>
        <w:t xml:space="preserve"> </w:t>
      </w:r>
      <w:r>
        <w:t xml:space="preserve">region and year fixed effects, weather enters each regression as a</w:t>
      </w:r>
      <w:r>
        <w:t xml:space="preserve"> </w:t>
      </w:r>
      <w:r>
        <w:rPr>
          <w:i/>
          <w:iCs/>
        </w:rPr>
        <w:t xml:space="preserve">deviation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local mean</w:t>
      </w:r>
      <w:r>
        <w:t xml:space="preserve">: it is plausibly random, exogenous, and uncorrelated both</w:t>
      </w:r>
      <w:r>
        <w:t xml:space="preserve"> </w:t>
      </w:r>
      <w:r>
        <w:t xml:space="preserve">with time-invariant confounders (soil, baseline climate) and with common shocks</w:t>
      </w:r>
      <w:r>
        <w:t xml:space="preserve"> </w:t>
      </w:r>
      <w:r>
        <w:t xml:space="preserve">(prices, technology). Region-specific quadratic time trends further absorb</w:t>
      </w:r>
      <w:r>
        <w:t xml:space="preserve"> </w:t>
      </w:r>
      <w:r>
        <w:t xml:space="preserve">smooth, region-specific drift (technological yield growth; national efficiency,</w:t>
      </w:r>
      <w:r>
        <w:t xml:space="preserve"> </w:t>
      </w:r>
      <w:r>
        <w:t xml:space="preserve">income, and fuel-switching paths). What remains identifying is the year-to-year</w:t>
      </w:r>
      <w:r>
        <w:t xml:space="preserve"> </w:t>
      </w:r>
      <w:r>
        <w:t xml:space="preserve">weather anomaly, which is what a causal weather→outcome coefficient requires.</w:t>
      </w:r>
    </w:p>
    <w:p>
      <w:pPr>
        <w:pStyle w:val="BodyText"/>
      </w:pPr>
      <w:r>
        <w:rPr>
          <w:b/>
          <w:bCs/>
        </w:rPr>
        <w:t xml:space="preserve">Crop response function</w:t>
      </w:r>
      <w:r>
        <w:t xml:space="preserve"> </w:t>
      </w:r>
      <w:r>
        <w:t xml:space="preserve">(estimated separately for each crop</w:t>
      </w:r>
      <w:r>
        <w:t xml:space="preserve"> </w:t>
      </w:r>
      <w:r>
        <w:rPr>
          <w:i/>
          <w:iCs/>
        </w:rPr>
        <w:t xml:space="preserve">k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ln(Yield_{r,t}) = β₁·GDD_{r,t} + β₂·Heat_{r,t} + β₃·Frost_{r,t}</w:t>
      </w:r>
      <w:r>
        <w:br/>
      </w:r>
      <w:r>
        <w:rPr>
          <w:rStyle w:val="VerbatimChar"/>
        </w:rPr>
        <w:t xml:space="preserve">                + β₄·Precip_{r,t} + β₅·Precip²_{r,t}</w:t>
      </w:r>
      <w:r>
        <w:br/>
      </w:r>
      <w:r>
        <w:rPr>
          <w:rStyle w:val="VerbatimChar"/>
        </w:rPr>
        <w:t xml:space="preserve">                + α_r + λ_t + δ_r·t + γ_r·t² + ε_{r,t}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α_r</w:t>
      </w:r>
      <w:r>
        <w:t xml:space="preserve"> </w:t>
      </w:r>
      <w:r>
        <w:t xml:space="preserve">is the NUTS3 region fixed effect,</w:t>
      </w:r>
      <w:r>
        <w:t xml:space="preserve"> </w:t>
      </w:r>
      <w:r>
        <w:rPr>
          <w:rStyle w:val="VerbatimChar"/>
        </w:rPr>
        <w:t xml:space="preserve">λ_t</w:t>
      </w:r>
      <w:r>
        <w:t xml:space="preserve"> </w:t>
      </w:r>
      <w:r>
        <w:t xml:space="preserve">the year fixed effect, and</w:t>
      </w:r>
      <w:r>
        <w:t xml:space="preserve"> </w:t>
      </w:r>
      <w:r>
        <w:rPr>
          <w:rStyle w:val="VerbatimChar"/>
        </w:rPr>
        <w:t xml:space="preserve">δ_r·t + γ_r·t²</w:t>
      </w:r>
      <w:r>
        <w:t xml:space="preserve"> </w:t>
      </w:r>
      <w:r>
        <w:t xml:space="preserve">the region-specific quadratic trend. The quadratic precipitation</w:t>
      </w:r>
      <w:r>
        <w:t xml:space="preserve"> </w:t>
      </w:r>
      <w:r>
        <w:t xml:space="preserve">term captures the concave rainfall response — rain helps, excess hurts. Standard</w:t>
      </w:r>
      <w:r>
        <w:t xml:space="preserve"> </w:t>
      </w:r>
      <w:r>
        <w:t xml:space="preserve">errors are clustered by country.</w:t>
      </w:r>
    </w:p>
    <w:p>
      <w:pPr>
        <w:pStyle w:val="BodyText"/>
      </w:pPr>
      <w:r>
        <w:rPr>
          <w:b/>
          <w:bCs/>
        </w:rPr>
        <w:t xml:space="preserve">Energy demand function</w:t>
      </w:r>
      <w:r>
        <w:t xml:space="preserve"> </w:t>
      </w:r>
      <w:r>
        <w:t xml:space="preserve">(estimated separately for each fuel):</w:t>
      </w:r>
    </w:p>
    <w:p>
      <w:pPr>
        <w:pStyle w:val="SourceCode"/>
      </w:pPr>
      <w:r>
        <w:rPr>
          <w:rStyle w:val="VerbatimChar"/>
        </w:rPr>
        <w:t xml:space="preserve">ln( E_{c,t} / Pop_{c,t} ) = β₁·HDD_{c,t} + β₂·CDD_{c,t} + β₃·ln(Price_{c,t})</w:t>
      </w:r>
      <w:r>
        <w:br/>
      </w:r>
      <w:r>
        <w:rPr>
          <w:rStyle w:val="VerbatimChar"/>
        </w:rPr>
        <w:t xml:space="preserve">                          + μ_c + λ_t + δ_c·t + γ_c·t² + ε_{c,t}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μ_c</w:t>
      </w:r>
      <w:r>
        <w:t xml:space="preserve"> </w:t>
      </w:r>
      <w:r>
        <w:t xml:space="preserve">the country fixed effect and</w:t>
      </w:r>
      <w:r>
        <w:t xml:space="preserve"> </w:t>
      </w:r>
      <w:r>
        <w:rPr>
          <w:rStyle w:val="VerbatimChar"/>
        </w:rPr>
        <w:t xml:space="preserve">δ_c·t + γ_c·t²</w:t>
      </w:r>
      <w:r>
        <w:t xml:space="preserve"> </w:t>
      </w:r>
      <w:r>
        <w:t xml:space="preserve">the country-specific</w:t>
      </w:r>
      <w:r>
        <w:t xml:space="preserve"> </w:t>
      </w:r>
      <w:r>
        <w:t xml:space="preserve">quadratic trend. Electricity uses calendar-year HDD and June–August CDD; gas uses</w:t>
      </w:r>
      <w:r>
        <w:t xml:space="preserve"> </w:t>
      </w:r>
      <w:r>
        <w:t xml:space="preserve">the October–March heating-season HDD and no CDD. Standard errors are clustered by</w:t>
      </w:r>
      <w:r>
        <w:t xml:space="preserve"> </w:t>
      </w:r>
      <w:r>
        <w:t xml:space="preserve">country.</w:t>
      </w:r>
    </w:p>
    <w:p>
      <w:pPr>
        <w:pStyle w:val="BodyText"/>
      </w:pPr>
      <w:r>
        <w:t xml:space="preserve">The two functions share the</w:t>
      </w:r>
      <w:r>
        <w:t xml:space="preserve"> </w:t>
      </w:r>
      <w:r>
        <w:rPr>
          <w:b/>
          <w:bCs/>
        </w:rPr>
        <w:t xml:space="preserve">same fixed-effects benchmark</w:t>
      </w:r>
      <w:r>
        <w:t xml:space="preserve"> </w:t>
      </w:r>
      <w:r>
        <w:t xml:space="preserve">— unit fixed effect,</w:t>
      </w:r>
      <w:r>
        <w:t xml:space="preserve"> </w:t>
      </w:r>
      <w:r>
        <w:t xml:space="preserve">year fixed effect, and unit-specific quadratic trend — deliberately, so that crop</w:t>
      </w:r>
      <w:r>
        <w:t xml:space="preserve"> </w:t>
      </w:r>
      <w:r>
        <w:t xml:space="preserve">and energy rest on one common specification. Each is presented as a build-up</w:t>
      </w:r>
      <w:r>
        <w:t xml:space="preserve"> </w:t>
      </w:r>
      <w:r>
        <w:t xml:space="preserve">(pooled OLS → two-way fixed effects → the benchmark with trends), on the NUTS3</w:t>
      </w:r>
      <w:r>
        <w:t xml:space="preserve"> </w:t>
      </w:r>
      <w:r>
        <w:t xml:space="preserve">and mixed samples for crop, and pooled OLS → year fixed effects → country trends</w:t>
      </w:r>
      <w:r>
        <w:t xml:space="preserve"> </w:t>
      </w:r>
      <w:r>
        <w:t xml:space="preserve">→ benchmark for energy. The build-up is reported in full rather than only the</w:t>
      </w:r>
      <w:r>
        <w:t xml:space="preserve"> </w:t>
      </w:r>
      <w:r>
        <w:t xml:space="preserve">preferred column because it makes visible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benchmark is needed: with</w:t>
      </w:r>
      <w:r>
        <w:t xml:space="preserve"> </w:t>
      </w:r>
      <w:r>
        <w:t xml:space="preserve">year fixed effects alone, the spatially correlated common European weather (a</w:t>
      </w:r>
      <w:r>
        <w:t xml:space="preserve"> </w:t>
      </w:r>
      <w:r>
        <w:t xml:space="preserve">cold winter hits every country at once) is absorbed by</w:t>
      </w:r>
      <w:r>
        <w:t xml:space="preserve"> </w:t>
      </w:r>
      <w:r>
        <w:rPr>
          <w:rStyle w:val="VerbatimChar"/>
        </w:rPr>
        <w:t xml:space="preserve">λ_t</w:t>
      </w:r>
      <w:r>
        <w:t xml:space="preserve">, leaving HDD</w:t>
      </w:r>
      <w:r>
        <w:t xml:space="preserve"> </w:t>
      </w:r>
      <w:r>
        <w:t xml:space="preserve">unidentified — insignificant, and wrong-signed for gas. Adding country-specific</w:t>
      </w:r>
      <w:r>
        <w:t xml:space="preserve"> </w:t>
      </w:r>
      <w:r>
        <w:t xml:space="preserve">trends, while retaining year fixed effects for genuinely common shocks, recovers</w:t>
      </w:r>
      <w:r>
        <w:t xml:space="preserve"> </w:t>
      </w:r>
      <w:r>
        <w:t xml:space="preserve">a significant and correctly signed heating response (electricity HDD ≈ 6.5 × 10⁻⁵,</w:t>
      </w:r>
      <w:r>
        <w:t xml:space="preserve"> </w:t>
      </w:r>
      <w:r>
        <w:t xml:space="preserve">gas HDD ≈ 1.4 × 10⁻⁴) and a small but identified cooling response (electricity</w:t>
      </w:r>
      <w:r>
        <w:t xml:space="preserve"> </w:t>
      </w:r>
      <w:r>
        <w:t xml:space="preserve">CDD ≈ 2 × 10⁻⁴), at the highest fit.</w:t>
      </w:r>
    </w:p>
    <w:p>
      <w:pPr>
        <w:pStyle w:val="BodyText"/>
      </w:pPr>
      <w:r>
        <w:t xml:space="preserve">Across the columns of any build-up table the estimation sample is held constant:</w:t>
      </w:r>
      <w:r>
        <w:t xml:space="preserve"> </w:t>
      </w:r>
      <w:r>
        <w:t xml:space="preserve">every column is refitted on the rows retained by the most saturated</w:t>
      </w:r>
      <w:r>
        <w:t xml:space="preserve"> </w:t>
      </w:r>
      <w:r>
        <w:t xml:space="preserve">fixed-effects specification (which drops not only rows with missing values but</w:t>
      </w:r>
      <w:r>
        <w:t xml:space="preserve"> </w:t>
      </w:r>
      <w:r>
        <w:t xml:space="preserve">also singleton fixed-effect groups), so differences across columns reflect the</w:t>
      </w:r>
      <w:r>
        <w:t xml:space="preserve"> </w:t>
      </w:r>
      <w:r>
        <w:t xml:space="preserve">specification alone and not a moving sample.</w:t>
      </w:r>
    </w:p>
    <w:bookmarkEnd w:id="13"/>
    <w:bookmarkStart w:id="14" w:name="d6-inference-and-robustness"/>
    <w:p>
      <w:pPr>
        <w:pStyle w:val="Heading2"/>
      </w:pPr>
      <w:r>
        <w:t xml:space="preserve">D.6 Inference and robustness</w:t>
      </w:r>
    </w:p>
    <w:p>
      <w:pPr>
        <w:pStyle w:val="FirstParagraph"/>
      </w:pPr>
      <w:r>
        <w:t xml:space="preserve">Because the benchmark clusters on country — 15 clusters for crop, 29 for energy —</w:t>
      </w:r>
      <w:r>
        <w:t xml:space="preserve"> </w:t>
      </w:r>
      <w:r>
        <w:t xml:space="preserve">cluster-robust asymptotics are unreliable, and default (independent) standard</w:t>
      </w:r>
      <w:r>
        <w:t xml:space="preserve"> </w:t>
      </w:r>
      <w:r>
        <w:t xml:space="preserve">errors are never used. On the benchmark specification the estimation reports, in</w:t>
      </w:r>
      <w:r>
        <w:t xml:space="preserve"> </w:t>
      </w:r>
      <w:r>
        <w:t xml:space="preserve">addition to the clustered standard errors: (i) two-way clustering by country and</w:t>
      </w:r>
      <w:r>
        <w:t xml:space="preserve"> </w:t>
      </w:r>
      <w:r>
        <w:t xml:space="preserve">year, to allow for common time shocks; and (ii) a restricted wild-cluster</w:t>
      </w:r>
      <w:r>
        <w:t xml:space="preserve"> </w:t>
      </w:r>
      <w:r>
        <w:t xml:space="preserve">bootstrap (Rademacher weights, null imposed; Cameron, Gelbach &amp; Miller, 2008;</w:t>
      </w:r>
      <w:r>
        <w:t xml:space="preserve"> </w:t>
      </w:r>
      <w:r>
        <w:t xml:space="preserve">Roodman et al., 2019), computed on the fixed-effect-partialled model so that each</w:t>
      </w:r>
      <w:r>
        <w:t xml:space="preserve"> </w:t>
      </w:r>
      <w:r>
        <w:t xml:space="preserve">resample is a matrix operation rather than a full re-fit. A measurement-error</w:t>
      </w:r>
      <w:r>
        <w:t xml:space="preserve"> </w:t>
      </w:r>
      <w:r>
        <w:t xml:space="preserve">check re-estimates the benchmark after dropping the units whose grid centroid was</w:t>
      </w:r>
      <w:r>
        <w:t xml:space="preserve"> </w:t>
      </w:r>
      <w:r>
        <w:t xml:space="preserve">snapped to a non-local E-OBS cell (the Ionian NUTS3 for crop; Malta for energy);</w:t>
      </w:r>
      <w:r>
        <w:t xml:space="preserve"> </w:t>
      </w:r>
      <w:r>
        <w:t xml:space="preserve">these units are few and the estimates are unchanged, so the check is reported as</w:t>
      </w:r>
      <w:r>
        <w:t xml:space="preserve"> </w:t>
      </w:r>
      <w:r>
        <w:t xml:space="preserve">a defence rather than a live concern.</w:t>
      </w:r>
    </w:p>
    <w:p>
      <w:pPr>
        <w:pStyle w:val="BodyText"/>
      </w:pPr>
      <w:r>
        <w:t xml:space="preserve">For crop, a long-difference design (Burke &amp; Emerick, 2016) is estimated as a</w:t>
      </w:r>
      <w:r>
        <w:t xml:space="preserve"> </w:t>
      </w:r>
      <w:r>
        <w:t xml:space="preserve">complementary</w:t>
      </w:r>
      <w:r>
        <w:t xml:space="preserve"> </w:t>
      </w:r>
      <w:r>
        <w:rPr>
          <w:b/>
          <w:bCs/>
        </w:rPr>
        <w:t xml:space="preserve">long-run bound</w:t>
      </w:r>
      <w:r>
        <w:t xml:space="preserve">: the long change in mean log yield is regressed</w:t>
      </w:r>
      <w:r>
        <w:t xml:space="preserve"> </w:t>
      </w:r>
      <w:r>
        <w:t xml:space="preserve">on the long change in mean climate across the 816 NUTS3 (early window 1999–2005</w:t>
      </w:r>
      <w:r>
        <w:t xml:space="preserve"> </w:t>
      </w:r>
      <w:r>
        <w:t xml:space="preserve">versus late 2016–2022, country fixed effects, area weights), so that</w:t>
      </w:r>
      <w:r>
        <w:t xml:space="preserve"> </w:t>
      </w:r>
      <w:r>
        <w:t xml:space="preserve">cross-sectional variation in climate</w:t>
      </w:r>
      <w:r>
        <w:t xml:space="preserve"> </w:t>
      </w:r>
      <w:r>
        <w:rPr>
          <w:i/>
          <w:iCs/>
        </w:rPr>
        <w:t xml:space="preserve">trends</w:t>
      </w:r>
      <w:r>
        <w:t xml:space="preserve"> </w:t>
      </w:r>
      <w:r>
        <w:t xml:space="preserve">identifies a response that permits</w:t>
      </w:r>
      <w:r>
        <w:t xml:space="preserve"> </w:t>
      </w:r>
      <w:r>
        <w:t xml:space="preserve">partial adaptation. It is reported as a bound rather than a point estimate,</w:t>
      </w:r>
      <w:r>
        <w:t xml:space="preserve"> </w:t>
      </w:r>
      <w:r>
        <w:t xml:space="preserve">because a record of about three decades with a modest trend leaves it imprecise.</w:t>
      </w:r>
      <w:r>
        <w:t xml:space="preserve"> </w:t>
      </w:r>
      <w:r>
        <w:t xml:space="preserve">The same design is not applied to energy, whose 29 cross-sectional units provide</w:t>
      </w:r>
      <w:r>
        <w:t xml:space="preserve"> </w:t>
      </w:r>
      <w:r>
        <w:t xml:space="preserve">too little identifying variation.</w:t>
      </w:r>
    </w:p>
    <w:bookmarkEnd w:id="14"/>
    <w:bookmarkStart w:id="15" w:name="d7-assumptions-and-limitations"/>
    <w:p>
      <w:pPr>
        <w:pStyle w:val="Heading2"/>
      </w:pPr>
      <w:r>
        <w:t xml:space="preserve">D.7 Assumptions and limitations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Transient versus permanent climate (the central caveat for the replay).</w:t>
      </w:r>
      <w:r>
        <w:t xml:space="preserve"> </w:t>
      </w:r>
      <w:r>
        <w:t xml:space="preserve">Panel fixed-effects models identify the response to</w:t>
      </w:r>
      <w:r>
        <w:t xml:space="preserve"> </w:t>
      </w:r>
      <w:r>
        <w:rPr>
          <w:i/>
          <w:iCs/>
        </w:rPr>
        <w:t xml:space="preserve">transient</w:t>
      </w:r>
      <w:r>
        <w:t xml:space="preserve"> </w:t>
      </w:r>
      <w:r>
        <w:t xml:space="preserve">weather</w:t>
      </w:r>
      <w:r>
        <w:t xml:space="preserve"> </w:t>
      </w:r>
      <w:r>
        <w:t xml:space="preserve">anomalies. A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shift, such as an AMOC-weakening scenario, may elicit</w:t>
      </w:r>
      <w:r>
        <w:t xml:space="preserve"> </w:t>
      </w:r>
      <w:r>
        <w:t xml:space="preserve">a different — possibly opposite-signed — long-run response as agents adapt</w:t>
      </w:r>
      <w:r>
        <w:t xml:space="preserve"> </w:t>
      </w:r>
      <w:r>
        <w:t xml:space="preserve">(rotations, varieties, capital). The envelope theorem licenses using panel</w:t>
      </w:r>
      <w:r>
        <w:t xml:space="preserve"> </w:t>
      </w:r>
      <w:r>
        <w:t xml:space="preserve">variation for a</w:t>
      </w:r>
      <w:r>
        <w:t xml:space="preserve"> </w:t>
      </w:r>
      <w:r>
        <w:rPr>
          <w:i/>
          <w:iCs/>
        </w:rPr>
        <w:t xml:space="preserve">marginal</w:t>
      </w:r>
      <w:r>
        <w:t xml:space="preserve"> </w:t>
      </w:r>
      <w:r>
        <w:t xml:space="preserve">change; a large AMOC shift is plausibly</w:t>
      </w:r>
      <w:r>
        <w:t xml:space="preserve"> </w:t>
      </w:r>
      <w:r>
        <w:t xml:space="preserve">non-marginal, so the estimates are best read as short-run responses, bounded</w:t>
      </w:r>
      <w:r>
        <w:t xml:space="preserve"> </w:t>
      </w:r>
      <w:r>
        <w:t xml:space="preserve">above (for crop) by the long-difference design of §D.6.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Direction of the adaptation gap is scenario-specific.</w:t>
      </w:r>
      <w:r>
        <w:t xml:space="preserve"> </w:t>
      </w:r>
      <w:r>
        <w:t xml:space="preserve">The sign of the</w:t>
      </w:r>
      <w:r>
        <w:t xml:space="preserve"> </w:t>
      </w:r>
      <w:r>
        <w:t xml:space="preserve">short-run/long-run wedge cannot be imported wholesale from the warming</w:t>
      </w:r>
      <w:r>
        <w:t xml:space="preserve"> </w:t>
      </w:r>
      <w:r>
        <w:t xml:space="preserve">literature. Auffhammer (2022) finds that panel estimates</w:t>
      </w:r>
      <w:r>
        <w:t xml:space="preserve"> </w:t>
      </w:r>
      <w:r>
        <w:rPr>
          <w:i/>
          <w:iCs/>
        </w:rPr>
        <w:t xml:space="preserve">understate</w:t>
      </w:r>
      <w:r>
        <w:t xml:space="preserve"> </w:t>
      </w:r>
      <w:r>
        <w:t xml:space="preserve">the</w:t>
      </w:r>
      <w:r>
        <w:t xml:space="preserve"> </w:t>
      </w:r>
      <w:r>
        <w:t xml:space="preserve">long-run electricity impact of</w:t>
      </w:r>
      <w:r>
        <w:t xml:space="preserve"> </w:t>
      </w:r>
      <w:r>
        <w:rPr>
          <w:i/>
          <w:iCs/>
        </w:rPr>
        <w:t xml:space="preserve">warming</w:t>
      </w:r>
      <w:r>
        <w:t xml:space="preserve"> </w:t>
      </w:r>
      <w:r>
        <w:t xml:space="preserve">because they miss extensive-margin</w:t>
      </w:r>
      <w:r>
        <w:t xml:space="preserve"> </w:t>
      </w:r>
      <w:r>
        <w:t xml:space="preserve">air-conditioning adoption; an AMOC scenario is one of</w:t>
      </w:r>
      <w:r>
        <w:t xml:space="preserve"> </w:t>
      </w:r>
      <w:r>
        <w:rPr>
          <w:i/>
          <w:iCs/>
        </w:rPr>
        <w:t xml:space="preserve">cooling</w:t>
      </w:r>
      <w:r>
        <w:t xml:space="preserve">, where the</w:t>
      </w:r>
      <w:r>
        <w:t xml:space="preserve"> </w:t>
      </w:r>
      <w:r>
        <w:t xml:space="preserve">relevant extensive margin is heating capital and the sign of the gap is a</w:t>
      </w:r>
      <w:r>
        <w:t xml:space="preserve"> </w:t>
      </w:r>
      <w:r>
        <w:t xml:space="preserve">distinct argument. The gap is therefore stated in both directions rather than</w:t>
      </w:r>
      <w:r>
        <w:t xml:space="preserve"> </w:t>
      </w:r>
      <w:r>
        <w:t xml:space="preserve">assumed.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Precipitation is not temperature.</w:t>
      </w:r>
      <w:r>
        <w:t xml:space="preserve"> </w:t>
      </w:r>
      <w:r>
        <w:t xml:space="preserve">The panel recovers the long-run response</w:t>
      </w:r>
      <w:r>
        <w:t xml:space="preserve"> </w:t>
      </w:r>
      <w:r>
        <w:t xml:space="preserve">for temperature but not for precipitation (Mérel &amp; Gammans, 2021; shown for</w:t>
      </w:r>
      <w:r>
        <w:t xml:space="preserve"> </w:t>
      </w:r>
      <w:r>
        <w:t xml:space="preserve">French cereals, present in this panel, by Gammans, Mérel &amp; Ortiz-Bobea, 2017).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Precip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Precip²</w:t>
      </w:r>
      <w:r>
        <w:t xml:space="preserve"> </w:t>
      </w:r>
      <w:r>
        <w:t xml:space="preserve">terms are therefore not given a long-run structural</w:t>
      </w:r>
      <w:r>
        <w:t xml:space="preserve"> </w:t>
      </w:r>
      <w:r>
        <w:t xml:space="preserve">reading in the replay, even where the degree-day terms may be.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Measurement-error attenuation.</w:t>
      </w:r>
      <w:r>
        <w:t xml:space="preserve"> </w:t>
      </w:r>
      <w:r>
        <w:t xml:space="preserve">Fixed effects absorb between-unit variation,</w:t>
      </w:r>
      <w:r>
        <w:t xml:space="preserve"> </w:t>
      </w:r>
      <w:r>
        <w:t xml:space="preserve">so interpolation noise in the gridded weather attenuates coefficients toward</w:t>
      </w:r>
      <w:r>
        <w:t xml:space="preserve"> </w:t>
      </w:r>
      <w:r>
        <w:t xml:space="preserve">zero, an effect the literature shows can halve estimated impacts (Fisher et</w:t>
      </w:r>
      <w:r>
        <w:t xml:space="preserve"> </w:t>
      </w:r>
      <w:r>
        <w:t xml:space="preserve">al., 2012). The snapped-unit robustness check (§D.6) bounds the part of this</w:t>
      </w:r>
      <w:r>
        <w:t xml:space="preserve"> </w:t>
      </w:r>
      <w:r>
        <w:t xml:space="preserve">error attributable to non-local grid assignment.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Income confounding is handled by assumption, not by a control.</w:t>
      </w:r>
      <w:r>
        <w:t xml:space="preserve"> </w:t>
      </w:r>
      <w:r>
        <w:t xml:space="preserve">No GDP</w:t>
      </w:r>
      <w:r>
        <w:t xml:space="preserve"> </w:t>
      </w:r>
      <w:r>
        <w:t xml:space="preserve">control is included. The unit-specific quadratic trends already absorb smooth</w:t>
      </w:r>
      <w:r>
        <w:t xml:space="preserve"> </w:t>
      </w:r>
      <w:r>
        <w:t xml:space="preserve">national income paths, and identification runs off exogenous weather</w:t>
      </w:r>
      <w:r>
        <w:t xml:space="preserve"> </w:t>
      </w:r>
      <w:r>
        <w:t xml:space="preserve">anomalies, which would bias the weather coefficient only if income shocks</w:t>
      </w:r>
      <w:r>
        <w:t xml:space="preserve"> </w:t>
      </w:r>
      <w:r>
        <w:t xml:space="preserve">correlated with weather anomalies within a country-year — a second-order</w:t>
      </w:r>
      <w:r>
        <w:t xml:space="preserve"> </w:t>
      </w:r>
      <w:r>
        <w:t xml:space="preserve">concern. A GDP control would additionally be a</w:t>
      </w:r>
      <w:r>
        <w:t xml:space="preserve"> </w:t>
      </w:r>
      <w:r>
        <w:rPr>
          <w:i/>
          <w:iCs/>
        </w:rPr>
        <w:t xml:space="preserve">bad control</w:t>
      </w:r>
      <w:r>
        <w:t xml:space="preserve"> </w:t>
      </w:r>
      <w:r>
        <w:t xml:space="preserve">for the jointly</w:t>
      </w:r>
      <w:r>
        <w:t xml:space="preserve"> </w:t>
      </w:r>
      <w:r>
        <w:t xml:space="preserve">determined energy–income relationship (Auffhammer &amp; Mansur, 2014).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Cooling response is modest.</w:t>
      </w:r>
      <w:r>
        <w:t xml:space="preserve"> </w:t>
      </w:r>
      <w:r>
        <w:t xml:space="preserve">The identified electricity CDD coefficient is</w:t>
      </w:r>
      <w:r>
        <w:t xml:space="preserve"> </w:t>
      </w:r>
      <w:r>
        <w:t xml:space="preserve">small in absolute terms, reflecting genuinely low historical European</w:t>
      </w:r>
      <w:r>
        <w:t xml:space="preserve"> </w:t>
      </w:r>
      <w:r>
        <w:t xml:space="preserve">household cooling demand (limited air-conditioning). It matters little for an</w:t>
      </w:r>
      <w:r>
        <w:t xml:space="preserve"> </w:t>
      </w:r>
      <w:r>
        <w:t xml:space="preserve">AMOC</w:t>
      </w:r>
      <w:r>
        <w:t xml:space="preserve"> </w:t>
      </w:r>
      <w:r>
        <w:rPr>
          <w:i/>
          <w:iCs/>
        </w:rPr>
        <w:t xml:space="preserve">cooling</w:t>
      </w:r>
      <w:r>
        <w:t xml:space="preserve"> </w:t>
      </w:r>
      <w:r>
        <w:t xml:space="preserve">scenario, in which HDD is the load-bearing covariate, but it is</w:t>
      </w:r>
      <w:r>
        <w:t xml:space="preserve"> </w:t>
      </w:r>
      <w:r>
        <w:t xml:space="preserve">reported because it is now identified rather than absorbed.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References.</w:t>
      </w:r>
      <w:r>
        <w:t xml:space="preserve"> </w:t>
      </w:r>
      <w:r>
        <w:t xml:space="preserve">Auffhammer, M. (2022). Climate adaptive response estimation: Short and long run</w:t>
      </w:r>
      <w:r>
        <w:t xml:space="preserve"> </w:t>
      </w:r>
      <w:r>
        <w:t xml:space="preserve">impacts of climate change on residential electricity and natural gas</w:t>
      </w:r>
      <w:r>
        <w:t xml:space="preserve"> </w:t>
      </w:r>
      <w:r>
        <w:t xml:space="preserve">consumption.</w:t>
      </w:r>
      <w:r>
        <w:t xml:space="preserve"> </w:t>
      </w:r>
      <w:r>
        <w:rPr>
          <w:i/>
          <w:iCs/>
        </w:rPr>
        <w:t xml:space="preserve">Journal of Environmental Economics and Management</w:t>
      </w:r>
      <w:r>
        <w:t xml:space="preserve">, 114, 102669.</w:t>
      </w:r>
      <w:r>
        <w:t xml:space="preserve"> </w:t>
      </w:r>
      <w:r>
        <w:t xml:space="preserve">Auffhammer, M., &amp; Mansur, E. T. (2014). Measuring climatic impacts on energy</w:t>
      </w:r>
      <w:r>
        <w:t xml:space="preserve"> </w:t>
      </w:r>
      <w:r>
        <w:t xml:space="preserve">consumption: A review of the empirical literature.</w:t>
      </w:r>
      <w:r>
        <w:t xml:space="preserve"> </w:t>
      </w:r>
      <w:r>
        <w:rPr>
          <w:i/>
          <w:iCs/>
        </w:rPr>
        <w:t xml:space="preserve">Energy Economics</w:t>
      </w:r>
      <w:r>
        <w:t xml:space="preserve">, 46,</w:t>
      </w:r>
      <w:r>
        <w:t xml:space="preserve"> </w:t>
      </w:r>
      <w:r>
        <w:t xml:space="preserve">522–530.</w:t>
      </w:r>
      <w:r>
        <w:t xml:space="preserve"> </w:t>
      </w:r>
      <w:r>
        <w:t xml:space="preserve">Blanc, E., &amp; Schlenker, W. (2017). The use of panel models in assessments of</w:t>
      </w:r>
      <w:r>
        <w:t xml:space="preserve"> </w:t>
      </w:r>
      <w:r>
        <w:t xml:space="preserve">climate impacts on agriculture.</w:t>
      </w:r>
      <w:r>
        <w:t xml:space="preserve"> </w:t>
      </w:r>
      <w:r>
        <w:rPr>
          <w:i/>
          <w:iCs/>
        </w:rPr>
        <w:t xml:space="preserve">Review of Environmental Economics and Policy</w:t>
      </w:r>
      <w:r>
        <w:t xml:space="preserve">,</w:t>
      </w:r>
      <w:r>
        <w:t xml:space="preserve"> </w:t>
      </w:r>
      <w:r>
        <w:t xml:space="preserve">11(2), 258–279.</w:t>
      </w:r>
      <w:r>
        <w:t xml:space="preserve"> </w:t>
      </w:r>
      <w:r>
        <w:t xml:space="preserve">Burke, M., &amp; Emerick, K. (2016). Adaptation to climate change: Evidence from US</w:t>
      </w:r>
      <w:r>
        <w:t xml:space="preserve"> </w:t>
      </w:r>
      <w:r>
        <w:t xml:space="preserve">agriculture.</w:t>
      </w:r>
      <w:r>
        <w:t xml:space="preserve"> </w:t>
      </w:r>
      <w:r>
        <w:rPr>
          <w:i/>
          <w:iCs/>
        </w:rPr>
        <w:t xml:space="preserve">American Economic Journal: Economic Policy</w:t>
      </w:r>
      <w:r>
        <w:t xml:space="preserve">, 8(3), 106–140.</w:t>
      </w:r>
      <w:r>
        <w:t xml:space="preserve"> </w:t>
      </w:r>
      <w:r>
        <w:t xml:space="preserve">Cameron, A. C., Gelbach, J. B., &amp; Miller, D. L. (2008). Bootstrap-based</w:t>
      </w:r>
      <w:r>
        <w:t xml:space="preserve"> </w:t>
      </w:r>
      <w:r>
        <w:t xml:space="preserve">improvements for inference with clustered errors.</w:t>
      </w:r>
      <w:r>
        <w:t xml:space="preserve"> </w:t>
      </w:r>
      <w:r>
        <w:rPr>
          <w:i/>
          <w:iCs/>
        </w:rPr>
        <w:t xml:space="preserve">Review of Economics and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, 90(3), 414–427.</w:t>
      </w:r>
      <w:r>
        <w:t xml:space="preserve"> </w:t>
      </w:r>
      <w:r>
        <w:t xml:space="preserve">Cornes, R. C., et al. (2018). An ensemble version of the E-OBS temperature and</w:t>
      </w:r>
      <w:r>
        <w:t xml:space="preserve"> </w:t>
      </w:r>
      <w:r>
        <w:t xml:space="preserve">precipitation data sets.</w:t>
      </w:r>
      <w:r>
        <w:t xml:space="preserve"> </w:t>
      </w:r>
      <w:r>
        <w:rPr>
          <w:i/>
          <w:iCs/>
        </w:rPr>
        <w:t xml:space="preserve">Journal of Geophysical Research: Atmospheres</w:t>
      </w:r>
      <w:r>
        <w:t xml:space="preserve">, 123,</w:t>
      </w:r>
      <w:r>
        <w:t xml:space="preserve"> </w:t>
      </w:r>
      <w:r>
        <w:t xml:space="preserve">9391–9409.</w:t>
      </w:r>
      <w:r>
        <w:t xml:space="preserve"> </w:t>
      </w:r>
      <w:r>
        <w:t xml:space="preserve">Fisher, A. C., Hanemann, W. M., Roberts, M. J., &amp; Schlenker, W. (2012). The</w:t>
      </w:r>
      <w:r>
        <w:t xml:space="preserve"> </w:t>
      </w:r>
      <w:r>
        <w:t xml:space="preserve">economic impacts of climate change: Comment.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, 102(7),</w:t>
      </w:r>
      <w:r>
        <w:t xml:space="preserve"> </w:t>
      </w:r>
      <w:r>
        <w:t xml:space="preserve">3749–3760.</w:t>
      </w:r>
      <w:r>
        <w:t xml:space="preserve"> </w:t>
      </w:r>
      <w:r>
        <w:t xml:space="preserve">Gammans, M., Mérel, P., &amp; Ortiz-Bobea, A. (2017). Negative impacts of climate</w:t>
      </w:r>
      <w:r>
        <w:t xml:space="preserve"> </w:t>
      </w:r>
      <w:r>
        <w:t xml:space="preserve">change on cereal yields: Statistical evidence from France.</w:t>
      </w:r>
      <w:r>
        <w:t xml:space="preserve"> </w:t>
      </w:r>
      <w:r>
        <w:rPr>
          <w:i/>
          <w:iCs/>
        </w:rPr>
        <w:t xml:space="preserve">Environmental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Letters</w:t>
      </w:r>
      <w:r>
        <w:t xml:space="preserve">, 12(5), 054007.</w:t>
      </w:r>
      <w:r>
        <w:t xml:space="preserve"> </w:t>
      </w:r>
      <w:r>
        <w:t xml:space="preserve">Kolstad, C. D., &amp; Moore, F. C. (2020). Estimating the economic impacts of climate</w:t>
      </w:r>
      <w:r>
        <w:t xml:space="preserve"> </w:t>
      </w:r>
      <w:r>
        <w:t xml:space="preserve">change using weather observations.</w:t>
      </w:r>
      <w:r>
        <w:t xml:space="preserve"> </w:t>
      </w:r>
      <w:r>
        <w:rPr>
          <w:i/>
          <w:iCs/>
        </w:rPr>
        <w:t xml:space="preserve">Review of Environmental Economics and</w:t>
      </w:r>
      <w:r>
        <w:rPr>
          <w:i/>
          <w:iCs/>
        </w:rPr>
        <w:t xml:space="preserve"> </w:t>
      </w:r>
      <w:r>
        <w:rPr>
          <w:i/>
          <w:iCs/>
        </w:rPr>
        <w:t xml:space="preserve">Policy</w:t>
      </w:r>
      <w:r>
        <w:t xml:space="preserve">, 14(1), 1–24.</w:t>
      </w:r>
      <w:r>
        <w:t xml:space="preserve"> </w:t>
      </w:r>
      <w:r>
        <w:t xml:space="preserve">Mérel, P., &amp; Gammans, M. (2021). Climate econometrics: Can the panel approach</w:t>
      </w:r>
      <w:r>
        <w:t xml:space="preserve"> </w:t>
      </w:r>
      <w:r>
        <w:t xml:space="preserve">account for long-run adaptation?</w:t>
      </w:r>
      <w:r>
        <w:t xml:space="preserve"> </w:t>
      </w:r>
      <w:r>
        <w:rPr>
          <w:i/>
          <w:iCs/>
        </w:rPr>
        <w:t xml:space="preserve">American Journal of Agricultural Economics</w:t>
      </w:r>
      <w:r>
        <w:t xml:space="preserve">,</w:t>
      </w:r>
      <w:r>
        <w:t xml:space="preserve"> </w:t>
      </w:r>
      <w:r>
        <w:t xml:space="preserve">103(4), 1207–1238.</w:t>
      </w:r>
      <w:r>
        <w:t xml:space="preserve"> </w:t>
      </w:r>
      <w:r>
        <w:t xml:space="preserve">Ronchetti, G., et al. (2024). Harmonized European Union subnational crop</w:t>
      </w:r>
      <w:r>
        <w:t xml:space="preserve"> </w:t>
      </w:r>
      <w:r>
        <w:t xml:space="preserve">statistics.</w:t>
      </w:r>
      <w:r>
        <w:t xml:space="preserve"> </w:t>
      </w:r>
      <w:r>
        <w:rPr>
          <w:i/>
          <w:iCs/>
        </w:rPr>
        <w:t xml:space="preserve">Earth System Science Data</w:t>
      </w:r>
      <w:r>
        <w:t xml:space="preserve">, 16, 1623–1649.</w:t>
      </w:r>
      <w:r>
        <w:t xml:space="preserve"> </w:t>
      </w:r>
      <w:r>
        <w:t xml:space="preserve">Roodman, D., MacKinnon, J. G., Nielsen, M. Ø., &amp; Webb, M. D. (2019). Fast and</w:t>
      </w:r>
      <w:r>
        <w:t xml:space="preserve"> </w:t>
      </w:r>
      <w:r>
        <w:t xml:space="preserve">wild: Bootstrap inference in Stata using boottest.</w:t>
      </w:r>
      <w:r>
        <w:t xml:space="preserve"> </w:t>
      </w:r>
      <w:r>
        <w:rPr>
          <w:i/>
          <w:iCs/>
        </w:rPr>
        <w:t xml:space="preserve">The Stata Journal</w:t>
      </w:r>
      <w:r>
        <w:t xml:space="preserve">, 19(1),</w:t>
      </w:r>
      <w:r>
        <w:t xml:space="preserve"> </w:t>
      </w:r>
      <w:r>
        <w:t xml:space="preserve">4–60.</w:t>
      </w:r>
      <w:r>
        <w:t xml:space="preserve"> </w:t>
      </w:r>
      <w:r>
        <w:t xml:space="preserve">Schlenker, W., &amp; Roberts, M. J. (2009). Nonlinear temperature effects indicate</w:t>
      </w:r>
      <w:r>
        <w:t xml:space="preserve"> </w:t>
      </w:r>
      <w:r>
        <w:t xml:space="preserve">severe damages to U.S. crop yields under climate change.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Academy of Sciences</w:t>
      </w:r>
      <w:r>
        <w:t xml:space="preserve">, 106(37), 15594–15598.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2026-07-12T18:05:48Z</dcterms:created>
  <dcterms:modified xsi:type="dcterms:W3CDTF">2026-07-12T18:05:48Z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