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0533" w:val="clear"/>
        <w:spacing w:after="0" w:before="0"/>
      </w:pPr>
      <w:r>
        <w:rPr>
          <w:sz w:val="2"/>
          <w:szCs w:val="2"/>
        </w:rPr>
        <w:t xml:space="preserve"/>
      </w:r>
    </w:p>
    <w:p>
      <w:pPr>
        <w:spacing w:after="0" w:before="400"/>
      </w:pPr>
      <w:r>
        <w:t xml:space="preserve"/>
      </w:r>
    </w:p>
    <w:p>
      <w:pPr>
        <w:spacing w:after="100" w:before="400"/>
        <w:jc w:val="center"/>
      </w:pPr>
      <w:r>
        <w:rPr>
          <w:rFonts w:ascii="Segoe UI Emoji" w:cs="Segoe UI Emoji" w:eastAsia="Segoe UI Emoji" w:hAnsi="Segoe UI Emoji"/>
          <w:sz w:val="120"/>
          <w:szCs w:val="120"/>
        </w:rPr>
        <w:t xml:space="preserve">🔬</w:t>
      </w:r>
    </w:p>
    <w:p>
      <w:pPr>
        <w:spacing w:after="60" w:before="0"/>
        <w:jc w:val="center"/>
      </w:pPr>
      <w:r>
        <w:rPr>
          <w:rFonts w:ascii="Arial" w:cs="Arial" w:eastAsia="Arial" w:hAnsi="Arial"/>
          <w:b/>
          <w:bCs/>
          <w:color w:val="00b4cc"/>
          <w:sz w:val="72"/>
          <w:szCs w:val="72"/>
        </w:rPr>
        <w:t xml:space="preserve">Sentence Surgeon</w:t>
      </w:r>
    </w:p>
    <w:p>
      <w:pPr>
        <w:spacing w:after="80" w:before="0"/>
        <w:jc w:val="center"/>
      </w:pPr>
      <w:r>
        <w:rPr>
          <w:rFonts w:ascii="Arial" w:cs="Arial" w:eastAsia="Arial" w:hAnsi="Arial"/>
          <w:i/>
          <w:iCs/>
          <w:color w:val="d4900a"/>
          <w:sz w:val="32"/>
          <w:szCs w:val="32"/>
        </w:rPr>
        <w:t xml:space="preserve">Grammar Game – Progressive Web App</w:t>
      </w:r>
    </w:p>
    <w:p>
      <w:pPr>
        <w:spacing w:after="60" w:before="60"/>
        <w:jc w:val="center"/>
      </w:pPr>
      <w:r>
        <w:rPr>
          <w:rFonts w:ascii="Arial" w:cs="Arial" w:eastAsia="Arial" w:hAnsi="Arial"/>
          <w:color w:val="00b4cc"/>
          <w:sz w:val="24"/>
          <w:szCs w:val="24"/>
        </w:rPr>
        <w:t xml:space="preserve">─────────────────────────────────</w:t>
      </w:r>
    </w:p>
    <w:p>
      <w:pPr>
        <w:spacing w:after="60" w:before="0"/>
        <w:jc w:val="center"/>
      </w:pPr>
      <w:r>
        <w:rPr>
          <w:rFonts w:ascii="Arial" w:cs="Arial" w:eastAsia="Arial" w:hAnsi="Arial"/>
          <w:b/>
          <w:bCs/>
          <w:color w:val="FFFFFF"/>
          <w:sz w:val="40"/>
          <w:szCs w:val="40"/>
        </w:rPr>
        <w:t xml:space="preserve">OFFICIAL DOCUMENTATION</w:t>
      </w:r>
    </w:p>
    <w:p>
      <w:pPr>
        <w:spacing w:after="400" w:before="0"/>
        <w:jc w:val="center"/>
      </w:pPr>
      <w:r>
        <w:rPr>
          <w:rFonts w:ascii="Arial" w:cs="Arial" w:eastAsia="Arial" w:hAnsi="Arial"/>
          <w:i/>
          <w:iCs/>
          <w:color w:val="f5f3ff"/>
          <w:sz w:val="26"/>
          <w:szCs w:val="26"/>
        </w:rPr>
        <w:t xml:space="preserve">Fix Broken Sentences &amp; Master English Grammar!</w:t>
      </w:r>
    </w:p>
    <w:p>
      <w:pPr>
        <w:spacing w:after="40" w:before="100"/>
        <w:jc w:val="center"/>
      </w:pPr>
      <w:r>
        <w:drawing>
          <wp:inline distT="0" distB="0" distL="0" distR="0">
            <wp:extent cx="180975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209675"/>
                    </a:xfrm>
                    <a:prstGeom prst="rect">
                      <a:avLst/>
                    </a:prstGeom>
                  </pic:spPr>
                </pic:pic>
              </a:graphicData>
            </a:graphic>
          </wp:inline>
        </w:drawing>
      </w:r>
    </w:p>
    <w:p>
      <w:pPr>
        <w:spacing w:after="40" w:before="60"/>
        <w:jc w:val="center"/>
      </w:pPr>
      <w:r>
        <w:rPr>
          <w:rFonts w:ascii="Arial" w:cs="Arial" w:eastAsia="Arial" w:hAnsi="Arial"/>
          <w:b/>
          <w:bCs/>
          <w:color w:val="d4900a"/>
          <w:sz w:val="48"/>
          <w:szCs w:val="48"/>
        </w:rPr>
        <w:t xml:space="preserve">Dr. Mateen Yousuf</w:t>
      </w:r>
    </w:p>
    <w:p>
      <w:pPr>
        <w:spacing w:after="30" w:before="0"/>
        <w:jc w:val="center"/>
      </w:pPr>
      <w:r>
        <w:rPr>
          <w:rFonts w:ascii="Arial" w:cs="Arial" w:eastAsia="Arial" w:hAnsi="Arial"/>
          <w:i/>
          <w:iCs/>
          <w:color w:val="00b4cc"/>
          <w:sz w:val="28"/>
          <w:szCs w:val="28"/>
        </w:rPr>
        <w:t xml:space="preserve">Author &amp; Developer</w:t>
      </w:r>
    </w:p>
    <w:p>
      <w:pPr>
        <w:spacing w:after="20" w:before="0"/>
        <w:jc w:val="center"/>
      </w:pPr>
      <w:r>
        <w:rPr>
          <w:rFonts w:ascii="Arial" w:cs="Arial" w:eastAsia="Arial" w:hAnsi="Arial"/>
          <w:color w:val="f5f3ff"/>
          <w:sz w:val="24"/>
          <w:szCs w:val="24"/>
        </w:rPr>
        <w:t xml:space="preserve">Teacher</w:t>
      </w:r>
    </w:p>
    <w:p>
      <w:pPr>
        <w:spacing w:after="20" w:before="0"/>
        <w:jc w:val="center"/>
      </w:pPr>
      <w:r>
        <w:rPr>
          <w:rFonts w:ascii="Arial" w:cs="Arial" w:eastAsia="Arial" w:hAnsi="Arial"/>
          <w:color w:val="f5f3ff"/>
          <w:sz w:val="24"/>
          <w:szCs w:val="24"/>
        </w:rPr>
        <w:t xml:space="preserve">School Education Department, Jammu &amp; Kashmir</w:t>
      </w:r>
    </w:p>
    <w:p>
      <w:pPr>
        <w:spacing w:after="20" w:before="0"/>
        <w:jc w:val="center"/>
      </w:pPr>
      <w:r>
        <w:rPr>
          <w:rFonts w:ascii="Arial" w:cs="Arial" w:eastAsia="Arial" w:hAnsi="Arial"/>
          <w:color w:val="f5f3ff"/>
          <w:sz w:val="24"/>
          <w:szCs w:val="24"/>
        </w:rPr>
        <w:t xml:space="preserve">GGHSS Khanyar, J&amp;K, India</w:t>
      </w:r>
    </w:p>
    <w:p>
      <w:pPr>
        <w:spacing w:after="200" w:before="0"/>
        <w:jc w:val="center"/>
      </w:pPr>
      <w:r>
        <w:rPr>
          <w:rFonts w:ascii="Arial" w:cs="Arial" w:eastAsia="Arial" w:hAnsi="Arial"/>
          <w:color w:val="00b4cc"/>
          <w:sz w:val="22"/>
          <w:szCs w:val="22"/>
        </w:rPr>
        <w:t xml:space="preserve">mateenyousuf.edu@gmail.com</w:t>
      </w:r>
    </w:p>
    <w:p>
      <w:pPr>
        <w:spacing w:after="80" w:before="100"/>
        <w:jc w:val="center"/>
      </w:pPr>
      <w:r>
        <w:rPr>
          <w:rFonts w:ascii="Arial" w:cs="Arial" w:eastAsia="Arial" w:hAnsi="Arial"/>
          <w:color w:val="d4900a"/>
          <w:sz w:val="24"/>
          <w:szCs w:val="24"/>
        </w:rPr>
        <w:t xml:space="preserve">─────────────────────────────────</w:t>
      </w:r>
    </w:p>
    <w:p>
      <w:pPr>
        <w:spacing w:after="40" w:before="0"/>
        <w:jc w:val="center"/>
      </w:pPr>
      <w:r>
        <w:rPr>
          <w:rFonts w:ascii="Arial" w:cs="Arial" w:eastAsia="Arial" w:hAnsi="Arial"/>
          <w:i/>
          <w:iCs/>
          <w:color w:val="f5f3ff"/>
          <w:sz w:val="22"/>
          <w:szCs w:val="22"/>
        </w:rPr>
        <w:t xml:space="preserve">Empowering Young Minds Through Technology &amp; Innovation</w:t>
      </w:r>
    </w:p>
    <w:p>
      <w:pPr>
        <w:spacing w:after="0" w:before="0"/>
        <w:jc w:val="center"/>
      </w:pPr>
      <w:r>
        <w:rPr>
          <w:rFonts w:ascii="Arial" w:cs="Arial" w:eastAsia="Arial" w:hAnsi="Arial"/>
          <w:color w:val="aaaacc"/>
          <w:sz w:val="20"/>
          <w:szCs w:val="20"/>
        </w:rPr>
        <w:t xml:space="preserve">Version 1.0  |  June 2026</w:t>
      </w:r>
    </w:p>
    <w:p>
      <w:pPr>
        <w:sectPr>
          <w:pgSz w:w="12240" w:h="15840" w:orient="portrait"/>
          <w:pgMar w:top="720" w:right="720" w:bottom="720" w:left="720" w:header="708" w:footer="708" w:gutter="0"/>
          <w:pgNumType/>
          <w:docGrid w:linePitch="360"/>
        </w:sectPr>
      </w:pP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1.  Introduction</w:t>
      </w:r>
    </w:p>
    <w:p>
      <w:pPr>
        <w:spacing w:after="0" w:before="120"/>
      </w:pPr>
      <w:r>
        <w:t xml:space="preserve"/>
      </w:r>
    </w:p>
    <w:p>
      <w:pPr>
        <w:spacing w:after="80" w:before="80"/>
        <w:jc w:val="both"/>
      </w:pPr>
      <w:r>
        <w:rPr>
          <w:rFonts w:ascii="Arial" w:cs="Arial" w:eastAsia="Arial" w:hAnsi="Arial"/>
          <w:color w:val="1a0533"/>
          <w:sz w:val="22"/>
          <w:szCs w:val="22"/>
        </w:rPr>
        <w:t xml:space="preserve">Sentence Surgeon is an innovative, gamified Progressive Web App (PWA) designed to help students identify and correct common English grammar errors in a fun, interactive, and self-paced environment. Developed by Dr. Mateen Yousuf of the School Education Department, Jammu &amp; Kashmir, the application bridges the gap between traditional grammar instruction and digital-era learning.</w:t>
      </w:r>
    </w:p>
    <w:p>
      <w:pPr>
        <w:spacing w:after="0" w:before="80"/>
      </w:pPr>
      <w:r>
        <w:t xml:space="preserve"/>
      </w:r>
    </w:p>
    <w:p>
      <w:pPr>
        <w:spacing w:after="80" w:before="80"/>
        <w:jc w:val="both"/>
      </w:pPr>
      <w:r>
        <w:rPr>
          <w:rFonts w:ascii="Arial" w:cs="Arial" w:eastAsia="Arial" w:hAnsi="Arial"/>
          <w:color w:val="1a0533"/>
          <w:sz w:val="22"/>
          <w:szCs w:val="22"/>
        </w:rPr>
        <w:t xml:space="preserve">The app presents learners with intentionally broken sentences and challenges them to type the corrected version. Instant feedback, contextual grammar hints, a leaderboard, and a progress tracker combine to create a compelling educational experience that motivates repeated practice.</w:t>
      </w:r>
    </w:p>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2.  App Overview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bbee" w:sz="4"/>
              <w:left w:val="single" w:color="ccbbee" w:sz="4"/>
              <w:bottom w:val="single" w:color="ccbbee" w:sz="4"/>
              <w:right w:val="single" w:color="ccbbee" w:sz="4"/>
            </w:tcBorders>
            <w:shd w:fill="2d0f5e" w:val="clear"/>
            <w:tcMar>
              <w:top w:type="dxa" w:w="80"/>
              <w:left w:type="dxa" w:w="140"/>
              <w:bottom w:type="dxa" w:w="80"/>
              <w:right w:type="dxa" w:w="100"/>
            </w:tcMar>
            <w:vAlign w:val="center"/>
          </w:tcPr>
          <w:p>
            <w:r>
              <w:rPr>
                <w:rFonts w:ascii="Arial" w:cs="Arial" w:eastAsia="Arial" w:hAnsi="Arial"/>
                <w:b/>
                <w:bCs/>
                <w:color w:val="FFFFFF"/>
                <w:sz w:val="20"/>
                <w:szCs w:val="20"/>
              </w:rPr>
              <w:t xml:space="preserve">Property</w:t>
            </w:r>
          </w:p>
        </w:tc>
        <w:tc>
          <w:tcPr>
            <w:tcW w:type="dxa" w:w="6360"/>
            <w:tcBorders>
              <w:top w:val="single" w:color="ccbbee" w:sz="4"/>
              <w:left w:val="single" w:color="ccbbee" w:sz="4"/>
              <w:bottom w:val="single" w:color="ccbbee" w:sz="4"/>
              <w:right w:val="single" w:color="ccbbee" w:sz="4"/>
            </w:tcBorders>
            <w:shd w:fill="1a0533" w:val="clear"/>
            <w:tcMar>
              <w:top w:type="dxa" w:w="80"/>
              <w:left w:type="dxa" w:w="140"/>
              <w:bottom w:type="dxa" w:w="80"/>
              <w:right w:type="dxa" w:w="100"/>
            </w:tcMar>
            <w:vAlign w:val="center"/>
          </w:tcPr>
          <w:p>
            <w:r>
              <w:rPr>
                <w:rFonts w:ascii="Arial" w:cs="Arial" w:eastAsia="Arial" w:hAnsi="Arial"/>
                <w:b/>
                <w:bCs/>
                <w:color w:val="00b4cc"/>
                <w:sz w:val="20"/>
                <w:szCs w:val="20"/>
              </w:rPr>
              <w:t xml:space="preserve">Details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App Name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Sentence Surgeon – Grammar Game</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Short Name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Sentence Surgeon</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Type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Progressive Web App (PWA)</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Platform</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Browser / Mobile / Desktop (installable)</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Language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English (en-US)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Display Mode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Standalone</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Theme Color</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#0A0A1A (Deep Space)</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Background Color</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#07071A</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Developer</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Dr. Mateen Yousuf</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Institution</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GGHSS Khanyar, School Education Dept., J&amp;K</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Version</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1.0</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Cache Strategy</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Cache-First (Offline Capable)</w:t>
            </w:r>
          </w:p>
        </w:tc>
      </w:tr>
    </w:tbl>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3.  Purpose &amp; Educational Need</w:t>
      </w:r>
    </w:p>
    <w:p>
      <w:pPr>
        <w:spacing w:after="0" w:before="120"/>
      </w:pPr>
      <w:r>
        <w:t xml:space="preserve"/>
      </w:r>
    </w:p>
    <w:p>
      <w:pPr>
        <w:spacing w:after="80" w:before="80"/>
        <w:jc w:val="both"/>
      </w:pPr>
      <w:r>
        <w:rPr>
          <w:rFonts w:ascii="Arial" w:cs="Arial" w:eastAsia="Arial" w:hAnsi="Arial"/>
          <w:color w:val="1a0533"/>
          <w:sz w:val="22"/>
          <w:szCs w:val="22"/>
        </w:rPr>
        <w:t xml:space="preserve">English grammar is a foundational skill across all academic disciplines. Students at the primary, middle, and secondary levels frequently struggle with subject-verb agreement, tense formation, reported speech, and syntactic structures. Traditional textbook exercises often lack immediate feedback and engagement.</w:t>
      </w:r>
    </w:p>
    <w:p>
      <w:pPr>
        <w:spacing w:after="0" w:before="80"/>
      </w:pPr>
      <w:r>
        <w:t xml:space="preserve"/>
      </w:r>
    </w:p>
    <w:p>
      <w:pPr>
        <w:spacing w:after="80" w:before="80"/>
        <w:jc w:val="both"/>
      </w:pPr>
      <w:r>
        <w:rPr>
          <w:rFonts w:ascii="Arial" w:cs="Arial" w:eastAsia="Arial" w:hAnsi="Arial"/>
          <w:color w:val="1a0533"/>
          <w:sz w:val="22"/>
          <w:szCs w:val="22"/>
        </w:rPr>
        <w:t xml:space="preserve">Sentence Surgeon addresses these challenges by providing:</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Immediate, colour-coded feedback (correct / incorrect / hint)</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Graduated difficulty across four progressive levels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Self-paced, anytime-anywhere learning through PWA offline support</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Gamified motivation through scoring, leaderboard, and progress analytics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120 carefully curated, curriculum-aligned grammar exercises</w:t>
      </w:r>
    </w:p>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4.  Features of the Application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c>
          <w:tcPr>
            <w:tcW w:type="dxa" w:w="2200"/>
            <w:tcBorders>
              <w:top w:val="single" w:color="ccbbee" w:sz="4"/>
              <w:left w:val="single" w:color="ccbbee" w:sz="4"/>
              <w:bottom w:val="single" w:color="ccbbee" w:sz="4"/>
              <w:right w:val="single" w:color="ccbbee" w:sz="4"/>
            </w:tcBorders>
            <w:shd w:fill="1a0533" w:val="clear"/>
            <w:tcMar>
              <w:top w:type="dxa" w:w="70"/>
              <w:left w:type="dxa" w:w="120"/>
              <w:bottom w:type="dxa" w:w="70"/>
              <w:right w:type="dxa" w:w="80"/>
            </w:tcMar>
            <w:vAlign w:val="center"/>
          </w:tcPr>
          <w:p>
            <w:r>
              <w:rPr>
                <w:rFonts w:ascii="Arial" w:cs="Arial" w:eastAsia="Arial" w:hAnsi="Arial"/>
                <w:b/>
                <w:bCs/>
                <w:color w:val="d4900a"/>
                <w:sz w:val="20"/>
                <w:szCs w:val="20"/>
              </w:rPr>
              <w:t xml:space="preserve">Feature</w:t>
            </w:r>
          </w:p>
        </w:tc>
        <w:tc>
          <w:tcPr>
            <w:tcW w:type="dxa" w:w="3500"/>
            <w:tcBorders>
              <w:top w:val="single" w:color="ccbbee" w:sz="4"/>
              <w:left w:val="single" w:color="ccbbee" w:sz="4"/>
              <w:bottom w:val="single" w:color="ccbbee" w:sz="4"/>
              <w:right w:val="single" w:color="ccbbee" w:sz="4"/>
            </w:tcBorders>
            <w:shd w:fill="2d0f5e" w:val="clear"/>
            <w:tcMar>
              <w:top w:type="dxa" w:w="70"/>
              <w:left w:type="dxa" w:w="120"/>
              <w:bottom w:type="dxa" w:w="70"/>
              <w:right w:type="dxa" w:w="80"/>
            </w:tcMar>
            <w:vAlign w:val="center"/>
          </w:tcPr>
          <w:p>
            <w:r>
              <w:rPr>
                <w:rFonts w:ascii="Arial" w:cs="Arial" w:eastAsia="Arial" w:hAnsi="Arial"/>
                <w:b/>
                <w:bCs/>
                <w:color w:val="FFFFFF"/>
                <w:sz w:val="20"/>
                <w:szCs w:val="20"/>
              </w:rPr>
              <w:t xml:space="preserve">Description</w:t>
            </w:r>
          </w:p>
        </w:tc>
        <w:tc>
          <w:tcPr>
            <w:tcW w:type="dxa" w:w="3660"/>
            <w:tcBorders>
              <w:top w:val="single" w:color="ccbbee" w:sz="4"/>
              <w:left w:val="single" w:color="ccbbee" w:sz="4"/>
              <w:bottom w:val="single" w:color="ccbbee" w:sz="4"/>
              <w:right w:val="single" w:color="ccbbee" w:sz="4"/>
            </w:tcBorders>
            <w:shd w:fill="3a1a6e" w:val="clear"/>
            <w:tcMar>
              <w:top w:type="dxa" w:w="70"/>
              <w:left w:type="dxa" w:w="120"/>
              <w:bottom w:type="dxa" w:w="70"/>
              <w:right w:type="dxa" w:w="80"/>
            </w:tcMar>
            <w:vAlign w:val="center"/>
          </w:tcPr>
          <w:p>
            <w:r>
              <w:rPr>
                <w:rFonts w:ascii="Arial" w:cs="Arial" w:eastAsia="Arial" w:hAnsi="Arial"/>
                <w:b/>
                <w:bCs/>
                <w:color w:val="FFFFFF"/>
                <w:sz w:val="20"/>
                <w:szCs w:val="20"/>
              </w:rPr>
              <w:t xml:space="preserve">Educational Benefit</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Four Difficulty Levels</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30 questions per level (Basic → Mastery)</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Scaffolded learning; meets diverse learner needs</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120 Grammar Exercises</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Corpus of broken sentences with model answers</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Deep practice; covers full secondary syllabus</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Grammar Hints</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One-tap contextual explanation per question</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Metacognitive support; builds understanding</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Timer (per question)</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Timed challenge mode for advanced players</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Trains fluency under time constraints</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Leaderboard</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Per-level and global score board (localStorage)</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Healthy competition; motivation booster</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Progress Tracker</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Visual dashboard of accuracy &amp; performance</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Self-monitoring; goal-setting support</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Offline Access</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Full functionality with no internet (Service Worker)</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Equitable access in low-connectivity areas</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PWA Installation</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Add to home screen on any OS</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App-like experience; zero install barrier</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Responsive Design</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Adapts to phone, tablet, desktop</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Inclusive; supports BYOD classrooms</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Animated UI</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Glass-morphism, gradient orbs, smooth transitions</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High engagement; modern aesthetic</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Review Mode</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End-of-round answer review with hints</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Reflective learning; error analysis</w:t>
            </w:r>
          </w:p>
        </w:tc>
      </w:tr>
    </w:tbl>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5.  Game Mechanics — How to Play</w:t>
      </w:r>
    </w:p>
    <w:p>
      <w:pPr>
        <w:spacing w:after="0" w:before="120"/>
      </w:pPr>
      <w:r>
        <w:t xml:space="preserve"/>
      </w:r>
    </w:p>
    <w:p>
      <w:pPr>
        <w:spacing w:after="80" w:before="160"/>
      </w:pPr>
      <w:r>
        <w:rPr>
          <w:rFonts w:ascii="Arial" w:cs="Arial" w:eastAsia="Arial" w:hAnsi="Arial"/>
          <w:b/>
          <w:bCs/>
          <w:color w:val="2d0f5e"/>
          <w:sz w:val="24"/>
          <w:szCs w:val="24"/>
        </w:rPr>
        <w:t xml:space="preserve">5.1  Getting Started</w:t>
      </w:r>
    </w:p>
    <w:p>
      <w:pPr>
        <w:spacing w:after="80" w:before="80"/>
        <w:jc w:val="both"/>
      </w:pPr>
      <w:r>
        <w:rPr>
          <w:rFonts w:ascii="Arial" w:cs="Arial" w:eastAsia="Arial" w:hAnsi="Arial"/>
          <w:color w:val="1a0533"/>
          <w:sz w:val="22"/>
          <w:szCs w:val="22"/>
        </w:rPr>
        <w:t xml:space="preserve">Open the app in any modern browser or install it as a PWA from the browser prompt. On the home screen, the player is greeted with the app branding, the author profile card, and four level-selection tiles.</w:t>
      </w:r>
    </w:p>
    <w:p>
      <w:pPr>
        <w:spacing w:after="0" w:before="80"/>
      </w:pPr>
      <w:r>
        <w:t xml:space="preserve"/>
      </w:r>
    </w:p>
    <w:p>
      <w:pPr>
        <w:spacing w:after="80" w:before="160"/>
      </w:pPr>
      <w:r>
        <w:rPr>
          <w:rFonts w:ascii="Arial" w:cs="Arial" w:eastAsia="Arial" w:hAnsi="Arial"/>
          <w:b/>
          <w:bCs/>
          <w:color w:val="2d0f5e"/>
          <w:sz w:val="24"/>
          <w:szCs w:val="24"/>
        </w:rPr>
        <w:t xml:space="preserve">5.2  Selecting a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bbee" w:sz="4"/>
              <w:left w:val="single" w:color="ccbbee" w:sz="4"/>
              <w:bottom w:val="single" w:color="ccbbee" w:sz="4"/>
              <w:right w:val="single" w:color="ccbbee" w:sz="4"/>
            </w:tcBorders>
            <w:shd w:fill="2d0f5e" w:val="clear"/>
            <w:tcMar>
              <w:top w:type="dxa" w:w="80"/>
              <w:left w:type="dxa" w:w="140"/>
              <w:bottom w:type="dxa" w:w="80"/>
              <w:right w:type="dxa" w:w="100"/>
            </w:tcMar>
            <w:vAlign w:val="center"/>
          </w:tcPr>
          <w:p>
            <w:r>
              <w:rPr>
                <w:rFonts w:ascii="Arial" w:cs="Arial" w:eastAsia="Arial" w:hAnsi="Arial"/>
                <w:b/>
                <w:bCs/>
                <w:color w:val="FFFFFF"/>
                <w:sz w:val="20"/>
                <w:szCs w:val="20"/>
              </w:rPr>
              <w:t xml:space="preserve">Level</w:t>
            </w:r>
          </w:p>
        </w:tc>
        <w:tc>
          <w:tcPr>
            <w:tcW w:type="dxa" w:w="6560"/>
            <w:tcBorders>
              <w:top w:val="single" w:color="ccbbee" w:sz="4"/>
              <w:left w:val="single" w:color="ccbbee" w:sz="4"/>
              <w:bottom w:val="single" w:color="ccbbee" w:sz="4"/>
              <w:right w:val="single" w:color="ccbbee" w:sz="4"/>
            </w:tcBorders>
            <w:shd w:fill="1a0533" w:val="clear"/>
            <w:tcMar>
              <w:top w:type="dxa" w:w="80"/>
              <w:left w:type="dxa" w:w="140"/>
              <w:bottom w:type="dxa" w:w="80"/>
              <w:right w:type="dxa" w:w="100"/>
            </w:tcMar>
            <w:vAlign w:val="center"/>
          </w:tcPr>
          <w:p>
            <w:r>
              <w:rPr>
                <w:rFonts w:ascii="Arial" w:cs="Arial" w:eastAsia="Arial" w:hAnsi="Arial"/>
                <w:b/>
                <w:bCs/>
                <w:color w:val="00b4cc"/>
                <w:sz w:val="20"/>
                <w:szCs w:val="20"/>
              </w:rPr>
              <w:t xml:space="preserve">Grammar Focus (30 Questions Each)</w:t>
            </w:r>
          </w:p>
        </w:tc>
      </w:tr>
      <w:tr>
        <w:tc>
          <w:tcPr>
            <w:tcW w:type="dxa" w:w="28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Level 1 – Basic Errors</w:t>
            </w:r>
          </w:p>
        </w:tc>
        <w:tc>
          <w:tcPr>
            <w:tcW w:type="dxa" w:w="65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Subject-verb agreement, present simple, capitalization</w:t>
            </w:r>
          </w:p>
        </w:tc>
      </w:tr>
      <w:tr>
        <w:tc>
          <w:tcPr>
            <w:tcW w:type="dxa" w:w="28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Level 2 – Tense Mastery</w:t>
            </w:r>
          </w:p>
        </w:tc>
        <w:tc>
          <w:tcPr>
            <w:tcW w:type="dxa" w:w="65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Past simple, past continuous, present perfect, negative forms</w:t>
            </w:r>
          </w:p>
        </w:tc>
      </w:tr>
      <w:tr>
        <w:tc>
          <w:tcPr>
            <w:tcW w:type="dxa" w:w="28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Level 3 – Structure &amp; Comparison</w:t>
            </w:r>
          </w:p>
        </w:tc>
        <w:tc>
          <w:tcPr>
            <w:tcW w:type="dxa" w:w="65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Comparatives, superlatives, relative clauses, stative verbs, determiners</w:t>
            </w:r>
          </w:p>
        </w:tc>
      </w:tr>
      <w:tr>
        <w:tc>
          <w:tcPr>
            <w:tcW w:type="dxa" w:w="28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Level 4 – Advanced &amp; Inversion</w:t>
            </w:r>
          </w:p>
        </w:tc>
        <w:tc>
          <w:tcPr>
            <w:tcW w:type="dxa" w:w="65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Subjunctive mood, reported speech, negative inversion, conditionals</w:t>
            </w:r>
          </w:p>
        </w:tc>
      </w:tr>
    </w:tbl>
    <w:p>
      <w:pPr>
        <w:spacing w:after="0" w:before="160"/>
      </w:pPr>
      <w:r>
        <w:t xml:space="preserve"/>
      </w:r>
    </w:p>
    <w:p>
      <w:pPr>
        <w:spacing w:after="80" w:before="160"/>
      </w:pPr>
      <w:r>
        <w:rPr>
          <w:rFonts w:ascii="Arial" w:cs="Arial" w:eastAsia="Arial" w:hAnsi="Arial"/>
          <w:b/>
          <w:bCs/>
          <w:color w:val="2d0f5e"/>
          <w:sz w:val="24"/>
          <w:szCs w:val="24"/>
        </w:rPr>
        <w:t xml:space="preserve">5.3  During a Round</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A broken sentence is displayed prominently in the question card.</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The player types the corrected version in the input field.</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Pressing Submit (or Enter) triggers instant evaluation.</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A green tick confirms a correct answer; a red cross and the model answer appear for incorrect attempts.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The 'Hint' button reveals a concise grammar explanation without penalty.</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Score, question counter, and a progress bar update in real time.</w:t>
      </w:r>
    </w:p>
    <w:p>
      <w:pPr>
        <w:spacing w:after="0" w:before="80"/>
      </w:pPr>
      <w:r>
        <w:t xml:space="preserve"/>
      </w:r>
    </w:p>
    <w:p>
      <w:pPr>
        <w:spacing w:after="80" w:before="160"/>
      </w:pPr>
      <w:r>
        <w:rPr>
          <w:rFonts w:ascii="Arial" w:cs="Arial" w:eastAsia="Arial" w:hAnsi="Arial"/>
          <w:b/>
          <w:bCs/>
          <w:color w:val="2d0f5e"/>
          <w:sz w:val="24"/>
          <w:szCs w:val="24"/>
        </w:rPr>
        <w:t xml:space="preserve">5.4  Scoring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bbee" w:sz="4"/>
              <w:left w:val="single" w:color="ccbbee" w:sz="4"/>
              <w:bottom w:val="single" w:color="ccbbee" w:sz="4"/>
              <w:right w:val="single" w:color="ccbbee" w:sz="4"/>
            </w:tcBorders>
            <w:shd w:fill="2d0f5e" w:val="clear"/>
            <w:tcMar>
              <w:top w:type="dxa" w:w="80"/>
              <w:left w:type="dxa" w:w="140"/>
              <w:bottom w:type="dxa" w:w="80"/>
              <w:right w:type="dxa" w:w="100"/>
            </w:tcMar>
            <w:vAlign w:val="center"/>
          </w:tcPr>
          <w:p>
            <w:r>
              <w:rPr>
                <w:rFonts w:ascii="Arial" w:cs="Arial" w:eastAsia="Arial" w:hAnsi="Arial"/>
                <w:b/>
                <w:bCs/>
                <w:color w:val="FFFFFF"/>
                <w:sz w:val="20"/>
                <w:szCs w:val="20"/>
              </w:rPr>
              <w:t xml:space="preserve">Action</w:t>
            </w:r>
          </w:p>
        </w:tc>
        <w:tc>
          <w:tcPr>
            <w:tcW w:type="dxa" w:w="6360"/>
            <w:tcBorders>
              <w:top w:val="single" w:color="ccbbee" w:sz="4"/>
              <w:left w:val="single" w:color="ccbbee" w:sz="4"/>
              <w:bottom w:val="single" w:color="ccbbee" w:sz="4"/>
              <w:right w:val="single" w:color="ccbbee" w:sz="4"/>
            </w:tcBorders>
            <w:shd w:fill="1a0533" w:val="clear"/>
            <w:tcMar>
              <w:top w:type="dxa" w:w="80"/>
              <w:left w:type="dxa" w:w="140"/>
              <w:bottom w:type="dxa" w:w="80"/>
              <w:right w:type="dxa" w:w="100"/>
            </w:tcMar>
            <w:vAlign w:val="center"/>
          </w:tcPr>
          <w:p>
            <w:r>
              <w:rPr>
                <w:rFonts w:ascii="Arial" w:cs="Arial" w:eastAsia="Arial" w:hAnsi="Arial"/>
                <w:b/>
                <w:bCs/>
                <w:color w:val="00b4cc"/>
                <w:sz w:val="20"/>
                <w:szCs w:val="20"/>
              </w:rPr>
              <w:t xml:space="preserve">Points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Correct answer (without hint)</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+10 points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Correct answer (after hint)</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+5 points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Incorrect answer</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0 points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Completion bonus (all 30 correct)</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Grade A / Stars award</w:t>
            </w:r>
          </w:p>
        </w:tc>
      </w:tr>
    </w:tbl>
    <w:p>
      <w:pPr>
        <w:spacing w:after="0" w:before="160"/>
      </w:pPr>
      <w:r>
        <w:t xml:space="preserve"/>
      </w:r>
    </w:p>
    <w:p>
      <w:pPr>
        <w:spacing w:after="80" w:before="160"/>
      </w:pPr>
      <w:r>
        <w:rPr>
          <w:rFonts w:ascii="Arial" w:cs="Arial" w:eastAsia="Arial" w:hAnsi="Arial"/>
          <w:b/>
          <w:bCs/>
          <w:color w:val="2d0f5e"/>
          <w:sz w:val="24"/>
          <w:szCs w:val="24"/>
        </w:rPr>
        <w:t xml:space="preserve">5.5  End of Round</w:t>
      </w:r>
    </w:p>
    <w:p>
      <w:pPr>
        <w:spacing w:after="80" w:before="80"/>
        <w:jc w:val="both"/>
      </w:pPr>
      <w:r>
        <w:rPr>
          <w:rFonts w:ascii="Arial" w:cs="Arial" w:eastAsia="Arial" w:hAnsi="Arial"/>
          <w:color w:val="1a0533"/>
          <w:sz w:val="22"/>
          <w:szCs w:val="22"/>
        </w:rPr>
        <w:t xml:space="preserve">After all 30 questions, a results screen displays total score, accuracy percentage, time taken, and a performance grade. The player can save their score to the leaderboard, review all answered questions with model answers and hints, or retry the level.</w:t>
      </w:r>
    </w:p>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6.  Question Database</w:t>
      </w:r>
    </w:p>
    <w:p>
      <w:pPr>
        <w:spacing w:after="0" w:before="120"/>
      </w:pPr>
      <w:r>
        <w:t xml:space="preserve"/>
      </w:r>
    </w:p>
    <w:p>
      <w:pPr>
        <w:spacing w:after="80" w:before="80"/>
        <w:jc w:val="both"/>
      </w:pPr>
      <w:r>
        <w:rPr>
          <w:rFonts w:ascii="Arial" w:cs="Arial" w:eastAsia="Arial" w:hAnsi="Arial"/>
          <w:color w:val="1a0533"/>
          <w:sz w:val="22"/>
          <w:szCs w:val="22"/>
        </w:rPr>
        <w:t xml:space="preserve">The app contains 120 handcrafted grammar exercises distributed evenly across four levels. Each entry in the dataset comprises three components: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broken — the intentionally erroneous sentence presented to the learner</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correct — the grammatically accurate model answer</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hint — a plain-language grammar rule explanation</w:t>
      </w:r>
    </w:p>
    <w:p>
      <w:pPr>
        <w:spacing w:after="0" w:before="160"/>
      </w:pPr>
      <w:r>
        <w:t xml:space="preserve"/>
      </w:r>
    </w:p>
    <w:p>
      <w:pPr>
        <w:spacing w:after="80" w:before="80"/>
        <w:jc w:val="both"/>
      </w:pPr>
      <w:r>
        <w:rPr>
          <w:rFonts w:ascii="Arial" w:cs="Arial" w:eastAsia="Arial" w:hAnsi="Arial"/>
          <w:color w:val="1a0533"/>
          <w:sz w:val="22"/>
          <w:szCs w:val="22"/>
        </w:rPr>
        <w:t xml:space="preserve">Sample exercises from each level: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c>
          <w:tcPr>
            <w:tcW w:type="dxa" w:w="2200"/>
            <w:tcBorders>
              <w:top w:val="single" w:color="ccbbee" w:sz="4"/>
              <w:left w:val="single" w:color="ccbbee" w:sz="4"/>
              <w:bottom w:val="single" w:color="ccbbee" w:sz="4"/>
              <w:right w:val="single" w:color="ccbbee" w:sz="4"/>
            </w:tcBorders>
            <w:shd w:fill="1a0533" w:val="clear"/>
            <w:tcMar>
              <w:top w:type="dxa" w:w="70"/>
              <w:left w:type="dxa" w:w="120"/>
              <w:bottom w:type="dxa" w:w="70"/>
              <w:right w:type="dxa" w:w="80"/>
            </w:tcMar>
            <w:vAlign w:val="center"/>
          </w:tcPr>
          <w:p>
            <w:r>
              <w:rPr>
                <w:rFonts w:ascii="Arial" w:cs="Arial" w:eastAsia="Arial" w:hAnsi="Arial"/>
                <w:b/>
                <w:bCs/>
                <w:color w:val="d4900a"/>
                <w:sz w:val="20"/>
                <w:szCs w:val="20"/>
              </w:rPr>
              <w:t xml:space="preserve">Level</w:t>
            </w:r>
          </w:p>
        </w:tc>
        <w:tc>
          <w:tcPr>
            <w:tcW w:type="dxa" w:w="3500"/>
            <w:tcBorders>
              <w:top w:val="single" w:color="ccbbee" w:sz="4"/>
              <w:left w:val="single" w:color="ccbbee" w:sz="4"/>
              <w:bottom w:val="single" w:color="ccbbee" w:sz="4"/>
              <w:right w:val="single" w:color="ccbbee" w:sz="4"/>
            </w:tcBorders>
            <w:shd w:fill="2d0f5e" w:val="clear"/>
            <w:tcMar>
              <w:top w:type="dxa" w:w="70"/>
              <w:left w:type="dxa" w:w="120"/>
              <w:bottom w:type="dxa" w:w="70"/>
              <w:right w:type="dxa" w:w="80"/>
            </w:tcMar>
            <w:vAlign w:val="center"/>
          </w:tcPr>
          <w:p>
            <w:r>
              <w:rPr>
                <w:rFonts w:ascii="Arial" w:cs="Arial" w:eastAsia="Arial" w:hAnsi="Arial"/>
                <w:b/>
                <w:bCs/>
                <w:color w:val="FFFFFF"/>
                <w:sz w:val="20"/>
                <w:szCs w:val="20"/>
              </w:rPr>
              <w:t xml:space="preserve">Broken Sentence</w:t>
            </w:r>
          </w:p>
        </w:tc>
        <w:tc>
          <w:tcPr>
            <w:tcW w:type="dxa" w:w="3660"/>
            <w:tcBorders>
              <w:top w:val="single" w:color="ccbbee" w:sz="4"/>
              <w:left w:val="single" w:color="ccbbee" w:sz="4"/>
              <w:bottom w:val="single" w:color="ccbbee" w:sz="4"/>
              <w:right w:val="single" w:color="ccbbee" w:sz="4"/>
            </w:tcBorders>
            <w:shd w:fill="3a1a6e" w:val="clear"/>
            <w:tcMar>
              <w:top w:type="dxa" w:w="70"/>
              <w:left w:type="dxa" w:w="120"/>
              <w:bottom w:type="dxa" w:w="70"/>
              <w:right w:type="dxa" w:w="80"/>
            </w:tcMar>
            <w:vAlign w:val="center"/>
          </w:tcPr>
          <w:p>
            <w:r>
              <w:rPr>
                <w:rFonts w:ascii="Arial" w:cs="Arial" w:eastAsia="Arial" w:hAnsi="Arial"/>
                <w:b/>
                <w:bCs/>
                <w:color w:val="FFFFFF"/>
                <w:sz w:val="20"/>
                <w:szCs w:val="20"/>
              </w:rPr>
              <w:t xml:space="preserve">Correct Answer (Hint)</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1 – Basic</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he go to school</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He goes to school. (3rd-person singular: add -s)</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1 – Basic</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they is happy</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They are happy. ('They' takes 'are')</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2 – Tense</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i seen that movie</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I have seen that movie. (Past participle needs 'have/has')</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2 – Tense</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she were singing</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She was singing. ('She' takes 'was')</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3 – Structure</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he is more taller than me</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He is taller than me. (No 'more' with -er comparatives)</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3 – Structure</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each student have a book</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Each student has a book. ('Each' is singular)</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4 – Advanced</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if i was you i would help him</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If I were you, I would help him. (Subjunctive 'were')</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4 – Advanced</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no sooner he reached than it rained</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No sooner had he reached than it rained. (Negative inversion)</w:t>
            </w:r>
          </w:p>
        </w:tc>
      </w:tr>
    </w:tbl>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7.  Technical Specifications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bbee" w:sz="4"/>
              <w:left w:val="single" w:color="ccbbee" w:sz="4"/>
              <w:bottom w:val="single" w:color="ccbbee" w:sz="4"/>
              <w:right w:val="single" w:color="ccbbee" w:sz="4"/>
            </w:tcBorders>
            <w:shd w:fill="2d0f5e" w:val="clear"/>
            <w:tcMar>
              <w:top w:type="dxa" w:w="80"/>
              <w:left w:type="dxa" w:w="140"/>
              <w:bottom w:type="dxa" w:w="80"/>
              <w:right w:type="dxa" w:w="100"/>
            </w:tcMar>
            <w:vAlign w:val="center"/>
          </w:tcPr>
          <w:p>
            <w:r>
              <w:rPr>
                <w:rFonts w:ascii="Arial" w:cs="Arial" w:eastAsia="Arial" w:hAnsi="Arial"/>
                <w:b/>
                <w:bCs/>
                <w:color w:val="FFFFFF"/>
                <w:sz w:val="20"/>
                <w:szCs w:val="20"/>
              </w:rPr>
              <w:t xml:space="preserve">Technical Aspect</w:t>
            </w:r>
          </w:p>
        </w:tc>
        <w:tc>
          <w:tcPr>
            <w:tcW w:type="dxa" w:w="6360"/>
            <w:tcBorders>
              <w:top w:val="single" w:color="ccbbee" w:sz="4"/>
              <w:left w:val="single" w:color="ccbbee" w:sz="4"/>
              <w:bottom w:val="single" w:color="ccbbee" w:sz="4"/>
              <w:right w:val="single" w:color="ccbbee" w:sz="4"/>
            </w:tcBorders>
            <w:shd w:fill="1a0533" w:val="clear"/>
            <w:tcMar>
              <w:top w:type="dxa" w:w="80"/>
              <w:left w:type="dxa" w:w="140"/>
              <w:bottom w:type="dxa" w:w="80"/>
              <w:right w:type="dxa" w:w="100"/>
            </w:tcMar>
            <w:vAlign w:val="center"/>
          </w:tcPr>
          <w:p>
            <w:r>
              <w:rPr>
                <w:rFonts w:ascii="Arial" w:cs="Arial" w:eastAsia="Arial" w:hAnsi="Arial"/>
                <w:b/>
                <w:bCs/>
                <w:color w:val="00b4cc"/>
                <w:sz w:val="20"/>
                <w:szCs w:val="20"/>
              </w:rPr>
              <w:t xml:space="preserve">Implementation</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App Type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Progressive Web App (PWA)</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Core Technologies</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HTML5, CSS3, Vanilla JavaScript (ES6+)</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Manifest</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manifest.json — name, icons, display, theme_color</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Service Worker</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service-worker.js — cache-first strategy</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Cache Name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sentence-surgeon-v1.0</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Cached Assets</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index.html, manifest.json, SVG icons, author.jpg</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Offline Strategy</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Cache-first; falls back to cached index.html for docs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Data Storage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localStorage (leaderboard &amp; progress persistence)</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Icons</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SVG scalable icons (192×192 and 512×512)</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Orientation</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Portrait-primary</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Responsive Breakpoints</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Mobile-first; fluid grid adapts to all screen sizes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CSS Architecture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Custom properties (CSS vars), glass-morphism, keyframe animations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Fonts</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Segoe UI, system-ui (zero external dependencies)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Network Dependency</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None after first load (fully offline capable)</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Install Mechanism</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beforeinstallprompt API; install banner + Add to Home Screen</w:t>
            </w:r>
          </w:p>
        </w:tc>
      </w:tr>
    </w:tbl>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8.  Educational Value</w:t>
      </w:r>
    </w:p>
    <w:p>
      <w:pPr>
        <w:spacing w:after="0" w:before="120"/>
      </w:pPr>
      <w:r>
        <w:t xml:space="preserve"/>
      </w:r>
    </w:p>
    <w:p>
      <w:pPr>
        <w:spacing w:after="80" w:before="80"/>
        <w:jc w:val="both"/>
      </w:pPr>
      <w:r>
        <w:rPr>
          <w:rFonts w:ascii="Arial" w:cs="Arial" w:eastAsia="Arial" w:hAnsi="Arial"/>
          <w:color w:val="1a0533"/>
          <w:sz w:val="22"/>
          <w:szCs w:val="22"/>
        </w:rPr>
        <w:t xml:space="preserve">Sentence Surgeon is grounded in established pedagogical principles:</w:t>
      </w:r>
    </w:p>
    <w:p>
      <w:pPr>
        <w:spacing w:after="0" w:before="120"/>
      </w:pPr>
      <w:r>
        <w:t xml:space="preserve"/>
      </w:r>
    </w:p>
    <w:p>
      <w:pPr>
        <w:spacing w:after="80" w:before="160"/>
      </w:pPr>
      <w:r>
        <w:rPr>
          <w:rFonts w:ascii="Arial" w:cs="Arial" w:eastAsia="Arial" w:hAnsi="Arial"/>
          <w:b/>
          <w:bCs/>
          <w:color w:val="2d0f5e"/>
          <w:sz w:val="24"/>
          <w:szCs w:val="24"/>
        </w:rPr>
        <w:t xml:space="preserve">8.1  Active Recall &amp; Retrieval Practice</w:t>
      </w:r>
    </w:p>
    <w:p>
      <w:pPr>
        <w:spacing w:after="80" w:before="80"/>
        <w:jc w:val="both"/>
      </w:pPr>
      <w:r>
        <w:rPr>
          <w:rFonts w:ascii="Arial" w:cs="Arial" w:eastAsia="Arial" w:hAnsi="Arial"/>
          <w:color w:val="1a0533"/>
          <w:sz w:val="22"/>
          <w:szCs w:val="22"/>
        </w:rPr>
        <w:t xml:space="preserve">Rather than presenting a rule and asking the student to apply it passively, the app asks learners to retrieve and construct the correct form from memory — a technique shown to significantly improve long-term retention.</w:t>
      </w:r>
    </w:p>
    <w:p>
      <w:pPr>
        <w:spacing w:after="0" w:before="80"/>
      </w:pPr>
      <w:r>
        <w:t xml:space="preserve"/>
      </w:r>
    </w:p>
    <w:p>
      <w:pPr>
        <w:spacing w:after="80" w:before="160"/>
      </w:pPr>
      <w:r>
        <w:rPr>
          <w:rFonts w:ascii="Arial" w:cs="Arial" w:eastAsia="Arial" w:hAnsi="Arial"/>
          <w:b/>
          <w:bCs/>
          <w:color w:val="2d0f5e"/>
          <w:sz w:val="24"/>
          <w:szCs w:val="24"/>
        </w:rPr>
        <w:t xml:space="preserve">8.2  Immediate Corrective Feedback</w:t>
      </w:r>
    </w:p>
    <w:p>
      <w:pPr>
        <w:spacing w:after="80" w:before="80"/>
        <w:jc w:val="both"/>
      </w:pPr>
      <w:r>
        <w:rPr>
          <w:rFonts w:ascii="Arial" w:cs="Arial" w:eastAsia="Arial" w:hAnsi="Arial"/>
          <w:color w:val="1a0533"/>
          <w:sz w:val="22"/>
          <w:szCs w:val="22"/>
        </w:rPr>
        <w:t xml:space="preserve">Research in language acquisition consistently demonstrates that instant feedback accelerates error correction and prevents the fossilisation of incorrect grammatical patterns.</w:t>
      </w:r>
    </w:p>
    <w:p>
      <w:pPr>
        <w:spacing w:after="0" w:before="80"/>
      </w:pPr>
      <w:r>
        <w:t xml:space="preserve"/>
      </w:r>
    </w:p>
    <w:p>
      <w:pPr>
        <w:spacing w:after="80" w:before="160"/>
      </w:pPr>
      <w:r>
        <w:rPr>
          <w:rFonts w:ascii="Arial" w:cs="Arial" w:eastAsia="Arial" w:hAnsi="Arial"/>
          <w:b/>
          <w:bCs/>
          <w:color w:val="2d0f5e"/>
          <w:sz w:val="24"/>
          <w:szCs w:val="24"/>
        </w:rPr>
        <w:t xml:space="preserve">8.3  Spaced Practice &amp; Gamification</w:t>
      </w:r>
    </w:p>
    <w:p>
      <w:pPr>
        <w:spacing w:after="80" w:before="80"/>
        <w:jc w:val="both"/>
      </w:pPr>
      <w:r>
        <w:rPr>
          <w:rFonts w:ascii="Arial" w:cs="Arial" w:eastAsia="Arial" w:hAnsi="Arial"/>
          <w:color w:val="1a0533"/>
          <w:sz w:val="22"/>
          <w:szCs w:val="22"/>
        </w:rPr>
        <w:t xml:space="preserve">The leaderboard and progress tracker encourage learners to return to the app across multiple sessions, naturally supporting spaced repetition — one of the most evidence-backed learning strategies.</w:t>
      </w:r>
    </w:p>
    <w:p>
      <w:pPr>
        <w:spacing w:after="0" w:before="80"/>
      </w:pPr>
      <w:r>
        <w:t xml:space="preserve"/>
      </w:r>
    </w:p>
    <w:p>
      <w:pPr>
        <w:spacing w:after="80" w:before="160"/>
      </w:pPr>
      <w:r>
        <w:rPr>
          <w:rFonts w:ascii="Arial" w:cs="Arial" w:eastAsia="Arial" w:hAnsi="Arial"/>
          <w:b/>
          <w:bCs/>
          <w:color w:val="2d0f5e"/>
          <w:sz w:val="24"/>
          <w:szCs w:val="24"/>
        </w:rPr>
        <w:t xml:space="preserve">8.4  Scaffolded Difficulty</w:t>
      </w:r>
    </w:p>
    <w:p>
      <w:pPr>
        <w:spacing w:after="80" w:before="80"/>
        <w:jc w:val="both"/>
      </w:pPr>
      <w:r>
        <w:rPr>
          <w:rFonts w:ascii="Arial" w:cs="Arial" w:eastAsia="Arial" w:hAnsi="Arial"/>
          <w:color w:val="1a0533"/>
          <w:sz w:val="22"/>
          <w:szCs w:val="22"/>
        </w:rPr>
        <w:t xml:space="preserve">The four-level structure mirrors Vygotsky's Zone of Proximal Development: each level is challenging but achievable, with hints serving as the in-built scaffold that supports learners without giving away the answer.</w:t>
      </w:r>
    </w:p>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9.  Alignment with NEP 2020 &amp; NCF</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c>
          <w:tcPr>
            <w:tcW w:type="dxa" w:w="2200"/>
            <w:tcBorders>
              <w:top w:val="single" w:color="ccbbee" w:sz="4"/>
              <w:left w:val="single" w:color="ccbbee" w:sz="4"/>
              <w:bottom w:val="single" w:color="ccbbee" w:sz="4"/>
              <w:right w:val="single" w:color="ccbbee" w:sz="4"/>
            </w:tcBorders>
            <w:shd w:fill="1a0533" w:val="clear"/>
            <w:tcMar>
              <w:top w:type="dxa" w:w="70"/>
              <w:left w:type="dxa" w:w="120"/>
              <w:bottom w:type="dxa" w:w="70"/>
              <w:right w:type="dxa" w:w="80"/>
            </w:tcMar>
            <w:vAlign w:val="center"/>
          </w:tcPr>
          <w:p>
            <w:r>
              <w:rPr>
                <w:rFonts w:ascii="Arial" w:cs="Arial" w:eastAsia="Arial" w:hAnsi="Arial"/>
                <w:b/>
                <w:bCs/>
                <w:color w:val="d4900a"/>
                <w:sz w:val="20"/>
                <w:szCs w:val="20"/>
              </w:rPr>
              <w:t xml:space="preserve">NEP 2020 Principle</w:t>
            </w:r>
          </w:p>
        </w:tc>
        <w:tc>
          <w:tcPr>
            <w:tcW w:type="dxa" w:w="3500"/>
            <w:tcBorders>
              <w:top w:val="single" w:color="ccbbee" w:sz="4"/>
              <w:left w:val="single" w:color="ccbbee" w:sz="4"/>
              <w:bottom w:val="single" w:color="ccbbee" w:sz="4"/>
              <w:right w:val="single" w:color="ccbbee" w:sz="4"/>
            </w:tcBorders>
            <w:shd w:fill="2d0f5e" w:val="clear"/>
            <w:tcMar>
              <w:top w:type="dxa" w:w="70"/>
              <w:left w:type="dxa" w:w="120"/>
              <w:bottom w:type="dxa" w:w="70"/>
              <w:right w:type="dxa" w:w="80"/>
            </w:tcMar>
            <w:vAlign w:val="center"/>
          </w:tcPr>
          <w:p>
            <w:r>
              <w:rPr>
                <w:rFonts w:ascii="Arial" w:cs="Arial" w:eastAsia="Arial" w:hAnsi="Arial"/>
                <w:b/>
                <w:bCs/>
                <w:color w:val="FFFFFF"/>
                <w:sz w:val="20"/>
                <w:szCs w:val="20"/>
              </w:rPr>
              <w:t xml:space="preserve">How Sentence Surgeon Aligns</w:t>
            </w:r>
          </w:p>
        </w:tc>
        <w:tc>
          <w:tcPr>
            <w:tcW w:type="dxa" w:w="3660"/>
            <w:tcBorders>
              <w:top w:val="single" w:color="ccbbee" w:sz="4"/>
              <w:left w:val="single" w:color="ccbbee" w:sz="4"/>
              <w:bottom w:val="single" w:color="ccbbee" w:sz="4"/>
              <w:right w:val="single" w:color="ccbbee" w:sz="4"/>
            </w:tcBorders>
            <w:shd w:fill="3a1a6e" w:val="clear"/>
            <w:tcMar>
              <w:top w:type="dxa" w:w="70"/>
              <w:left w:type="dxa" w:w="120"/>
              <w:bottom w:type="dxa" w:w="70"/>
              <w:right w:type="dxa" w:w="80"/>
            </w:tcMar>
            <w:vAlign w:val="center"/>
          </w:tcPr>
          <w:p>
            <w:r>
              <w:rPr>
                <w:rFonts w:ascii="Arial" w:cs="Arial" w:eastAsia="Arial" w:hAnsi="Arial"/>
                <w:b/>
                <w:bCs/>
                <w:color w:val="FFFFFF"/>
                <w:sz w:val="20"/>
                <w:szCs w:val="20"/>
              </w:rPr>
              <w:t xml:space="preserve">Specific Feature</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Learner-Centred Education</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Students progress at their own pace</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Self-paced rounds, level selection</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Competency-Based Learning</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Focus on practical grammar application</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120 real-sentence exercises</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Technology Integration</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Digital-first, interactive, data-driven</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PWA, analytics, offline access</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21st Century Skills</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Critical thinking, problem-solving</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Error identification &amp; correction</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Holistic Development</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Confidence &amp; motivation through gamification</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Leaderboard, badges, scores</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Inclusive Education</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Accessible offline in low-connectivity areas</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Service Worker, cache-first</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NCF – Learning Outcomes</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Measurable grammar competency tracking</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Progress tracker, accuracy %</w:t>
            </w:r>
          </w:p>
        </w:tc>
      </w:tr>
      <w:tr>
        <w:tc>
          <w:tcPr>
            <w:tcW w:type="dxa" w:w="22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NCF – Assessment for Learning</w:t>
            </w:r>
          </w:p>
        </w:tc>
        <w:tc>
          <w:tcPr>
            <w:tcW w:type="dxa" w:w="350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Continuous self-assessment &amp; reflection</w:t>
            </w:r>
          </w:p>
        </w:tc>
        <w:tc>
          <w:tcPr>
            <w:tcW w:type="dxa" w:w="3660"/>
            <w:tcBorders>
              <w:top w:val="single" w:color="ccbbee" w:sz="4"/>
              <w:left w:val="single" w:color="ccbbee" w:sz="4"/>
              <w:bottom w:val="single" w:color="ccbbee" w:sz="4"/>
              <w:right w:val="single" w:color="ccbbee" w:sz="4"/>
            </w:tcBorders>
            <w:shd w:fill="fafaf8"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Review mode, instant feedback</w:t>
            </w:r>
          </w:p>
        </w:tc>
      </w:tr>
      <w:tr>
        <w:tc>
          <w:tcPr>
            <w:tcW w:type="dxa" w:w="22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NCF – Collaborative Learning</w:t>
            </w:r>
          </w:p>
        </w:tc>
        <w:tc>
          <w:tcPr>
            <w:tcW w:type="dxa" w:w="350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Friendly competition encourages peer discussion</w:t>
            </w:r>
          </w:p>
        </w:tc>
        <w:tc>
          <w:tcPr>
            <w:tcW w:type="dxa" w:w="3660"/>
            <w:tcBorders>
              <w:top w:val="single" w:color="ccbbee" w:sz="4"/>
              <w:left w:val="single" w:color="ccbbee" w:sz="4"/>
              <w:bottom w:val="single" w:color="ccbbee" w:sz="4"/>
              <w:right w:val="single" w:color="ccbbee" w:sz="4"/>
            </w:tcBorders>
            <w:shd w:fill="FFFFFF" w:val="clear"/>
            <w:tcMar>
              <w:top w:type="dxa" w:w="70"/>
              <w:left w:type="dxa" w:w="120"/>
              <w:bottom w:type="dxa" w:w="70"/>
              <w:right w:type="dxa" w:w="80"/>
            </w:tcMar>
            <w:vAlign w:val="center"/>
          </w:tcPr>
          <w:p>
            <w:r>
              <w:rPr>
                <w:rFonts w:ascii="Arial" w:cs="Arial" w:eastAsia="Arial" w:hAnsi="Arial"/>
                <w:b w:val="false"/>
                <w:bCs w:val="false"/>
                <w:color w:val="1a0533"/>
                <w:sz w:val="20"/>
                <w:szCs w:val="20"/>
              </w:rPr>
              <w:t xml:space="preserve">Shared leaderboard</w:t>
            </w:r>
          </w:p>
        </w:tc>
      </w:tr>
    </w:tbl>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10.  Benefits for Stakeholders</w:t>
      </w:r>
    </w:p>
    <w:p>
      <w:pPr>
        <w:spacing w:after="0" w:before="120"/>
      </w:pPr>
      <w:r>
        <w:t xml:space="preserve"/>
      </w:r>
    </w:p>
    <w:p>
      <w:pPr>
        <w:spacing w:after="80" w:before="160"/>
      </w:pPr>
      <w:r>
        <w:rPr>
          <w:rFonts w:ascii="Arial" w:cs="Arial" w:eastAsia="Arial" w:hAnsi="Arial"/>
          <w:b/>
          <w:bCs/>
          <w:color w:val="2d0f5e"/>
          <w:sz w:val="24"/>
          <w:szCs w:val="24"/>
        </w:rPr>
        <w:t xml:space="preserve">Students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Engaging, game-based grammar practice available 24 / 7</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Builds confidence through incremental success and instant feedback</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No internet required after first visit — learn anywhere</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Visual progress data motivates continued effort</w:t>
      </w:r>
    </w:p>
    <w:p>
      <w:pPr>
        <w:spacing w:after="0" w:before="120"/>
      </w:pPr>
      <w:r>
        <w:t xml:space="preserve"/>
      </w:r>
    </w:p>
    <w:p>
      <w:pPr>
        <w:spacing w:after="80" w:before="160"/>
      </w:pPr>
      <w:r>
        <w:rPr>
          <w:rFonts w:ascii="Arial" w:cs="Arial" w:eastAsia="Arial" w:hAnsi="Arial"/>
          <w:b/>
          <w:bCs/>
          <w:color w:val="2d0f5e"/>
          <w:sz w:val="24"/>
          <w:szCs w:val="24"/>
        </w:rPr>
        <w:t xml:space="preserve">Teachers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Ready-made, curriculum-aligned digital resource — zero preparation</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Recommend specific levels to target identified weaknesses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Encourage competitive engagement through the leaderboard</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Complement classroom grammar lessons with structured digital practice</w:t>
      </w:r>
    </w:p>
    <w:p>
      <w:pPr>
        <w:spacing w:after="0" w:before="120"/>
      </w:pPr>
      <w:r>
        <w:t xml:space="preserve"/>
      </w:r>
    </w:p>
    <w:p>
      <w:pPr>
        <w:spacing w:after="80" w:before="160"/>
      </w:pPr>
      <w:r>
        <w:rPr>
          <w:rFonts w:ascii="Arial" w:cs="Arial" w:eastAsia="Arial" w:hAnsi="Arial"/>
          <w:b/>
          <w:bCs/>
          <w:color w:val="2d0f5e"/>
          <w:sz w:val="24"/>
          <w:szCs w:val="24"/>
        </w:rPr>
        <w:t xml:space="preserve">Parents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Safe, ad-free, educational application with no registration required</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Can monitor a child's self-reported performance at home</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Encourages independent digital learning habits</w:t>
      </w:r>
    </w:p>
    <w:p>
      <w:pPr>
        <w:spacing w:after="0" w:before="120"/>
      </w:pPr>
      <w:r>
        <w:t xml:space="preserve"/>
      </w:r>
    </w:p>
    <w:p>
      <w:pPr>
        <w:spacing w:after="80" w:before="160"/>
      </w:pPr>
      <w:r>
        <w:rPr>
          <w:rFonts w:ascii="Arial" w:cs="Arial" w:eastAsia="Arial" w:hAnsi="Arial"/>
          <w:b/>
          <w:bCs/>
          <w:color w:val="2d0f5e"/>
          <w:sz w:val="24"/>
          <w:szCs w:val="24"/>
        </w:rPr>
        <w:t xml:space="preserve">School Administration</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Demonstrates commitment to NEP 2020 technology integration goals</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Zero cost — fully browser-based, no server infrastructure needed</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Supports digital documentation of innovative teaching practice</w:t>
      </w:r>
    </w:p>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11.  Assessment &amp; Progress Tracking</w:t>
      </w:r>
    </w:p>
    <w:p>
      <w:pPr>
        <w:spacing w:after="0" w:before="120"/>
      </w:pPr>
      <w:r>
        <w:t xml:space="preserve"/>
      </w:r>
    </w:p>
    <w:p>
      <w:pPr>
        <w:spacing w:after="80" w:before="80"/>
        <w:jc w:val="both"/>
      </w:pPr>
      <w:r>
        <w:rPr>
          <w:rFonts w:ascii="Arial" w:cs="Arial" w:eastAsia="Arial" w:hAnsi="Arial"/>
          <w:color w:val="1a0533"/>
          <w:sz w:val="22"/>
          <w:szCs w:val="22"/>
        </w:rPr>
        <w:t xml:space="preserve">The Progress screen provides a comprehensive view of a learner's journey, including:</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Total sessions played and rounds completed per level</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Highest score and average accuracy percentage</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Personal best time per round</w:t>
      </w:r>
    </w:p>
    <w:p>
      <w:pPr>
        <w:spacing w:after="50" w:before="50"/>
        <w:ind w:left="400"/>
      </w:pPr>
      <w:r>
        <w:rPr>
          <w:rFonts w:ascii="Arial" w:cs="Arial" w:eastAsia="Arial" w:hAnsi="Arial"/>
          <w:color w:val="22aa55"/>
          <w:sz w:val="22"/>
          <w:szCs w:val="22"/>
        </w:rPr>
        <w:t xml:space="preserve">✔  </w:t>
      </w:r>
      <w:r>
        <w:rPr>
          <w:rFonts w:ascii="Arial" w:cs="Arial" w:eastAsia="Arial" w:hAnsi="Arial"/>
          <w:color w:val="1a0533"/>
          <w:sz w:val="22"/>
          <w:szCs w:val="22"/>
        </w:rPr>
        <w:t xml:space="preserve">Competency heat-map across grammar categories</w:t>
      </w:r>
    </w:p>
    <w:p>
      <w:pPr>
        <w:spacing w:after="0" w:before="80"/>
      </w:pPr>
      <w:r>
        <w:t xml:space="preserve"/>
      </w:r>
    </w:p>
    <w:p>
      <w:pPr>
        <w:spacing w:after="80" w:before="80"/>
        <w:jc w:val="both"/>
      </w:pPr>
      <w:r>
        <w:rPr>
          <w:rFonts w:ascii="Arial" w:cs="Arial" w:eastAsia="Arial" w:hAnsi="Arial"/>
          <w:color w:val="1a0533"/>
          <w:sz w:val="22"/>
          <w:szCs w:val="22"/>
        </w:rPr>
        <w:t xml:space="preserve">All progress data is stored locally using the browser's localStorage API, ensuring privacy and offline availability. Learners can reset their data at any time from the Progress screen.</w:t>
      </w:r>
    </w:p>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12.  Future Scope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bbee" w:sz="4"/>
              <w:left w:val="single" w:color="ccbbee" w:sz="4"/>
              <w:bottom w:val="single" w:color="ccbbee" w:sz="4"/>
              <w:right w:val="single" w:color="ccbbee" w:sz="4"/>
            </w:tcBorders>
            <w:shd w:fill="2d0f5e" w:val="clear"/>
            <w:tcMar>
              <w:top w:type="dxa" w:w="80"/>
              <w:left w:type="dxa" w:w="140"/>
              <w:bottom w:type="dxa" w:w="80"/>
              <w:right w:type="dxa" w:w="100"/>
            </w:tcMar>
            <w:vAlign w:val="center"/>
          </w:tcPr>
          <w:p>
            <w:r>
              <w:rPr>
                <w:rFonts w:ascii="Arial" w:cs="Arial" w:eastAsia="Arial" w:hAnsi="Arial"/>
                <w:b/>
                <w:bCs/>
                <w:color w:val="FFFFFF"/>
                <w:sz w:val="20"/>
                <w:szCs w:val="20"/>
              </w:rPr>
              <w:t xml:space="preserve">Planned Enhancement</w:t>
            </w:r>
          </w:p>
        </w:tc>
        <w:tc>
          <w:tcPr>
            <w:tcW w:type="dxa" w:w="6360"/>
            <w:tcBorders>
              <w:top w:val="single" w:color="ccbbee" w:sz="4"/>
              <w:left w:val="single" w:color="ccbbee" w:sz="4"/>
              <w:bottom w:val="single" w:color="ccbbee" w:sz="4"/>
              <w:right w:val="single" w:color="ccbbee" w:sz="4"/>
            </w:tcBorders>
            <w:shd w:fill="1a0533" w:val="clear"/>
            <w:tcMar>
              <w:top w:type="dxa" w:w="80"/>
              <w:left w:type="dxa" w:w="140"/>
              <w:bottom w:type="dxa" w:w="80"/>
              <w:right w:type="dxa" w:w="100"/>
            </w:tcMar>
            <w:vAlign w:val="center"/>
          </w:tcPr>
          <w:p>
            <w:r>
              <w:rPr>
                <w:rFonts w:ascii="Arial" w:cs="Arial" w:eastAsia="Arial" w:hAnsi="Arial"/>
                <w:b/>
                <w:bCs/>
                <w:color w:val="00b4cc"/>
                <w:sz w:val="20"/>
                <w:szCs w:val="20"/>
              </w:rPr>
              <w:t xml:space="preserve">Description</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AI-Powered Feedback</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Integrate NLP to accept near-correct paraphrases gracefully</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Multilingual Support</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Provide hint translations (Urdu, Hindi, Kashmiri)</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Question Bank Expansion</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Add 240+ more sentences covering Class 6–12 syllabi</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Teacher Dashboard</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Web portal for teachers to track class-wide analytics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LMS / DIKSHA Integration</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Embed within national learning platforms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Voice Input Mode</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Allow speech-based answers for inclusive access</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Advanced Analytics</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Spaced-repetition algorithm to surface weak areas first</w:t>
            </w:r>
          </w:p>
        </w:tc>
      </w:tr>
      <w:tr>
        <w:tc>
          <w:tcPr>
            <w:tcW w:type="dxa" w:w="3000"/>
            <w:tcBorders>
              <w:top w:val="single" w:color="ccbbee" w:sz="4"/>
              <w:left w:val="single" w:color="ccbbee" w:sz="4"/>
              <w:bottom w:val="single" w:color="ccbbee" w:sz="4"/>
              <w:right w:val="single" w:color="ccbbee" w:sz="4"/>
            </w:tcBorders>
            <w:shd w:fill="f5f3ff" w:val="clear"/>
            <w:tcMar>
              <w:top w:type="dxa" w:w="80"/>
              <w:left w:type="dxa" w:w="140"/>
              <w:bottom w:type="dxa" w:w="80"/>
              <w:right w:type="dxa" w:w="100"/>
            </w:tcMar>
            <w:vAlign w:val="center"/>
          </w:tcPr>
          <w:p>
            <w:r>
              <w:rPr>
                <w:rFonts w:ascii="Arial" w:cs="Arial" w:eastAsia="Arial" w:hAnsi="Arial"/>
                <w:b w:val="false"/>
                <w:bCs w:val="false"/>
                <w:color w:val="2d0f5e"/>
                <w:sz w:val="20"/>
                <w:szCs w:val="20"/>
              </w:rPr>
              <w:t xml:space="preserve">Certificate Generation</w:t>
            </w:r>
          </w:p>
        </w:tc>
        <w:tc>
          <w:tcPr>
            <w:tcW w:type="dxa" w:w="6360"/>
            <w:tcBorders>
              <w:top w:val="single" w:color="ccbbee" w:sz="4"/>
              <w:left w:val="single" w:color="ccbbee" w:sz="4"/>
              <w:bottom w:val="single" w:color="ccbbee" w:sz="4"/>
              <w:right w:val="single" w:color="ccbbee" w:sz="4"/>
            </w:tcBorders>
            <w:shd w:fill="FFFFFF" w:val="clear"/>
            <w:tcMar>
              <w:top w:type="dxa" w:w="80"/>
              <w:left w:type="dxa" w:w="140"/>
              <w:bottom w:type="dxa" w:w="80"/>
              <w:right w:type="dxa" w:w="100"/>
            </w:tcMar>
            <w:vAlign w:val="center"/>
          </w:tcPr>
          <w:p>
            <w:r>
              <w:rPr>
                <w:rFonts w:ascii="Arial" w:cs="Arial" w:eastAsia="Arial" w:hAnsi="Arial"/>
                <w:b w:val="false"/>
                <w:bCs w:val="false"/>
                <w:color w:val="1a0533"/>
                <w:sz w:val="20"/>
                <w:szCs w:val="20"/>
              </w:rPr>
              <w:t xml:space="preserve">Auto-generate PDF completion certificates for students</w:t>
            </w:r>
          </w:p>
        </w:tc>
      </w:tr>
    </w:tbl>
    <w:p>
      <w:pPr>
        <w:spacing w:after="0" w:before="240"/>
      </w:pPr>
      <w:r>
        <w:t xml:space="preserve"/>
      </w:r>
    </w:p>
    <w:p>
      <w:pPr>
        <w:pBdr>
          <w:bottom w:val="single" w:color="00b4cc" w:sz="6"/>
        </w:pBdr>
        <w:shd w:fill="1a0533" w:val="clear"/>
        <w:spacing w:after="100" w:before="200"/>
        <w:ind w:left="200" w:right="200"/>
      </w:pPr>
      <w:r>
        <w:rPr>
          <w:rFonts w:ascii="Arial" w:cs="Arial" w:eastAsia="Arial" w:hAnsi="Arial"/>
          <w:b/>
          <w:bCs/>
          <w:color w:val="FFFFFF"/>
          <w:sz w:val="28"/>
          <w:szCs w:val="28"/>
        </w:rPr>
        <w:t xml:space="preserve">13.  Conclusion</w:t>
      </w:r>
    </w:p>
    <w:p>
      <w:pPr>
        <w:spacing w:after="0" w:before="120"/>
      </w:pPr>
      <w:r>
        <w:t xml:space="preserve"/>
      </w:r>
    </w:p>
    <w:p>
      <w:pPr>
        <w:spacing w:after="80" w:before="80"/>
        <w:jc w:val="both"/>
      </w:pPr>
      <w:r>
        <w:rPr>
          <w:rFonts w:ascii="Arial" w:cs="Arial" w:eastAsia="Arial" w:hAnsi="Arial"/>
          <w:color w:val="1a0533"/>
          <w:sz w:val="22"/>
          <w:szCs w:val="22"/>
        </w:rPr>
        <w:t xml:space="preserve">Sentence Surgeon demonstrates how thoughtfully designed educational technology can transform routine grammar drills into an immersive, motivating, and pedagogically sound learning experience. By embedding it within the PWA format, the application achieves maximum reach — functioning on any device, without any cost barrier or internet dependency — making it a truly equitable tool for students across Jammu &amp; Kashmir and beyond.</w:t>
      </w:r>
    </w:p>
    <w:p>
      <w:pPr>
        <w:spacing w:after="0" w:before="80"/>
      </w:pPr>
      <w:r>
        <w:t xml:space="preserve"/>
      </w:r>
    </w:p>
    <w:p>
      <w:pPr>
        <w:spacing w:after="80" w:before="80"/>
        <w:jc w:val="both"/>
      </w:pPr>
      <w:r>
        <w:rPr>
          <w:rFonts w:ascii="Arial" w:cs="Arial" w:eastAsia="Arial" w:hAnsi="Arial"/>
          <w:color w:val="1a0533"/>
          <w:sz w:val="22"/>
          <w:szCs w:val="22"/>
        </w:rPr>
        <w:t xml:space="preserve">As Dr. Mateen Yousuf affirms: "Technology is just a tool. In terms of getting the kids working together and motivating them, the teacher is the most important." Sentence Surgeon is built on that belief — a tool that amplifies the teacher's impact, not replaces it.</w:t>
      </w:r>
    </w:p>
    <w:p>
      <w:pPr>
        <w:spacing w:after="0" w:before="400"/>
      </w:pPr>
      <w:r>
        <w:t xml:space="preserve"/>
      </w:r>
    </w:p>
    <w:p>
      <w:pPr>
        <w:spacing w:after="40" w:before="400"/>
        <w:jc w:val="right"/>
      </w:pPr>
      <w:r>
        <w:rPr>
          <w:rFonts w:ascii="Arial" w:cs="Arial" w:eastAsia="Arial" w:hAnsi="Arial"/>
          <w:b/>
          <w:bCs/>
          <w:color w:val="2d0f5e"/>
          <w:sz w:val="26"/>
          <w:szCs w:val="26"/>
        </w:rPr>
        <w:t xml:space="preserve">Dr. Mateen Yousuf</w:t>
      </w:r>
    </w:p>
    <w:p>
      <w:pPr>
        <w:spacing w:after="20" w:before="0"/>
        <w:jc w:val="right"/>
      </w:pPr>
      <w:r>
        <w:rPr>
          <w:rFonts w:ascii="Arial" w:cs="Arial" w:eastAsia="Arial" w:hAnsi="Arial"/>
          <w:i/>
          <w:iCs/>
          <w:color w:val="555577"/>
          <w:sz w:val="22"/>
          <w:szCs w:val="22"/>
        </w:rPr>
        <w:t xml:space="preserve">Teacher | Author &amp; Developer</w:t>
      </w:r>
    </w:p>
    <w:p>
      <w:pPr>
        <w:spacing w:after="20" w:before="0"/>
        <w:jc w:val="right"/>
      </w:pPr>
      <w:r>
        <w:rPr>
          <w:rFonts w:ascii="Arial" w:cs="Arial" w:eastAsia="Arial" w:hAnsi="Arial"/>
          <w:color w:val="555577"/>
          <w:sz w:val="22"/>
          <w:szCs w:val="22"/>
        </w:rPr>
        <w:t xml:space="preserve">School Education Department, Jammu &amp; Kashmir</w:t>
      </w:r>
    </w:p>
    <w:p>
      <w:pPr>
        <w:spacing w:after="20" w:before="0"/>
        <w:jc w:val="right"/>
      </w:pPr>
      <w:r>
        <w:rPr>
          <w:rFonts w:ascii="Arial" w:cs="Arial" w:eastAsia="Arial" w:hAnsi="Arial"/>
          <w:color w:val="555577"/>
          <w:sz w:val="22"/>
          <w:szCs w:val="22"/>
        </w:rPr>
        <w:t xml:space="preserve">GGHSS Khanyar, J&amp;K, India</w:t>
      </w:r>
    </w:p>
    <w:p>
      <w:pPr>
        <w:spacing w:after="0" w:before="0"/>
        <w:jc w:val="right"/>
      </w:pPr>
      <w:r>
        <w:rPr>
          <w:rFonts w:ascii="Arial" w:cs="Arial" w:eastAsia="Arial" w:hAnsi="Arial"/>
          <w:color w:val="00b4cc"/>
          <w:sz w:val="22"/>
          <w:szCs w:val="22"/>
        </w:rPr>
        <w:t xml:space="preserve">mateenyousuf.edu@gmail.com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900a" w:sz="4"/>
      </w:pBdr>
      <w:spacing w:after="0" w:before="80"/>
      <w:jc w:val="center"/>
    </w:pPr>
    <w:r>
      <w:rPr>
        <w:rFonts w:ascii="Arial" w:cs="Arial" w:eastAsia="Arial" w:hAnsi="Arial"/>
        <w:color w:val="555577"/>
        <w:sz w:val="16"/>
        <w:szCs w:val="16"/>
      </w:rPr>
      <w:t xml:space="preserve">GGHSS Khanyar, School Education Dept., J&amp;K  |  </w:t>
    </w:r>
    <w:r>
      <w:rPr>
        <w:rFonts w:ascii="Arial" w:cs="Arial" w:eastAsia="Arial" w:hAnsi="Arial"/>
        <w:color w:val="555577"/>
        <w:sz w:val="16"/>
        <w:szCs w:val="16"/>
      </w:rPr>
      <w:t xml:space="preserve">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b4cc" w:sz="6"/>
      </w:pBdr>
      <w:spacing w:after="80" w:before="0"/>
    </w:pPr>
    <w:r>
      <w:rPr>
        <w:rFonts w:ascii="Arial" w:cs="Arial" w:eastAsia="Arial" w:hAnsi="Arial"/>
        <w:b/>
        <w:bCs/>
        <w:color w:val="2d0f5e"/>
        <w:sz w:val="18"/>
        <w:szCs w:val="18"/>
      </w:rPr>
      <w:t xml:space="preserve">Sentence Surgeon – Grammar Game PWA</w:t>
    </w:r>
    <w:r>
      <w:rPr>
        <w:rFonts w:ascii="Arial" w:cs="Arial" w:eastAsia="Arial" w:hAnsi="Arial"/>
        <w:color w:val="555577"/>
        <w:sz w:val="18"/>
        <w:szCs w:val="18"/>
      </w:rPr>
      <w:t xml:space="preserve">   |   Official Documentation   |   Dr. Mateen Yousuf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05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0d4100a4a916141e8a49a4b92d5fb809cb4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Sentence Surgeon – Grammar Game PWA Documentation</dc:title>
  <dc:creator>Dr. Mateen Yousuf</dc:creator>
  <dc:description>Official documentation for the Sentence Surgeon Progressive Web App by Dr. Mateen Yousuf</dc:description>
  <cp:lastModifiedBy>Un-named</cp:lastModifiedBy>
  <cp:revision>1</cp:revision>
  <dcterms:created xsi:type="dcterms:W3CDTF">2026-06-10T04:42:40.916Z</dcterms:created>
  <dcterms:modified xsi:type="dcterms:W3CDTF">2026-06-10T04:42:40.916Z</dcterms:modified>
</cp:coreProperties>
</file>

<file path=docProps/custom.xml><?xml version="1.0" encoding="utf-8"?>
<Properties xmlns="http://schemas.openxmlformats.org/officeDocument/2006/custom-properties" xmlns:vt="http://schemas.openxmlformats.org/officeDocument/2006/docPropsVTypes"/>
</file>