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70e1e" w:val="clear"/>
            <w:tcMar>
              <w:top w:type="dxa" w:w="300"/>
              <w:left w:type="dxa" w:w="400"/>
              <w:bottom w:type="dxa" w:w="300"/>
              <w:right w:type="dxa" w:w="400"/>
            </w:tcMar>
          </w:tcPr>
          <w:p>
            <w:pPr>
              <w:spacing w:after="60" w:before="0"/>
              <w:jc w:val="center"/>
            </w:pPr>
            <w:r>
              <w:rPr>
                <w:rFonts w:ascii="Arial" w:cs="Arial" w:eastAsia="Arial" w:hAnsi="Arial"/>
                <w:sz w:val="72"/>
                <w:szCs w:val="72"/>
              </w:rPr>
              <w:t xml:space="preserve">🌍</w:t>
            </w:r>
          </w:p>
          <w:p>
            <w:pPr>
              <w:spacing w:after="40" w:before="0"/>
              <w:jc w:val="center"/>
            </w:pPr>
            <w:r>
              <w:rPr>
                <w:rFonts w:ascii="Arial" w:cs="Arial" w:eastAsia="Arial" w:hAnsi="Arial"/>
                <w:b/>
                <w:bCs/>
                <w:color w:val="ffcc00"/>
                <w:sz w:val="72"/>
                <w:szCs w:val="72"/>
              </w:rPr>
              <w:t xml:space="preserve">GEO QUEST</w:t>
            </w:r>
          </w:p>
          <w:p>
            <w:pPr>
              <w:spacing w:after="40" w:before="0"/>
              <w:jc w:val="center"/>
            </w:pPr>
            <w:r>
              <w:rPr>
                <w:rFonts w:ascii="Arial" w:cs="Arial" w:eastAsia="Arial" w:hAnsi="Arial"/>
                <w:b/>
                <w:bCs/>
                <w:color w:val="90e0ef"/>
                <w:sz w:val="48"/>
                <w:szCs w:val="48"/>
              </w:rPr>
              <w:t xml:space="preserve">FIND IT FAST</w:t>
            </w:r>
          </w:p>
          <w:p>
            <w:pPr>
              <w:spacing w:after="20" w:before="0"/>
              <w:jc w:val="center"/>
            </w:pPr>
            <w:r>
              <w:rPr>
                <w:rFonts w:ascii="Arial" w:cs="Arial" w:eastAsia="Arial" w:hAnsi="Arial"/>
                <w:i/>
                <w:iCs/>
                <w:color w:val="AADDFF"/>
                <w:sz w:val="26"/>
                <w:szCs w:val="26"/>
              </w:rPr>
              <w:t xml:space="preserve">Educational PWA App – Full Documentation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b4d8" w:sz="4"/>
              <w:left w:val="single" w:color="00b4d8" w:sz="4"/>
              <w:bottom w:val="single" w:color="00b4d8" w:sz="4"/>
              <w:right w:val="single" w:color="00b4d8" w:sz="4"/>
            </w:tcBorders>
            <w:shd w:fill="eaf6fb" w:val="clear"/>
            <w:tcMar>
              <w:top w:type="dxa" w:w="120"/>
              <w:left w:type="dxa" w:w="120"/>
              <w:bottom w:type="dxa" w:w="120"/>
              <w:right w:type="dxa" w:w="120"/>
            </w:tcMar>
            <w:vAlign w:val="center"/>
          </w:tcPr>
          <w:p>
            <w:pPr>
              <w:spacing w:after="0" w:before="0"/>
              <w:jc w:val="center"/>
            </w:pPr>
            <w:r>
              <w:drawing>
                <wp:inline distT="0" distB="0" distL="0" distR="0">
                  <wp:extent cx="1238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428750"/>
                          </a:xfrm>
                          <a:prstGeom prst="rect">
                            <a:avLst/>
                          </a:prstGeom>
                        </pic:spPr>
                      </pic:pic>
                    </a:graphicData>
                  </a:graphic>
                </wp:inline>
              </w:drawing>
            </w:r>
          </w:p>
        </w:tc>
        <w:tc>
          <w:tcPr>
            <w:tcW w:type="dxa" w:w="6960"/>
            <w:tcBorders>
              <w:top w:val="single" w:color="00b4d8" w:sz="4"/>
              <w:left w:val="single" w:color="00b4d8" w:sz="4"/>
              <w:bottom w:val="single" w:color="00b4d8" w:sz="4"/>
              <w:right w:val="single" w:color="00b4d8" w:sz="4"/>
            </w:tcBorders>
            <w:shd w:fill="0d1b35" w:val="clear"/>
            <w:tcMar>
              <w:top w:type="dxa" w:w="160"/>
              <w:left w:type="dxa" w:w="240"/>
              <w:bottom w:type="dxa" w:w="160"/>
              <w:right w:type="dxa" w:w="240"/>
            </w:tcMar>
            <w:vAlign w:val="center"/>
          </w:tcPr>
          <w:p>
            <w:pPr>
              <w:spacing w:after="60" w:before="0"/>
            </w:pPr>
            <w:r>
              <w:rPr>
                <w:rFonts w:ascii="Arial" w:cs="Arial" w:eastAsia="Arial" w:hAnsi="Arial"/>
                <w:b/>
                <w:bCs/>
                <w:color w:val="ffcc00"/>
                <w:sz w:val="20"/>
                <w:szCs w:val="20"/>
              </w:rPr>
              <w:t xml:space="preserve">AUTHOR &amp; DEVELOPER</w:t>
            </w:r>
          </w:p>
          <w:p>
            <w:pPr>
              <w:spacing w:after="80" w:before="0"/>
            </w:pPr>
            <w:r>
              <w:rPr>
                <w:rFonts w:ascii="Arial" w:cs="Arial" w:eastAsia="Arial" w:hAnsi="Arial"/>
                <w:b/>
                <w:bCs/>
                <w:color w:val="FFFFFF"/>
                <w:sz w:val="38"/>
                <w:szCs w:val="38"/>
              </w:rPr>
              <w:t xml:space="preserve">Dr. Mateen Yousuf</w:t>
            </w:r>
          </w:p>
          <w:p>
            <w:pPr>
              <w:spacing w:after="40" w:before="0"/>
            </w:pPr>
            <w:r>
              <w:rPr>
                <w:rFonts w:ascii="Arial" w:cs="Arial" w:eastAsia="Arial" w:hAnsi="Arial"/>
                <w:color w:val="90e0ef"/>
                <w:sz w:val="24"/>
                <w:szCs w:val="24"/>
              </w:rPr>
              <w:t xml:space="preserve">Teacher</w:t>
            </w:r>
          </w:p>
          <w:p>
            <w:pPr>
              <w:spacing w:after="40" w:before="0"/>
            </w:pPr>
            <w:r>
              <w:rPr>
                <w:rFonts w:ascii="Arial" w:cs="Arial" w:eastAsia="Arial" w:hAnsi="Arial"/>
                <w:color w:val="90e0ef"/>
                <w:sz w:val="24"/>
                <w:szCs w:val="24"/>
              </w:rPr>
              <w:t xml:space="preserve">School Education Department, Jammu &amp; Kashmir</w:t>
            </w:r>
          </w:p>
          <w:p>
            <w:pPr>
              <w:spacing w:after="40" w:before="0"/>
            </w:pPr>
            <w:r>
              <w:rPr>
                <w:rFonts w:ascii="Arial" w:cs="Arial" w:eastAsia="Arial" w:hAnsi="Arial"/>
                <w:color w:val="AADDFF"/>
                <w:sz w:val="22"/>
                <w:szCs w:val="22"/>
              </w:rPr>
              <w:t xml:space="preserve">📧 mateenyousuf.edu@gmail.com</w:t>
            </w:r>
          </w:p>
          <w:p>
            <w:pPr>
              <w:spacing w:after="0" w:before="0"/>
            </w:pPr>
            <w:r>
              <w:rPr>
                <w:rFonts w:ascii="Arial" w:cs="Arial" w:eastAsia="Arial" w:hAnsi="Arial"/>
                <w:color w:val="AADDFF"/>
                <w:sz w:val="22"/>
                <w:szCs w:val="22"/>
              </w:rPr>
              <w:t xml:space="preserve">📍 Jammu &amp; Kashmir, India</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c853" w:sz="1"/>
              <w:left w:val="single" w:color="00c853" w:sz="1"/>
              <w:bottom w:val="single" w:color="00c853" w:sz="1"/>
              <w:right w:val="single" w:color="00c853" w:sz="1"/>
            </w:tcBorders>
            <w:shd w:fill="00c853" w:val="clear"/>
            <w:tcMar>
              <w:top w:type="dxa" w:w="100"/>
              <w:left w:type="dxa" w:w="100"/>
              <w:bottom w:type="dxa" w:w="100"/>
              <w:right w:type="dxa" w:w="100"/>
            </w:tcMar>
          </w:tcPr>
          <w:p>
            <w:pPr>
              <w:spacing w:after="0" w:before="0"/>
              <w:jc w:val="center"/>
            </w:pPr>
            <w:r>
              <w:rPr>
                <w:rFonts w:ascii="Arial" w:cs="Arial" w:eastAsia="Arial" w:hAnsi="Arial"/>
                <w:b/>
                <w:bCs/>
                <w:color w:val="070e1e"/>
                <w:sz w:val="26"/>
                <w:szCs w:val="26"/>
              </w:rPr>
              <w:t xml:space="preserve">LEARN</w:t>
            </w:r>
          </w:p>
        </w:tc>
        <w:tc>
          <w:tcPr>
            <w:tcW w:type="dxa" w:w="2340"/>
            <w:tcBorders>
              <w:top w:val="single" w:color="ffcc00" w:sz="1"/>
              <w:left w:val="single" w:color="ffcc00" w:sz="1"/>
              <w:bottom w:val="single" w:color="ffcc00" w:sz="1"/>
              <w:right w:val="single" w:color="ffcc00" w:sz="1"/>
            </w:tcBorders>
            <w:shd w:fill="ffcc00" w:val="clear"/>
            <w:tcMar>
              <w:top w:type="dxa" w:w="100"/>
              <w:left w:type="dxa" w:w="100"/>
              <w:bottom w:type="dxa" w:w="100"/>
              <w:right w:type="dxa" w:w="100"/>
            </w:tcMar>
          </w:tcPr>
          <w:p>
            <w:pPr>
              <w:spacing w:after="0" w:before="0"/>
              <w:jc w:val="center"/>
            </w:pPr>
            <w:r>
              <w:rPr>
                <w:rFonts w:ascii="Arial" w:cs="Arial" w:eastAsia="Arial" w:hAnsi="Arial"/>
                <w:b/>
                <w:bCs/>
                <w:color w:val="070e1e"/>
                <w:sz w:val="26"/>
                <w:szCs w:val="26"/>
              </w:rPr>
              <w:t xml:space="preserve">PLAY</w:t>
            </w:r>
          </w:p>
        </w:tc>
        <w:tc>
          <w:tcPr>
            <w:tcW w:type="dxa" w:w="2340"/>
            <w:tcBorders>
              <w:top w:val="single" w:color="00b4d8" w:sz="1"/>
              <w:left w:val="single" w:color="00b4d8" w:sz="1"/>
              <w:bottom w:val="single" w:color="00b4d8" w:sz="1"/>
              <w:right w:val="single" w:color="00b4d8" w:sz="1"/>
            </w:tcBorders>
            <w:shd w:fill="00b4d8" w:val="clear"/>
            <w:tcMar>
              <w:top w:type="dxa" w:w="100"/>
              <w:left w:type="dxa" w:w="100"/>
              <w:bottom w:type="dxa" w:w="100"/>
              <w:right w:type="dxa" w:w="100"/>
            </w:tcMar>
          </w:tcPr>
          <w:p>
            <w:pPr>
              <w:spacing w:after="0" w:before="0"/>
              <w:jc w:val="center"/>
            </w:pPr>
            <w:r>
              <w:rPr>
                <w:rFonts w:ascii="Arial" w:cs="Arial" w:eastAsia="Arial" w:hAnsi="Arial"/>
                <w:b/>
                <w:bCs/>
                <w:color w:val="070e1e"/>
                <w:sz w:val="26"/>
                <w:szCs w:val="26"/>
              </w:rPr>
              <w:t xml:space="preserve">GROW</w:t>
            </w:r>
          </w:p>
        </w:tc>
        <w:tc>
          <w:tcPr>
            <w:tcW w:type="dxa" w:w="2340"/>
            <w:tcBorders>
              <w:top w:val="single" w:color="9b59b6" w:sz="1"/>
              <w:left w:val="single" w:color="9b59b6" w:sz="1"/>
              <w:bottom w:val="single" w:color="9b59b6" w:sz="1"/>
              <w:right w:val="single" w:color="9b59b6" w:sz="1"/>
            </w:tcBorders>
            <w:shd w:fill="9b59b6" w:val="clear"/>
            <w:tcMar>
              <w:top w:type="dxa" w:w="100"/>
              <w:left w:type="dxa" w:w="100"/>
              <w:bottom w:type="dxa" w:w="100"/>
              <w:right w:type="dxa" w:w="100"/>
            </w:tcMar>
          </w:tcPr>
          <w:p>
            <w:pPr>
              <w:spacing w:after="0" w:before="0"/>
              <w:jc w:val="center"/>
            </w:pPr>
            <w:r>
              <w:rPr>
                <w:rFonts w:ascii="Arial" w:cs="Arial" w:eastAsia="Arial" w:hAnsi="Arial"/>
                <w:b/>
                <w:bCs/>
                <w:color w:val="070e1e"/>
                <w:sz w:val="26"/>
                <w:szCs w:val="26"/>
              </w:rPr>
              <w:t xml:space="preserve">SUCCEED</w:t>
            </w:r>
          </w:p>
        </w:tc>
      </w:tr>
    </w:tbl>
    <w:p>
      <w:pPr>
        <w:spacing w:after="160" w:before="0"/>
      </w:pPr>
      <w:r>
        <w:t xml:space="preserve"/>
      </w:r>
    </w:p>
    <w:p>
      <w:pPr>
        <w:spacing w:after="60" w:before="60"/>
        <w:jc w:val="center"/>
      </w:pPr>
      <w:r>
        <w:rPr>
          <w:rFonts w:ascii="Arial" w:cs="Arial" w:eastAsia="Arial" w:hAnsi="Arial"/>
          <w:b/>
          <w:bCs/>
          <w:color w:val="1a3a6b"/>
          <w:sz w:val="24"/>
          <w:szCs w:val="24"/>
        </w:rPr>
        <w:t xml:space="preserve">A Smart Digital Learning Companion for Every Learner</w:t>
      </w:r>
    </w:p>
    <w:p>
      <w:pPr>
        <w:spacing w:after="40" w:before="40"/>
        <w:jc w:val="center"/>
      </w:pPr>
      <w:r>
        <w:rPr>
          <w:rFonts w:ascii="Arial" w:cs="Arial" w:eastAsia="Arial" w:hAnsi="Arial"/>
          <w:i/>
          <w:iCs/>
          <w:color w:val="6b8cae"/>
          <w:sz w:val="20"/>
          <w:szCs w:val="20"/>
        </w:rPr>
        <w:t xml:space="preserve">Designed &amp; Developed with Passion for Education | Empowering Young Minds | Building a Stronger, Smarter India</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0e1e" w:sz="1"/>
              <w:left w:val="single" w:color="070e1e" w:sz="1"/>
              <w:bottom w:val="single" w:color="070e1e" w:sz="1"/>
              <w:right w:val="single" w:color="070e1e" w:sz="1"/>
            </w:tcBorders>
            <w:shd w:fill="070e1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 App Overview &amp; Game Description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single" w:color="00b4d8" w:sz="4"/>
              <w:bottom w:val="single" w:color="00b4d8" w:sz="4"/>
              <w:right w:val="single" w:color="00b4d8" w:sz="4"/>
            </w:tcBorders>
            <w:shd w:fill="eaf6fb" w:val="clear"/>
            <w:tcMar>
              <w:top w:type="dxa" w:w="160"/>
              <w:left w:type="dxa" w:w="200"/>
              <w:bottom w:type="dxa" w:w="160"/>
              <w:right w:type="dxa" w:w="200"/>
            </w:tcMar>
          </w:tcPr>
          <w:p>
            <w:pPr>
              <w:spacing w:after="80" w:before="0"/>
            </w:pPr>
            <w:r>
              <w:rPr>
                <w:rFonts w:ascii="Arial" w:cs="Arial" w:eastAsia="Arial" w:hAnsi="Arial"/>
                <w:b/>
                <w:bCs/>
                <w:color w:val="070e1e"/>
                <w:sz w:val="28"/>
                <w:szCs w:val="28"/>
              </w:rPr>
              <w:t xml:space="preserve">What is Geo Quest – Find It Fast?</w:t>
            </w:r>
          </w:p>
          <w:p>
            <w:pPr>
              <w:spacing w:after="0" w:before="0"/>
            </w:pPr>
            <w:r>
              <w:rPr>
                <w:rFonts w:ascii="Arial" w:cs="Arial" w:eastAsia="Arial" w:hAnsi="Arial"/>
                <w:color w:val="1a1a2e"/>
                <w:sz w:val="22"/>
                <w:szCs w:val="22"/>
              </w:rPr>
              <w:t xml:space="preserve">Geo Quest – Find It Fast is an engaging, curriculum-aligned Progressive Web App (PWA) designed to make world geography exciting and accessible for students from Class 5 onwards (ages 10+). The app presents 120 carefully curated geography questions organised across four progressive levels — Countries, Cities, Rivers &amp; Mountains, and Oceans &amp; More — offering learners a structured yet playful pathway from foundational geographic knowledge to advanced global awareness. With four distinct game modes (Quick Locate, Guess the Place, Timed Race, and Clue Unlock), a dynamic scoring system, local leaderboards, and real-time performance tracking, Geo Quest transforms rote map-learning into an active, self-paced, and rewarding experience that strongly aligns with the principles of NEP 2020 and the National Curriculum Framework (NCF).</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Attribute</w:t>
            </w:r>
          </w:p>
        </w:tc>
        <w:tc>
          <w:tcPr>
            <w:tcW w:type="dxa" w:w="624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Details</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App Name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Geo Quest – Find It Fast</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App Type</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Progressive Web App (PWA)</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Target Audience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Students (Class 5 and above, ages 10+)</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Total Questions</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120 Questions across 4 Levels (30 each)</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Platform</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Browser-based (works on mobile, tablet, desktop)</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Offline Capable</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Yes – Service Worker enabled for offline use</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Subject Area</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World Geography</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Curriculum Alignment</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NEP 2020, NCF (National Curriculum Framework)</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Language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English</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Developer</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Dr. Mateen Yousuf, School Education Department, J&amp;K</w:t>
            </w:r>
          </w:p>
        </w:tc>
      </w:tr>
    </w:tbl>
    <w:p>
      <w:pPr>
        <w:spacing w:after="120" w:before="0"/>
      </w:pPr>
      <w:r>
        <w:t xml:space="preserve"/>
      </w:r>
    </w:p>
    <w:p>
      <w:pPr>
        <w:pStyle w:val="Heading2"/>
        <w:spacing w:after="120" w:before="240"/>
      </w:pPr>
      <w:r>
        <w:rPr>
          <w:rFonts w:ascii="Arial" w:cs="Arial" w:eastAsia="Arial" w:hAnsi="Arial"/>
          <w:b/>
          <w:bCs/>
          <w:color w:val="1a3a6b"/>
          <w:sz w:val="28"/>
          <w:szCs w:val="28"/>
        </w:rPr>
        <w:t xml:space="preserve">Educational Purpose</w:t>
      </w:r>
    </w:p>
    <w:p>
      <w:pPr>
        <w:spacing w:after="80" w:before="80"/>
        <w:jc w:val="left"/>
      </w:pPr>
      <w:r>
        <w:rPr>
          <w:rFonts w:ascii="Arial" w:cs="Arial" w:eastAsia="Arial" w:hAnsi="Arial"/>
          <w:color w:val="1a1a2e"/>
          <w:sz w:val="22"/>
          <w:szCs w:val="22"/>
        </w:rPr>
        <w:t xml:space="preserve">Geo Quest – Find It Fast is purpose-built to address a common challenge in geography education: making abstract map knowledge tangible, memorable, and enjoyable. The app serves students from upper primary through secondary level (Class 5–12, approximately ages 10–18), with particular utility for:</w:t>
      </w:r>
    </w:p>
    <w:p>
      <w:pPr>
        <w:pStyle w:val="ListParagraph"/>
        <w:numPr>
          <w:ilvl w:val="0"/>
          <w:numId w:val="2"/>
        </w:numPr>
        <w:spacing w:after="40" w:before="40"/>
      </w:pPr>
      <w:r>
        <w:rPr>
          <w:rFonts w:ascii="Arial" w:cs="Arial" w:eastAsia="Arial" w:hAnsi="Arial"/>
          <w:color w:val="1a1a2e"/>
          <w:sz w:val="22"/>
          <w:szCs w:val="22"/>
        </w:rPr>
        <w:t xml:space="preserve">Students preparing for competitive examinations that include geography components</w:t>
      </w:r>
    </w:p>
    <w:p>
      <w:pPr>
        <w:pStyle w:val="ListParagraph"/>
        <w:numPr>
          <w:ilvl w:val="0"/>
          <w:numId w:val="2"/>
        </w:numPr>
        <w:spacing w:after="40" w:before="40"/>
      </w:pPr>
      <w:r>
        <w:rPr>
          <w:rFonts w:ascii="Arial" w:cs="Arial" w:eastAsia="Arial" w:hAnsi="Arial"/>
          <w:color w:val="1a1a2e"/>
          <w:sz w:val="22"/>
          <w:szCs w:val="22"/>
        </w:rPr>
        <w:t xml:space="preserve">Classroom enrichment as a supplementary digital resource</w:t>
      </w:r>
    </w:p>
    <w:p>
      <w:pPr>
        <w:pStyle w:val="ListParagraph"/>
        <w:numPr>
          <w:ilvl w:val="0"/>
          <w:numId w:val="2"/>
        </w:numPr>
        <w:spacing w:after="40" w:before="40"/>
      </w:pPr>
      <w:r>
        <w:rPr>
          <w:rFonts w:ascii="Arial" w:cs="Arial" w:eastAsia="Arial" w:hAnsi="Arial"/>
          <w:color w:val="1a1a2e"/>
          <w:sz w:val="22"/>
          <w:szCs w:val="22"/>
        </w:rPr>
        <w:t xml:space="preserve">Self-paced independent learning and revision at home</w:t>
      </w:r>
    </w:p>
    <w:p>
      <w:pPr>
        <w:pStyle w:val="ListParagraph"/>
        <w:numPr>
          <w:ilvl w:val="0"/>
          <w:numId w:val="2"/>
        </w:numPr>
        <w:spacing w:after="40" w:before="40"/>
      </w:pPr>
      <w:r>
        <w:rPr>
          <w:rFonts w:ascii="Arial" w:cs="Arial" w:eastAsia="Arial" w:hAnsi="Arial"/>
          <w:color w:val="1a1a2e"/>
          <w:sz w:val="22"/>
          <w:szCs w:val="22"/>
        </w:rPr>
        <w:t xml:space="preserve">Teachers seeking ready-to-use, standards-aligned digital tools</w:t>
      </w:r>
    </w:p>
    <w:p>
      <w:pPr>
        <w:pStyle w:val="ListParagraph"/>
        <w:numPr>
          <w:ilvl w:val="0"/>
          <w:numId w:val="2"/>
        </w:numPr>
        <w:spacing w:after="40" w:before="40"/>
      </w:pPr>
      <w:r>
        <w:rPr>
          <w:rFonts w:ascii="Arial" w:cs="Arial" w:eastAsia="Arial" w:hAnsi="Arial"/>
          <w:color w:val="1a1a2e"/>
          <w:sz w:val="22"/>
          <w:szCs w:val="22"/>
        </w:rPr>
        <w:t xml:space="preserve">Schools aiming to integrate technology with curriculum goals per NEP 2020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2. Features of the App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4"/>
              <w:left w:val="single" w:color="DDDDDD" w:sz="4"/>
              <w:bottom w:val="single" w:color="DDDDDD" w:sz="4"/>
              <w:right w:val="single" w:color="DDDDDD"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Feature</w:t>
            </w:r>
          </w:p>
        </w:tc>
        <w:tc>
          <w:tcPr>
            <w:tcW w:type="dxa" w:w="3510"/>
            <w:tcBorders>
              <w:top w:val="single" w:color="DDDDDD" w:sz="4"/>
              <w:left w:val="single" w:color="DDDDDD" w:sz="4"/>
              <w:bottom w:val="single" w:color="DDDDDD" w:sz="4"/>
              <w:right w:val="single" w:color="DDDDDD"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c>
          <w:tcPr>
            <w:tcW w:type="dxa" w:w="3510"/>
            <w:tcBorders>
              <w:top w:val="single" w:color="DDDDDD" w:sz="4"/>
              <w:left w:val="single" w:color="DDDDDD" w:sz="4"/>
              <w:bottom w:val="single" w:color="DDDDDD" w:sz="4"/>
              <w:right w:val="single" w:color="DDDDDD"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Benefits &amp; Skills</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Quick Locate Mode</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Read a clue, select from 4 multiple-choice options within 30 seconds</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Concept clarity, visual learning, engagement</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Guess the Place Mode</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Type the answer based on a descriptive clue within 45 seconds</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Active recall, spelling, higher-order thinking</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Timed Race Mode</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60-second speed challenge — answer as many as possible</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Quick recall, motivation, competitive spirit</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Clue Unlock Mode</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Progressive clue revelation — guess before all 3 clues appear for maximum points</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Strategic thinking, deductive reasoning</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4-Level Question Bank</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120 questions across Countries, Cities, Rivers &amp; Mountains, Oceans &amp; More</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Structured, scaffolded geography learning</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Dynamic Scoring System</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Points awarded based on speed, accuracy, and clue usage</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Self-monitoring, goal setting, improvement</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Leaderboard</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Top scores stored locally across all game modes</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Encouragement, achievement, confidence</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Progress Tracker</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Tracks total games, best score, and accuracy percentage</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Data-driven self-assessment</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Level Filters</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Play all levels or focus on one specific category</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Targeted practice, personalised learning</w:t>
            </w:r>
          </w:p>
        </w:tc>
      </w:tr>
      <w:tr>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Offline Access</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Service Worker caches the app for use without internet</w:t>
            </w:r>
          </w:p>
        </w:tc>
        <w:tc>
          <w:tcPr>
            <w:tcW w:type="dxa" w:w="351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Anytime, anywhere learning</w:t>
            </w:r>
          </w:p>
        </w:tc>
      </w:tr>
      <w:tr>
        <w:tc>
          <w:tcPr>
            <w:tcW w:type="dxa" w:w="23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Responsive Design</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Works seamlessly on phones, tablets, and computers</w:t>
            </w:r>
          </w:p>
        </w:tc>
        <w:tc>
          <w:tcPr>
            <w:tcW w:type="dxa" w:w="351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Inclusive, accessible for all devices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1"/>
              <w:left w:val="single" w:color="00c853" w:sz="1"/>
              <w:bottom w:val="single" w:color="00c853" w:sz="1"/>
              <w:right w:val="single" w:color="00c853" w:sz="1"/>
            </w:tcBorders>
            <w:shd w:fill="00c853"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3. How to Play / How to Use</w:t>
            </w:r>
          </w:p>
        </w:tc>
      </w:tr>
    </w:tbl>
    <w:p>
      <w:pPr>
        <w:spacing w:after="80" w:before="0"/>
      </w:pPr>
      <w:r>
        <w:t xml:space="preserve"/>
      </w:r>
    </w:p>
    <w:p>
      <w:pPr>
        <w:pStyle w:val="Heading2"/>
        <w:spacing w:after="120" w:before="240"/>
      </w:pPr>
      <w:r>
        <w:rPr>
          <w:rFonts w:ascii="Arial" w:cs="Arial" w:eastAsia="Arial" w:hAnsi="Arial"/>
          <w:b/>
          <w:bCs/>
          <w:color w:val="1a3a6b"/>
          <w:sz w:val="28"/>
          <w:szCs w:val="28"/>
        </w:rPr>
        <w:t xml:space="preserve">Getting Started</w:t>
      </w:r>
    </w:p>
    <w:p>
      <w:pPr>
        <w:spacing w:after="80" w:before="80"/>
        <w:jc w:val="left"/>
      </w:pPr>
      <w:r>
        <w:rPr>
          <w:rFonts w:ascii="Arial" w:cs="Arial" w:eastAsia="Arial" w:hAnsi="Arial"/>
          <w:color w:val="1a1a2e"/>
          <w:sz w:val="22"/>
          <w:szCs w:val="22"/>
        </w:rPr>
        <w:t xml:space="preserve">Install the PWA directly from your browser — tap "Add to Home Screen" on mobile or use the install icon on desktop. The app also runs fully in any modern web browser without installation.</w:t>
      </w:r>
    </w:p>
    <w:p>
      <w:pPr>
        <w:spacing w:after="80" w:before="0"/>
      </w:pPr>
      <w:r>
        <w:t xml:space="preserve"/>
      </w:r>
    </w:p>
    <w:p>
      <w:pPr>
        <w:pStyle w:val="Heading2"/>
        <w:spacing w:after="120" w:before="240"/>
      </w:pPr>
      <w:r>
        <w:rPr>
          <w:rFonts w:ascii="Arial" w:cs="Arial" w:eastAsia="Arial" w:hAnsi="Arial"/>
          <w:b/>
          <w:bCs/>
          <w:color w:val="1a3a6b"/>
          <w:sz w:val="28"/>
          <w:szCs w:val="28"/>
        </w:rPr>
        <w:t xml:space="preserve">Step-by-Step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1</w:t>
            </w:r>
          </w:p>
        </w:tc>
        <w:tc>
          <w:tcPr>
            <w:tcW w:type="dxa" w:w="8460"/>
            <w:tcBorders>
              <w:top w:val="single" w:color="00b4d8" w:sz="4"/>
              <w:left w:val="single" w:color="00b4d8" w:sz="4"/>
              <w:bottom w:val="single" w:color="00b4d8" w:sz="4"/>
              <w:right w:val="single" w:color="00b4d8" w:sz="4"/>
            </w:tcBorders>
            <w:shd w:fill="eaf6fb"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Open the app in your browser or tap the icon on your Home Screen.</w:t>
            </w:r>
          </w:p>
        </w:tc>
      </w:tr>
      <w:tr>
        <w:tc>
          <w:tcPr>
            <w:tcW w:type="dxa" w:w="900"/>
            <w:tcBorders>
              <w:top w:val="single" w:color="00b4d8" w:sz="4"/>
              <w:left w:val="single" w:color="00b4d8" w:sz="4"/>
              <w:bottom w:val="single" w:color="00b4d8" w:sz="4"/>
              <w:right w:val="single" w:color="00b4d8" w:sz="4"/>
            </w:tcBorders>
            <w:shd w:fill="0d1b35"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2</w:t>
            </w:r>
          </w:p>
        </w:tc>
        <w:tc>
          <w:tcPr>
            <w:tcW w:type="dxa" w:w="8460"/>
            <w:tcBorders>
              <w:top w:val="single" w:color="00b4d8" w:sz="4"/>
              <w:left w:val="single" w:color="00b4d8" w:sz="4"/>
              <w:bottom w:val="single" w:color="00b4d8" w:sz="4"/>
              <w:right w:val="single" w:color="00b4d8" w:sz="4"/>
            </w:tcBorders>
            <w:shd w:fill="FFFFFF"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On the Home screen, choose a Game Mode: Quick Locate, Guess the Place, Timed Race, or Clue Unlock.</w:t>
            </w:r>
          </w:p>
        </w:tc>
      </w:tr>
      <w:tr>
        <w:tc>
          <w:tcPr>
            <w:tcW w:type="dxa" w:w="90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3</w:t>
            </w:r>
          </w:p>
        </w:tc>
        <w:tc>
          <w:tcPr>
            <w:tcW w:type="dxa" w:w="8460"/>
            <w:tcBorders>
              <w:top w:val="single" w:color="00b4d8" w:sz="4"/>
              <w:left w:val="single" w:color="00b4d8" w:sz="4"/>
              <w:bottom w:val="single" w:color="00b4d8" w:sz="4"/>
              <w:right w:val="single" w:color="00b4d8" w:sz="4"/>
            </w:tcBorders>
            <w:shd w:fill="eaf6fb"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Use the Level Filter to play All Levels or focus on one: Countries, Cities, Rivers &amp; Mountains, or Oceans &amp; More.</w:t>
            </w:r>
          </w:p>
        </w:tc>
      </w:tr>
      <w:tr>
        <w:tc>
          <w:tcPr>
            <w:tcW w:type="dxa" w:w="900"/>
            <w:tcBorders>
              <w:top w:val="single" w:color="00b4d8" w:sz="4"/>
              <w:left w:val="single" w:color="00b4d8" w:sz="4"/>
              <w:bottom w:val="single" w:color="00b4d8" w:sz="4"/>
              <w:right w:val="single" w:color="00b4d8" w:sz="4"/>
            </w:tcBorders>
            <w:shd w:fill="0d1b35"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4</w:t>
            </w:r>
          </w:p>
        </w:tc>
        <w:tc>
          <w:tcPr>
            <w:tcW w:type="dxa" w:w="8460"/>
            <w:tcBorders>
              <w:top w:val="single" w:color="00b4d8" w:sz="4"/>
              <w:left w:val="single" w:color="00b4d8" w:sz="4"/>
              <w:bottom w:val="single" w:color="00b4d8" w:sz="4"/>
              <w:right w:val="single" w:color="00b4d8" w:sz="4"/>
            </w:tcBorders>
            <w:shd w:fill="FFFFFF"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Tap START GAME. A question clue appears — read it carefully.</w:t>
            </w:r>
          </w:p>
        </w:tc>
      </w:tr>
      <w:tr>
        <w:tc>
          <w:tcPr>
            <w:tcW w:type="dxa" w:w="90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5</w:t>
            </w:r>
          </w:p>
        </w:tc>
        <w:tc>
          <w:tcPr>
            <w:tcW w:type="dxa" w:w="8460"/>
            <w:tcBorders>
              <w:top w:val="single" w:color="00b4d8" w:sz="4"/>
              <w:left w:val="single" w:color="00b4d8" w:sz="4"/>
              <w:bottom w:val="single" w:color="00b4d8" w:sz="4"/>
              <w:right w:val="single" w:color="00b4d8" w:sz="4"/>
            </w:tcBorders>
            <w:shd w:fill="eaf6fb"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Select or type your answer before the timer runs out. Instant feedback shows whether you were correct.</w:t>
            </w:r>
          </w:p>
        </w:tc>
      </w:tr>
      <w:tr>
        <w:tc>
          <w:tcPr>
            <w:tcW w:type="dxa" w:w="900"/>
            <w:tcBorders>
              <w:top w:val="single" w:color="00b4d8" w:sz="4"/>
              <w:left w:val="single" w:color="00b4d8" w:sz="4"/>
              <w:bottom w:val="single" w:color="00b4d8" w:sz="4"/>
              <w:right w:val="single" w:color="00b4d8" w:sz="4"/>
            </w:tcBorders>
            <w:shd w:fill="0d1b35"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6</w:t>
            </w:r>
          </w:p>
        </w:tc>
        <w:tc>
          <w:tcPr>
            <w:tcW w:type="dxa" w:w="8460"/>
            <w:tcBorders>
              <w:top w:val="single" w:color="00b4d8" w:sz="4"/>
              <w:left w:val="single" w:color="00b4d8" w:sz="4"/>
              <w:bottom w:val="single" w:color="00b4d8" w:sz="4"/>
              <w:right w:val="single" w:color="00b4d8" w:sz="4"/>
            </w:tcBorders>
            <w:shd w:fill="FFFFFF"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Earn points based on speed and accuracy. Bonus points are awarded for fast responses.</w:t>
            </w:r>
          </w:p>
        </w:tc>
      </w:tr>
      <w:tr>
        <w:tc>
          <w:tcPr>
            <w:tcW w:type="dxa" w:w="900"/>
            <w:tcBorders>
              <w:top w:val="single" w:color="00b4d8" w:sz="4"/>
              <w:left w:val="single" w:color="00b4d8" w:sz="4"/>
              <w:bottom w:val="single" w:color="00b4d8" w:sz="4"/>
              <w:right w:val="single" w:color="00b4d8" w:sz="4"/>
            </w:tcBorders>
            <w:shd w:fill="070e1e"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7</w:t>
            </w:r>
          </w:p>
        </w:tc>
        <w:tc>
          <w:tcPr>
            <w:tcW w:type="dxa" w:w="8460"/>
            <w:tcBorders>
              <w:top w:val="single" w:color="00b4d8" w:sz="4"/>
              <w:left w:val="single" w:color="00b4d8" w:sz="4"/>
              <w:bottom w:val="single" w:color="00b4d8" w:sz="4"/>
              <w:right w:val="single" w:color="00b4d8" w:sz="4"/>
            </w:tcBorders>
            <w:shd w:fill="eaf6fb"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At the end of the round, view your Result Screen showing your score, accuracy, and completion rate.</w:t>
            </w:r>
          </w:p>
        </w:tc>
      </w:tr>
      <w:tr>
        <w:tc>
          <w:tcPr>
            <w:tcW w:type="dxa" w:w="900"/>
            <w:tcBorders>
              <w:top w:val="single" w:color="00b4d8" w:sz="4"/>
              <w:left w:val="single" w:color="00b4d8" w:sz="4"/>
              <w:bottom w:val="single" w:color="00b4d8" w:sz="4"/>
              <w:right w:val="single" w:color="00b4d8" w:sz="4"/>
            </w:tcBorders>
            <w:shd w:fill="0d1b35" w:val="clear"/>
            <w:tcMar>
              <w:top w:type="dxa" w:w="80"/>
              <w:left w:type="dxa" w:w="120"/>
              <w:bottom w:type="dxa" w:w="80"/>
              <w:right w:type="dxa" w:w="120"/>
            </w:tcMar>
            <w:vAlign w:val="center"/>
          </w:tcPr>
          <w:p>
            <w:pPr>
              <w:spacing w:after="0" w:before="0"/>
              <w:jc w:val="center"/>
            </w:pPr>
            <w:r>
              <w:rPr>
                <w:rFonts w:ascii="Arial" w:cs="Arial" w:eastAsia="Arial" w:hAnsi="Arial"/>
                <w:b/>
                <w:bCs/>
                <w:color w:val="ffcc00"/>
                <w:sz w:val="26"/>
                <w:szCs w:val="26"/>
              </w:rPr>
              <w:t xml:space="preserve">8</w:t>
            </w:r>
          </w:p>
        </w:tc>
        <w:tc>
          <w:tcPr>
            <w:tcW w:type="dxa" w:w="8460"/>
            <w:tcBorders>
              <w:top w:val="single" w:color="00b4d8" w:sz="4"/>
              <w:left w:val="single" w:color="00b4d8" w:sz="4"/>
              <w:bottom w:val="single" w:color="00b4d8" w:sz="4"/>
              <w:right w:val="single" w:color="00b4d8" w:sz="4"/>
            </w:tcBorders>
            <w:shd w:fill="FFFFFF" w:val="clear"/>
            <w:tcMar>
              <w:top w:type="dxa" w:w="80"/>
              <w:left w:type="dxa" w:w="160"/>
              <w:bottom w:type="dxa" w:w="80"/>
              <w:right w:type="dxa" w:w="120"/>
            </w:tcMar>
          </w:tcPr>
          <w:p>
            <w:pPr>
              <w:spacing w:after="0" w:before="0"/>
            </w:pPr>
            <w:r>
              <w:rPr>
                <w:rFonts w:ascii="Arial" w:cs="Arial" w:eastAsia="Arial" w:hAnsi="Arial"/>
                <w:color w:val="1a1a2e"/>
                <w:sz w:val="22"/>
                <w:szCs w:val="22"/>
              </w:rPr>
              <w:t xml:space="preserve">Check the Leaderboard to see your best performances and aim to improve.</w:t>
            </w:r>
          </w:p>
        </w:tc>
      </w:tr>
    </w:tbl>
    <w:p>
      <w:pPr>
        <w:spacing w:after="120" w:before="0"/>
      </w:pPr>
      <w:r>
        <w:t xml:space="preserve"/>
      </w:r>
    </w:p>
    <w:p>
      <w:pPr>
        <w:pStyle w:val="Heading2"/>
        <w:spacing w:after="120" w:before="240"/>
      </w:pPr>
      <w:r>
        <w:rPr>
          <w:rFonts w:ascii="Arial" w:cs="Arial" w:eastAsia="Arial" w:hAnsi="Arial"/>
          <w:b/>
          <w:bCs/>
          <w:color w:val="1a3a6b"/>
          <w:sz w:val="28"/>
          <w:szCs w:val="28"/>
        </w:rPr>
        <w:t xml:space="preserve">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Action</w:t>
            </w:r>
          </w:p>
        </w:tc>
        <w:tc>
          <w:tcPr>
            <w:tcW w:type="dxa" w:w="31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jc w:val="center"/>
            </w:pPr>
            <w:r>
              <w:rPr>
                <w:rFonts w:ascii="Arial" w:cs="Arial" w:eastAsia="Arial" w:hAnsi="Arial"/>
                <w:b/>
                <w:bCs/>
                <w:color w:val="FFFFFF"/>
                <w:sz w:val="22"/>
                <w:szCs w:val="22"/>
              </w:rPr>
              <w:t xml:space="preserve">Points</w:t>
            </w:r>
          </w:p>
        </w:tc>
      </w:tr>
      <w:tr>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Correct answer on 1st clue / answered quickly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00c853"/>
                <w:sz w:val="22"/>
                <w:szCs w:val="22"/>
              </w:rPr>
              <w:t xml:space="preserve">+5</w:t>
            </w:r>
          </w:p>
        </w:tc>
      </w:tr>
      <w:tr>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Correct answer on 2nd clue (Clue Unlock mode)</w:t>
            </w:r>
          </w:p>
        </w:tc>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jc w:val="center"/>
            </w:pPr>
            <w:r>
              <w:rPr>
                <w:rFonts w:ascii="Arial" w:cs="Arial" w:eastAsia="Arial" w:hAnsi="Arial"/>
                <w:b/>
                <w:bCs/>
                <w:color w:val="00c853"/>
                <w:sz w:val="22"/>
                <w:szCs w:val="22"/>
              </w:rPr>
              <w:t xml:space="preserve">+3</w:t>
            </w:r>
          </w:p>
        </w:tc>
      </w:tr>
      <w:tr>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Correct answer on 3rd clue (Clue Unlock mode)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00c853"/>
                <w:sz w:val="22"/>
                <w:szCs w:val="22"/>
              </w:rPr>
              <w:t xml:space="preserve">+2</w:t>
            </w:r>
          </w:p>
        </w:tc>
      </w:tr>
      <w:tr>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Time bonus for a fast response</w:t>
            </w:r>
          </w:p>
        </w:tc>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jc w:val="center"/>
            </w:pPr>
            <w:r>
              <w:rPr>
                <w:rFonts w:ascii="Arial" w:cs="Arial" w:eastAsia="Arial" w:hAnsi="Arial"/>
                <w:b/>
                <w:bCs/>
                <w:color w:val="00c853"/>
                <w:sz w:val="22"/>
                <w:szCs w:val="22"/>
              </w:rPr>
              <w:t xml:space="preserve">+1 to +3</w:t>
            </w:r>
          </w:p>
        </w:tc>
      </w:tr>
      <w:tr>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Wrong answer (penalty)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center"/>
            </w:pPr>
            <w:r>
              <w:rPr>
                <w:rFonts w:ascii="Arial" w:cs="Arial" w:eastAsia="Arial" w:hAnsi="Arial"/>
                <w:b/>
                <w:bCs/>
                <w:color w:val="e53935"/>
                <w:sz w:val="22"/>
                <w:szCs w:val="22"/>
              </w:rPr>
              <w:t xml:space="preserve">−1</w:t>
            </w:r>
          </w:p>
        </w:tc>
      </w:tr>
      <w:tr>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Correct answer in Timed Race mode</w:t>
            </w:r>
          </w:p>
        </w:tc>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jc w:val="center"/>
            </w:pPr>
            <w:r>
              <w:rPr>
                <w:rFonts w:ascii="Arial" w:cs="Arial" w:eastAsia="Arial" w:hAnsi="Arial"/>
                <w:b/>
                <w:bCs/>
                <w:color w:val="00c853"/>
                <w:sz w:val="22"/>
                <w:szCs w:val="22"/>
              </w:rPr>
              <w:t xml:space="preserve">+2 per question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b8860b" w:val="clear"/>
            <w:tcMar>
              <w:top w:type="dxa" w:w="120"/>
              <w:left w:type="dxa" w:w="200"/>
              <w:bottom w:type="dxa" w:w="120"/>
              <w:right w:type="dxa" w:w="200"/>
            </w:tcMar>
          </w:tcPr>
          <w:p>
            <w:pPr>
              <w:spacing w:after="0" w:before="0"/>
              <w:jc w:val="left"/>
            </w:pPr>
            <w:r>
              <w:rPr>
                <w:rFonts w:ascii="Arial" w:cs="Arial" w:eastAsia="Arial" w:hAnsi="Arial"/>
                <w:b/>
                <w:bCs/>
                <w:color w:val="070e1e"/>
                <w:sz w:val="28"/>
                <w:szCs w:val="28"/>
              </w:rPr>
              <w:t xml:space="preserve">4. Question Bank Overview (120 Questions)</w:t>
            </w:r>
          </w:p>
        </w:tc>
      </w:tr>
    </w:tbl>
    <w:p>
      <w:pPr>
        <w:spacing w:after="80" w:before="0"/>
      </w:pPr>
      <w:r>
        <w:t xml:space="preserve"/>
      </w:r>
    </w:p>
    <w:p>
      <w:pPr>
        <w:spacing w:after="80" w:before="80"/>
        <w:jc w:val="left"/>
      </w:pPr>
      <w:r>
        <w:rPr>
          <w:rFonts w:ascii="Arial" w:cs="Arial" w:eastAsia="Arial" w:hAnsi="Arial"/>
          <w:color w:val="1a1a2e"/>
          <w:sz w:val="22"/>
          <w:szCs w:val="22"/>
        </w:rPr>
        <w:t xml:space="preserve">The question bank is organized into four progressive levels, each containing 30 carefully verified geography questions. All questions are factually accurate, age-appropriate, and free from any politically sensitive or disputed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070e1e" w:sz="4"/>
              <w:left w:val="single" w:color="070e1e" w:sz="4"/>
              <w:bottom w:val="single" w:color="070e1e" w:sz="4"/>
              <w:right w:val="single" w:color="070e1e" w:sz="4"/>
            </w:tcBorders>
            <w:shd w:fill="070e1e"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Level</w:t>
            </w:r>
          </w:p>
        </w:tc>
        <w:tc>
          <w:tcPr>
            <w:tcW w:type="dxa" w:w="216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Category</w:t>
            </w:r>
          </w:p>
        </w:tc>
        <w:tc>
          <w:tcPr>
            <w:tcW w:type="dxa" w:w="43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Topics Covered</w:t>
            </w:r>
          </w:p>
        </w:tc>
        <w:tc>
          <w:tcPr>
            <w:tcW w:type="dxa" w:w="2160"/>
            <w:tcBorders>
              <w:top w:val="single" w:color="070e1e" w:sz="4"/>
              <w:left w:val="single" w:color="070e1e" w:sz="4"/>
              <w:bottom w:val="single" w:color="070e1e" w:sz="4"/>
              <w:right w:val="single" w:color="070e1e" w:sz="4"/>
            </w:tcBorders>
            <w:shd w:fill="070e1e"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Questions</w:t>
            </w:r>
          </w:p>
        </w:tc>
      </w:tr>
      <w:tr>
        <w:tc>
          <w:tcPr>
            <w:tcW w:type="dxa" w:w="720"/>
            <w:tcBorders>
              <w:top w:val="single" w:color="DDDDDD" w:sz="4"/>
              <w:left w:val="single" w:color="DDDDDD" w:sz="4"/>
              <w:bottom w:val="single" w:color="DDDDDD" w:sz="4"/>
              <w:right w:val="single" w:color="DDDDDD" w:sz="4"/>
            </w:tcBorders>
            <w:shd w:fill="e8f5e9" w:val="clear"/>
            <w:tcMar>
              <w:top w:type="dxa" w:w="80"/>
              <w:left w:type="dxa" w:w="80"/>
              <w:bottom w:type="dxa" w:w="80"/>
              <w:right w:type="dxa" w:w="80"/>
            </w:tcMar>
            <w:vAlign w:val="center"/>
          </w:tcPr>
          <w:p>
            <w:pPr>
              <w:spacing w:after="0" w:before="0"/>
              <w:jc w:val="center"/>
            </w:pPr>
            <w:r>
              <w:rPr>
                <w:rFonts w:ascii="Arial" w:cs="Arial" w:eastAsia="Arial" w:hAnsi="Arial"/>
                <w:b/>
                <w:bCs/>
                <w:color w:val="00c853"/>
                <w:sz w:val="26"/>
                <w:szCs w:val="26"/>
              </w:rPr>
              <w:t xml:space="preserve">1</w:t>
            </w:r>
          </w:p>
        </w:tc>
        <w:tc>
          <w:tcPr>
            <w:tcW w:type="dxa" w:w="216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vAlign w:val="center"/>
          </w:tcPr>
          <w:p>
            <w:pPr>
              <w:spacing w:after="0" w:before="0"/>
            </w:pPr>
            <w:r>
              <w:rPr>
                <w:rFonts w:ascii="Arial" w:cs="Arial" w:eastAsia="Arial" w:hAnsi="Arial"/>
                <w:b/>
                <w:bCs/>
                <w:color w:val="1a1a2e"/>
                <w:sz w:val="22"/>
                <w:szCs w:val="22"/>
              </w:rPr>
              <w:t xml:space="preserve">Countries</w:t>
            </w:r>
          </w:p>
        </w:tc>
        <w:tc>
          <w:tcPr>
            <w:tcW w:type="dxa" w:w="432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Capitals, landmarks, symbols, natural features, world records, SAARC nations, global facts</w:t>
            </w:r>
          </w:p>
        </w:tc>
        <w:tc>
          <w:tcPr>
            <w:tcW w:type="dxa" w:w="2160"/>
            <w:tcBorders>
              <w:top w:val="single" w:color="DDDDDD" w:sz="4"/>
              <w:left w:val="single" w:color="DDDDDD" w:sz="4"/>
              <w:bottom w:val="single" w:color="DDDDDD" w:sz="4"/>
              <w:right w:val="single" w:color="DDDDDD" w:sz="4"/>
            </w:tcBorders>
            <w:shd w:fill="e8f5e9" w:val="clear"/>
            <w:tcMar>
              <w:top w:type="dxa" w:w="80"/>
              <w:left w:type="dxa" w:w="80"/>
              <w:bottom w:type="dxa" w:w="80"/>
              <w:right w:type="dxa" w:w="80"/>
            </w:tcMar>
            <w:vAlign w:val="center"/>
          </w:tcPr>
          <w:p>
            <w:pPr>
              <w:spacing w:after="0" w:before="0"/>
              <w:jc w:val="center"/>
            </w:pPr>
            <w:r>
              <w:rPr>
                <w:rFonts w:ascii="Arial" w:cs="Arial" w:eastAsia="Arial" w:hAnsi="Arial"/>
                <w:b/>
                <w:bCs/>
                <w:color w:val="00c853"/>
                <w:sz w:val="22"/>
                <w:szCs w:val="22"/>
              </w:rPr>
              <w:t xml:space="preserve">30</w:t>
            </w:r>
          </w:p>
        </w:tc>
      </w:tr>
      <w:tr>
        <w:tc>
          <w:tcPr>
            <w:tcW w:type="dxa" w:w="720"/>
            <w:tcBorders>
              <w:top w:val="single" w:color="DDDDDD" w:sz="4"/>
              <w:left w:val="single" w:color="DDDDDD" w:sz="4"/>
              <w:bottom w:val="single" w:color="DDDDDD" w:sz="4"/>
              <w:right w:val="single" w:color="DDDDDD" w:sz="4"/>
            </w:tcBorders>
            <w:shd w:fill="fffde7" w:val="clear"/>
            <w:tcMar>
              <w:top w:type="dxa" w:w="80"/>
              <w:left w:type="dxa" w:w="80"/>
              <w:bottom w:type="dxa" w:w="80"/>
              <w:right w:type="dxa" w:w="80"/>
            </w:tcMar>
            <w:vAlign w:val="center"/>
          </w:tcPr>
          <w:p>
            <w:pPr>
              <w:spacing w:after="0" w:before="0"/>
              <w:jc w:val="center"/>
            </w:pPr>
            <w:r>
              <w:rPr>
                <w:rFonts w:ascii="Arial" w:cs="Arial" w:eastAsia="Arial" w:hAnsi="Arial"/>
                <w:b/>
                <w:bCs/>
                <w:color w:val="ffcc00"/>
                <w:sz w:val="26"/>
                <w:szCs w:val="26"/>
              </w:rPr>
              <w:t xml:space="preserve">2</w:t>
            </w:r>
          </w:p>
        </w:tc>
        <w:tc>
          <w:tcPr>
            <w:tcW w:type="dxa" w:w="2160"/>
            <w:tcBorders>
              <w:top w:val="single" w:color="DDDDDD" w:sz="4"/>
              <w:left w:val="single" w:color="DDDDDD" w:sz="4"/>
              <w:bottom w:val="single" w:color="DDDDDD" w:sz="4"/>
              <w:right w:val="single" w:color="DDDDDD" w:sz="4"/>
            </w:tcBorders>
            <w:shd w:fill="fffde7" w:val="clear"/>
            <w:tcMar>
              <w:top w:type="dxa" w:w="80"/>
              <w:left w:type="dxa" w:w="120"/>
              <w:bottom w:type="dxa" w:w="80"/>
              <w:right w:type="dxa" w:w="120"/>
            </w:tcMar>
            <w:vAlign w:val="center"/>
          </w:tcPr>
          <w:p>
            <w:pPr>
              <w:spacing w:after="0" w:before="0"/>
            </w:pPr>
            <w:r>
              <w:rPr>
                <w:rFonts w:ascii="Arial" w:cs="Arial" w:eastAsia="Arial" w:hAnsi="Arial"/>
                <w:b/>
                <w:bCs/>
                <w:color w:val="1a1a2e"/>
                <w:sz w:val="22"/>
                <w:szCs w:val="22"/>
              </w:rPr>
              <w:t xml:space="preserve">Cities</w:t>
            </w:r>
          </w:p>
        </w:tc>
        <w:tc>
          <w:tcPr>
            <w:tcW w:type="dxa" w:w="4320"/>
            <w:tcBorders>
              <w:top w:val="single" w:color="DDDDDD" w:sz="4"/>
              <w:left w:val="single" w:color="DDDDDD" w:sz="4"/>
              <w:bottom w:val="single" w:color="DDDDDD" w:sz="4"/>
              <w:right w:val="single" w:color="DDDDDD" w:sz="4"/>
            </w:tcBorders>
            <w:shd w:fill="fffde7"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World capitals, Indian cities, cultural hubs, financial centres, holy cities, urban identity</w:t>
            </w:r>
          </w:p>
        </w:tc>
        <w:tc>
          <w:tcPr>
            <w:tcW w:type="dxa" w:w="2160"/>
            <w:tcBorders>
              <w:top w:val="single" w:color="DDDDDD" w:sz="4"/>
              <w:left w:val="single" w:color="DDDDDD" w:sz="4"/>
              <w:bottom w:val="single" w:color="DDDDDD" w:sz="4"/>
              <w:right w:val="single" w:color="DDDDDD" w:sz="4"/>
            </w:tcBorders>
            <w:shd w:fill="fffde7" w:val="clear"/>
            <w:tcMar>
              <w:top w:type="dxa" w:w="80"/>
              <w:left w:type="dxa" w:w="80"/>
              <w:bottom w:type="dxa" w:w="80"/>
              <w:right w:type="dxa" w:w="80"/>
            </w:tcMar>
            <w:vAlign w:val="center"/>
          </w:tcPr>
          <w:p>
            <w:pPr>
              <w:spacing w:after="0" w:before="0"/>
              <w:jc w:val="center"/>
            </w:pPr>
            <w:r>
              <w:rPr>
                <w:rFonts w:ascii="Arial" w:cs="Arial" w:eastAsia="Arial" w:hAnsi="Arial"/>
                <w:b/>
                <w:bCs/>
                <w:color w:val="ffcc00"/>
                <w:sz w:val="22"/>
                <w:szCs w:val="22"/>
              </w:rPr>
              <w:t xml:space="preserve">30</w:t>
            </w:r>
          </w:p>
        </w:tc>
      </w:tr>
      <w:tr>
        <w:tc>
          <w:tcPr>
            <w:tcW w:type="dxa" w:w="720"/>
            <w:tcBorders>
              <w:top w:val="single" w:color="DDDDDD" w:sz="4"/>
              <w:left w:val="single" w:color="DDDDDD" w:sz="4"/>
              <w:bottom w:val="single" w:color="DDDDDD" w:sz="4"/>
              <w:right w:val="single" w:color="DDDDDD" w:sz="4"/>
            </w:tcBorders>
            <w:shd w:fill="fff5f5" w:val="clear"/>
            <w:tcMar>
              <w:top w:type="dxa" w:w="80"/>
              <w:left w:type="dxa" w:w="80"/>
              <w:bottom w:type="dxa" w:w="80"/>
              <w:right w:type="dxa" w:w="80"/>
            </w:tcMar>
            <w:vAlign w:val="center"/>
          </w:tcPr>
          <w:p>
            <w:pPr>
              <w:spacing w:after="0" w:before="0"/>
              <w:jc w:val="center"/>
            </w:pPr>
            <w:r>
              <w:rPr>
                <w:rFonts w:ascii="Arial" w:cs="Arial" w:eastAsia="Arial" w:hAnsi="Arial"/>
                <w:b/>
                <w:bCs/>
                <w:color w:val="e53935"/>
                <w:sz w:val="26"/>
                <w:szCs w:val="26"/>
              </w:rPr>
              <w:t xml:space="preserve">3</w:t>
            </w:r>
          </w:p>
        </w:tc>
        <w:tc>
          <w:tcPr>
            <w:tcW w:type="dxa" w:w="216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vAlign w:val="center"/>
          </w:tcPr>
          <w:p>
            <w:pPr>
              <w:spacing w:after="0" w:before="0"/>
            </w:pPr>
            <w:r>
              <w:rPr>
                <w:rFonts w:ascii="Arial" w:cs="Arial" w:eastAsia="Arial" w:hAnsi="Arial"/>
                <w:b/>
                <w:bCs/>
                <w:color w:val="1a1a2e"/>
                <w:sz w:val="22"/>
                <w:szCs w:val="22"/>
              </w:rPr>
              <w:t xml:space="preserve">Rivers &amp; Mountains</w:t>
            </w:r>
          </w:p>
        </w:tc>
        <w:tc>
          <w:tcPr>
            <w:tcW w:type="dxa" w:w="4320"/>
            <w:tcBorders>
              <w:top w:val="single" w:color="DDDDDD" w:sz="4"/>
              <w:left w:val="single" w:color="DDDDDD" w:sz="4"/>
              <w:bottom w:val="single" w:color="DDDDDD" w:sz="4"/>
              <w:right w:val="single" w:color="DDDDDD" w:sz="4"/>
            </w:tcBorders>
            <w:shd w:fill="fff5f5"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Major rivers, mountain peaks &amp; ranges, deserts, plateaus, lakes, waterfalls, glaciers, islands, volcanoes</w:t>
            </w:r>
          </w:p>
        </w:tc>
        <w:tc>
          <w:tcPr>
            <w:tcW w:type="dxa" w:w="2160"/>
            <w:tcBorders>
              <w:top w:val="single" w:color="DDDDDD" w:sz="4"/>
              <w:left w:val="single" w:color="DDDDDD" w:sz="4"/>
              <w:bottom w:val="single" w:color="DDDDDD" w:sz="4"/>
              <w:right w:val="single" w:color="DDDDDD" w:sz="4"/>
            </w:tcBorders>
            <w:shd w:fill="fff5f5" w:val="clear"/>
            <w:tcMar>
              <w:top w:type="dxa" w:w="80"/>
              <w:left w:type="dxa" w:w="80"/>
              <w:bottom w:type="dxa" w:w="80"/>
              <w:right w:type="dxa" w:w="80"/>
            </w:tcMar>
            <w:vAlign w:val="center"/>
          </w:tcPr>
          <w:p>
            <w:pPr>
              <w:spacing w:after="0" w:before="0"/>
              <w:jc w:val="center"/>
            </w:pPr>
            <w:r>
              <w:rPr>
                <w:rFonts w:ascii="Arial" w:cs="Arial" w:eastAsia="Arial" w:hAnsi="Arial"/>
                <w:b/>
                <w:bCs/>
                <w:color w:val="e53935"/>
                <w:sz w:val="22"/>
                <w:szCs w:val="22"/>
              </w:rPr>
              <w:t xml:space="preserve">30</w:t>
            </w:r>
          </w:p>
        </w:tc>
      </w:tr>
      <w:tr>
        <w:tc>
          <w:tcPr>
            <w:tcW w:type="dxa" w:w="720"/>
            <w:tcBorders>
              <w:top w:val="single" w:color="DDDDDD" w:sz="4"/>
              <w:left w:val="single" w:color="DDDDDD" w:sz="4"/>
              <w:bottom w:val="single" w:color="DDDDDD" w:sz="4"/>
              <w:right w:val="single" w:color="DDDDDD" w:sz="4"/>
            </w:tcBorders>
            <w:shd w:fill="f3e8ff" w:val="clear"/>
            <w:tcMar>
              <w:top w:type="dxa" w:w="80"/>
              <w:left w:type="dxa" w:w="80"/>
              <w:bottom w:type="dxa" w:w="80"/>
              <w:right w:type="dxa" w:w="80"/>
            </w:tcMar>
            <w:vAlign w:val="center"/>
          </w:tcPr>
          <w:p>
            <w:pPr>
              <w:spacing w:after="0" w:before="0"/>
              <w:jc w:val="center"/>
            </w:pPr>
            <w:r>
              <w:rPr>
                <w:rFonts w:ascii="Arial" w:cs="Arial" w:eastAsia="Arial" w:hAnsi="Arial"/>
                <w:b/>
                <w:bCs/>
                <w:color w:val="9b59b6"/>
                <w:sz w:val="26"/>
                <w:szCs w:val="26"/>
              </w:rPr>
              <w:t xml:space="preserve">4</w:t>
            </w:r>
          </w:p>
        </w:tc>
        <w:tc>
          <w:tcPr>
            <w:tcW w:type="dxa" w:w="2160"/>
            <w:tcBorders>
              <w:top w:val="single" w:color="DDDDDD" w:sz="4"/>
              <w:left w:val="single" w:color="DDDDDD" w:sz="4"/>
              <w:bottom w:val="single" w:color="DDDDDD" w:sz="4"/>
              <w:right w:val="single" w:color="DDDDDD" w:sz="4"/>
            </w:tcBorders>
            <w:shd w:fill="f3e8ff" w:val="clear"/>
            <w:tcMar>
              <w:top w:type="dxa" w:w="80"/>
              <w:left w:type="dxa" w:w="120"/>
              <w:bottom w:type="dxa" w:w="80"/>
              <w:right w:type="dxa" w:w="120"/>
            </w:tcMar>
            <w:vAlign w:val="center"/>
          </w:tcPr>
          <w:p>
            <w:pPr>
              <w:spacing w:after="0" w:before="0"/>
            </w:pPr>
            <w:r>
              <w:rPr>
                <w:rFonts w:ascii="Arial" w:cs="Arial" w:eastAsia="Arial" w:hAnsi="Arial"/>
                <w:b/>
                <w:bCs/>
                <w:color w:val="1a1a2e"/>
                <w:sz w:val="22"/>
                <w:szCs w:val="22"/>
              </w:rPr>
              <w:t xml:space="preserve">Oceans &amp; More</w:t>
            </w:r>
          </w:p>
        </w:tc>
        <w:tc>
          <w:tcPr>
            <w:tcW w:type="dxa" w:w="4320"/>
            <w:tcBorders>
              <w:top w:val="single" w:color="DDDDDD" w:sz="4"/>
              <w:left w:val="single" w:color="DDDDDD" w:sz="4"/>
              <w:bottom w:val="single" w:color="DDDDDD" w:sz="4"/>
              <w:right w:val="single" w:color="DDDDDD" w:sz="4"/>
            </w:tcBorders>
            <w:shd w:fill="f3e8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Five oceans, continents, seas, straits, canals, coral reefs, rainforests, polar regions</w:t>
            </w:r>
          </w:p>
        </w:tc>
        <w:tc>
          <w:tcPr>
            <w:tcW w:type="dxa" w:w="2160"/>
            <w:tcBorders>
              <w:top w:val="single" w:color="DDDDDD" w:sz="4"/>
              <w:left w:val="single" w:color="DDDDDD" w:sz="4"/>
              <w:bottom w:val="single" w:color="DDDDDD" w:sz="4"/>
              <w:right w:val="single" w:color="DDDDDD" w:sz="4"/>
            </w:tcBorders>
            <w:shd w:fill="f3e8ff" w:val="clear"/>
            <w:tcMar>
              <w:top w:type="dxa" w:w="80"/>
              <w:left w:type="dxa" w:w="80"/>
              <w:bottom w:type="dxa" w:w="80"/>
              <w:right w:type="dxa" w:w="80"/>
            </w:tcMar>
            <w:vAlign w:val="center"/>
          </w:tcPr>
          <w:p>
            <w:pPr>
              <w:spacing w:after="0" w:before="0"/>
              <w:jc w:val="center"/>
            </w:pPr>
            <w:r>
              <w:rPr>
                <w:rFonts w:ascii="Arial" w:cs="Arial" w:eastAsia="Arial" w:hAnsi="Arial"/>
                <w:b/>
                <w:bCs/>
                <w:color w:val="9b59b6"/>
                <w:sz w:val="22"/>
                <w:szCs w:val="22"/>
              </w:rPr>
              <w:t xml:space="preserve">30</w:t>
            </w:r>
          </w:p>
        </w:tc>
      </w:tr>
    </w:tbl>
    <w:p>
      <w:pPr>
        <w:spacing w:after="80" w:before="0"/>
      </w:pPr>
      <w:r>
        <w:t xml:space="preserve"/>
      </w:r>
    </w:p>
    <w:p>
      <w:pPr>
        <w:spacing w:after="80" w:before="80"/>
        <w:jc w:val="left"/>
      </w:pPr>
      <w:r>
        <w:rPr>
          <w:rFonts w:ascii="Arial" w:cs="Arial" w:eastAsia="Arial" w:hAnsi="Arial"/>
          <w:b/>
          <w:bCs/>
          <w:color w:val="1a3a6b"/>
          <w:sz w:val="22"/>
          <w:szCs w:val="22"/>
        </w:rPr>
        <w:t xml:space="preserve">Total: 120 questions | All content is educationally appropriate, factually verified, and suitable for students aged 10 and above.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5. Educational Value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Educational Feature</w:t>
            </w:r>
          </w:p>
        </w:tc>
        <w:tc>
          <w:tcPr>
            <w:tcW w:type="dxa" w:w="624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Description &amp; Benefit</w:t>
            </w:r>
          </w:p>
        </w:tc>
      </w:tr>
      <w:tr>
        <w:tc>
          <w:tcPr>
            <w:tcW w:type="dxa" w:w="312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Promotes Active &amp; Experiential Learning</w:t>
            </w:r>
          </w:p>
        </w:tc>
        <w:tc>
          <w:tcPr>
            <w:tcW w:type="dxa" w:w="624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Learners engage directly with content through game mechanics, not passive reading, fostering deeper retention.</w:t>
            </w:r>
          </w:p>
        </w:tc>
      </w:tr>
      <w:tr>
        <w:tc>
          <w:tcPr>
            <w:tcW w:type="dxa" w:w="3120"/>
            <w:tcBorders>
              <w:top w:val="single" w:color="DDDDDD" w:sz="4"/>
              <w:left w:val="single" w:color="DDDDDD" w:sz="4"/>
              <w:bottom w:val="single" w:color="DDDDDD" w:sz="4"/>
              <w:right w:val="single" w:color="DDDDDD" w:sz="4"/>
            </w:tcBorders>
            <w:shd w:fill="fffde7"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Supports Competency-Based Education</w:t>
            </w:r>
          </w:p>
        </w:tc>
        <w:tc>
          <w:tcPr>
            <w:tcW w:type="dxa" w:w="6240"/>
            <w:tcBorders>
              <w:top w:val="single" w:color="DDDDDD" w:sz="4"/>
              <w:left w:val="single" w:color="DDDDDD" w:sz="4"/>
              <w:bottom w:val="single" w:color="DDDDDD" w:sz="4"/>
              <w:right w:val="single" w:color="DDDDDD" w:sz="4"/>
            </w:tcBorders>
            <w:shd w:fill="fffde7"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Questions assess applied knowledge — students must recall, infer, and think critically, not merely memorise.</w:t>
            </w:r>
          </w:p>
        </w:tc>
      </w:tr>
      <w:tr>
        <w:tc>
          <w:tcPr>
            <w:tcW w:type="dxa" w:w="3120"/>
            <w:tcBorders>
              <w:top w:val="single" w:color="DDDDDD" w:sz="4"/>
              <w:left w:val="single" w:color="DDDDDD" w:sz="4"/>
              <w:bottom w:val="single" w:color="DDDDDD" w:sz="4"/>
              <w:right w:val="single" w:color="DDDDDD" w:sz="4"/>
            </w:tcBorders>
            <w:shd w:fill="f3e8ff"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Develops Problem Solving &amp; Critical Thinking</w:t>
            </w:r>
          </w:p>
        </w:tc>
        <w:tc>
          <w:tcPr>
            <w:tcW w:type="dxa" w:w="6240"/>
            <w:tcBorders>
              <w:top w:val="single" w:color="DDDDDD" w:sz="4"/>
              <w:left w:val="single" w:color="DDDDDD" w:sz="4"/>
              <w:bottom w:val="single" w:color="DDDDDD" w:sz="4"/>
              <w:right w:val="single" w:color="DDDDDD" w:sz="4"/>
            </w:tcBorders>
            <w:shd w:fill="f3e8ff"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Clue Unlock mode trains strategic deductive reasoning; Timed Race builds mental agility under pressure.</w:t>
            </w:r>
          </w:p>
        </w:tc>
      </w:tr>
      <w:tr>
        <w:tc>
          <w:tcPr>
            <w:tcW w:type="dxa" w:w="3120"/>
            <w:tcBorders>
              <w:top w:val="single" w:color="DDDDDD" w:sz="4"/>
              <w:left w:val="single" w:color="DDDDDD" w:sz="4"/>
              <w:bottom w:val="single" w:color="DDDDDD" w:sz="4"/>
              <w:right w:val="single" w:color="DDDDDD" w:sz="4"/>
            </w:tcBorders>
            <w:shd w:fill="eaf6fb"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Encourages Creativity &amp; Innovation</w:t>
            </w:r>
          </w:p>
        </w:tc>
        <w:tc>
          <w:tcPr>
            <w:tcW w:type="dxa" w:w="6240"/>
            <w:tcBorders>
              <w:top w:val="single" w:color="DDDDDD" w:sz="4"/>
              <w:left w:val="single" w:color="DDDDDD" w:sz="4"/>
              <w:bottom w:val="single" w:color="DDDDDD" w:sz="4"/>
              <w:right w:val="single" w:color="DDDDDD" w:sz="4"/>
            </w:tcBorders>
            <w:shd w:fill="eaf6fb"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Varied game modes and question types stimulate curiosity and exploration beyond textbook content.</w:t>
            </w:r>
          </w:p>
        </w:tc>
      </w:tr>
      <w:tr>
        <w:tc>
          <w:tcPr>
            <w:tcW w:type="dxa" w:w="312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Builds Digital Literacy &amp; 21st Century Skills</w:t>
            </w:r>
          </w:p>
        </w:tc>
        <w:tc>
          <w:tcPr>
            <w:tcW w:type="dxa" w:w="624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Students practise using educational technology, building confidence with digital tools.</w:t>
            </w:r>
          </w:p>
        </w:tc>
      </w:tr>
      <w:tr>
        <w:tc>
          <w:tcPr>
            <w:tcW w:type="dxa" w:w="312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Enables Self-Paced &amp; Personalised Learning</w:t>
            </w:r>
          </w:p>
        </w:tc>
        <w:tc>
          <w:tcPr>
            <w:tcW w:type="dxa" w:w="6240"/>
            <w:tcBorders>
              <w:top w:val="single" w:color="DDDDDD" w:sz="4"/>
              <w:left w:val="single" w:color="DDDDDD" w:sz="4"/>
              <w:bottom w:val="single" w:color="DDDDDD" w:sz="4"/>
              <w:right w:val="single" w:color="DDDDDD" w:sz="4"/>
            </w:tcBorders>
            <w:shd w:fill="e8f5e9"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Level filters and multiple modes allow each student to choose their own challenge level and pace.</w:t>
            </w:r>
          </w:p>
        </w:tc>
      </w:tr>
      <w:tr>
        <w:tc>
          <w:tcPr>
            <w:tcW w:type="dxa" w:w="3120"/>
            <w:tcBorders>
              <w:top w:val="single" w:color="DDDDDD" w:sz="4"/>
              <w:left w:val="single" w:color="DDDDDD" w:sz="4"/>
              <w:bottom w:val="single" w:color="DDDDDD" w:sz="4"/>
              <w:right w:val="single" w:color="DDDDDD" w:sz="4"/>
            </w:tcBorders>
            <w:shd w:fill="fffde7"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Strengthens Conceptual Understanding</w:t>
            </w:r>
          </w:p>
        </w:tc>
        <w:tc>
          <w:tcPr>
            <w:tcW w:type="dxa" w:w="6240"/>
            <w:tcBorders>
              <w:top w:val="single" w:color="DDDDDD" w:sz="4"/>
              <w:left w:val="single" w:color="DDDDDD" w:sz="4"/>
              <w:bottom w:val="single" w:color="DDDDDD" w:sz="4"/>
              <w:right w:val="single" w:color="DDDDDD" w:sz="4"/>
            </w:tcBorders>
            <w:shd w:fill="fffde7"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Repeated exposure through different question types consolidates knowledge across all geographic domains.</w:t>
            </w:r>
          </w:p>
        </w:tc>
      </w:tr>
      <w:tr>
        <w:tc>
          <w:tcPr>
            <w:tcW w:type="dxa" w:w="3120"/>
            <w:tcBorders>
              <w:top w:val="single" w:color="DDDDDD" w:sz="4"/>
              <w:left w:val="single" w:color="DDDDDD" w:sz="4"/>
              <w:bottom w:val="single" w:color="DDDDDD" w:sz="4"/>
              <w:right w:val="single" w:color="DDDDDD" w:sz="4"/>
            </w:tcBorders>
            <w:shd w:fill="f3e8ff"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Enhances Confidence &amp; Motivation</w:t>
            </w:r>
          </w:p>
        </w:tc>
        <w:tc>
          <w:tcPr>
            <w:tcW w:type="dxa" w:w="6240"/>
            <w:tcBorders>
              <w:top w:val="single" w:color="DDDDDD" w:sz="4"/>
              <w:left w:val="single" w:color="DDDDDD" w:sz="4"/>
              <w:bottom w:val="single" w:color="DDDDDD" w:sz="4"/>
              <w:right w:val="single" w:color="DDDDDD" w:sz="4"/>
            </w:tcBorders>
            <w:shd w:fill="f3e8ff"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Immediate feedback, scoring, and leaderboard recognition motivate continued learning and effort.</w:t>
            </w:r>
          </w:p>
        </w:tc>
      </w:tr>
      <w:tr>
        <w:tc>
          <w:tcPr>
            <w:tcW w:type="dxa" w:w="3120"/>
            <w:tcBorders>
              <w:top w:val="single" w:color="DDDDDD" w:sz="4"/>
              <w:left w:val="single" w:color="DDDDDD" w:sz="4"/>
              <w:bottom w:val="single" w:color="DDDDDD" w:sz="4"/>
              <w:right w:val="single" w:color="DDDDDD" w:sz="4"/>
            </w:tcBorders>
            <w:shd w:fill="eaf6fb" w:val="clear"/>
            <w:tcMar>
              <w:top w:type="dxa" w:w="100"/>
              <w:left w:type="dxa" w:w="120"/>
              <w:bottom w:type="dxa" w:w="100"/>
              <w:right w:type="dxa" w:w="120"/>
            </w:tcMar>
            <w:vAlign w:val="center"/>
          </w:tcPr>
          <w:p>
            <w:pPr>
              <w:spacing w:after="0" w:before="0"/>
            </w:pPr>
            <w:r>
              <w:rPr>
                <w:rFonts w:ascii="Arial" w:cs="Arial" w:eastAsia="Arial" w:hAnsi="Arial"/>
                <w:b/>
                <w:bCs/>
                <w:color w:val="1a3a6b"/>
                <w:sz w:val="21"/>
                <w:szCs w:val="21"/>
              </w:rPr>
              <w:t xml:space="preserve">Promotes Geographic Awareness</w:t>
            </w:r>
          </w:p>
        </w:tc>
        <w:tc>
          <w:tcPr>
            <w:tcW w:type="dxa" w:w="6240"/>
            <w:tcBorders>
              <w:top w:val="single" w:color="DDDDDD" w:sz="4"/>
              <w:left w:val="single" w:color="DDDDDD" w:sz="4"/>
              <w:bottom w:val="single" w:color="DDDDDD" w:sz="4"/>
              <w:right w:val="single" w:color="DDDDDD" w:sz="4"/>
            </w:tcBorders>
            <w:shd w:fill="eaf6fb" w:val="clear"/>
            <w:tcMar>
              <w:top w:type="dxa" w:w="100"/>
              <w:left w:type="dxa" w:w="120"/>
              <w:bottom w:type="dxa" w:w="100"/>
              <w:right w:type="dxa" w:w="120"/>
            </w:tcMar>
          </w:tcPr>
          <w:p>
            <w:pPr>
              <w:spacing w:after="0" w:before="0"/>
            </w:pPr>
            <w:r>
              <w:rPr>
                <w:rFonts w:ascii="Arial" w:cs="Arial" w:eastAsia="Arial" w:hAnsi="Arial"/>
                <w:color w:val="1a1a2e"/>
                <w:sz w:val="21"/>
                <w:szCs w:val="21"/>
              </w:rPr>
              <w:t xml:space="preserve">Coverage of Indian, South Asian, and world geography builds national pride and global perspective.</w:t>
            </w:r>
          </w:p>
        </w:tc>
      </w:tr>
    </w:tbl>
    <w:p>
      <w:pPr>
        <w:spacing w:after="12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0e1e" w:sz="1"/>
              <w:left w:val="single" w:color="070e1e" w:sz="1"/>
              <w:bottom w:val="single" w:color="070e1e" w:sz="1"/>
              <w:right w:val="single" w:color="070e1e" w:sz="1"/>
            </w:tcBorders>
            <w:shd w:fill="070e1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6. Alignment with NEP 2020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NEP 2020 Principle</w:t>
            </w:r>
          </w:p>
        </w:tc>
        <w:tc>
          <w:tcPr>
            <w:tcW w:type="dxa" w:w="624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How Geo Quest Supports It</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Learner-Centred Education</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Students control their pace, mode, and difficulty level — learning is driven by the individual, not a fixed syllabus sequence.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Experiential Learning</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Four interactive game modes replace passive reading with active, hands-on knowledge application.</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Competency-Based Learning</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Questions test applied understanding — identifying a country from contextual clues rather than rote definition recall.</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Technology Integration</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As a PWA, the app exemplifies NEP 2020's vision of making quality education tech-enabled and widely accessible.</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21st Century Skills</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Timed Race and Clue Unlock modes build critical thinking, quick reasoning, communication, and digital collaboration readiness.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Holistic Development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Scoring, leaderboards, and performance analytics support cognitive, social, and goal-setting development.</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Inclusive Education</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Offline functionality ensures accessibility in low-connectivity regions, directly supporting equity goals of NEP 2020.</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Skill Development</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Builds academic geography skills alongside digital literacy, self-assessment, and lifelong learning habits.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5" w:sz="1"/>
              <w:left w:val="single" w:color="0d1b35" w:sz="1"/>
              <w:bottom w:val="single" w:color="0d1b35" w:sz="1"/>
              <w:right w:val="single" w:color="0d1b35" w:sz="1"/>
            </w:tcBorders>
            <w:shd w:fill="0d1b35"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7. Alignment with National Curriculum Framework (NCF)</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NCF Aspect</w:t>
            </w:r>
          </w:p>
        </w:tc>
        <w:tc>
          <w:tcPr>
            <w:tcW w:type="dxa" w:w="624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App Connection</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Learning Outcomes</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Questions are mapped to defined geography outcomes — students can measure their mastery of each level's content.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Competencies</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The app builds both subject-specific (geographic knowledge) and life skills (digital literacy, time management).</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Pedagogical Practices</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Activity-based, learner-centric, and interactive methods form the core design philosophy of all game modes.</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Assessment for Learning</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Real-time scoring and instant feedback support continuous, formative assessment throughout each session.</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Collaborative Learning</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Shared leaderboards encourage healthy peer competition and social engagement with learning content.</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Reflection &amp; Self-Learning</w:t>
            </w:r>
          </w:p>
        </w:tc>
        <w:tc>
          <w:tcPr>
            <w:tcW w:type="dxa" w:w="6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Post-game result screens with accuracy and completion rates promote reflective self-assessment and improvement.</w:t>
            </w:r>
          </w:p>
        </w:tc>
      </w:tr>
    </w:tbl>
    <w:p>
      <w:pPr>
        <w:spacing w:after="12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
              <w:bottom w:val="single" w:color="00b4d8" w:sz="1"/>
              <w:right w:val="single" w:color="00b4d8" w:sz="1"/>
            </w:tcBorders>
            <w:shd w:fill="00b4d8" w:val="clear"/>
            <w:tcMar>
              <w:top w:type="dxa" w:w="120"/>
              <w:left w:type="dxa" w:w="200"/>
              <w:bottom w:type="dxa" w:w="120"/>
              <w:right w:type="dxa" w:w="200"/>
            </w:tcMar>
          </w:tcPr>
          <w:p>
            <w:pPr>
              <w:spacing w:after="0" w:before="0"/>
              <w:jc w:val="left"/>
            </w:pPr>
            <w:r>
              <w:rPr>
                <w:rFonts w:ascii="Arial" w:cs="Arial" w:eastAsia="Arial" w:hAnsi="Arial"/>
                <w:b/>
                <w:bCs/>
                <w:color w:val="070e1e"/>
                <w:sz w:val="28"/>
                <w:szCs w:val="28"/>
              </w:rPr>
              <w:t xml:space="preserve">8. Benefits for Stakeholders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c853" w:sz="4"/>
              <w:left w:val="single" w:color="00c853" w:sz="4"/>
              <w:bottom w:val="single" w:color="00c853" w:sz="4"/>
              <w:right w:val="single" w:color="00c853" w:sz="4"/>
            </w:tcBorders>
            <w:shd w:fill="070e1e" w:val="clear"/>
            <w:tcMar>
              <w:top w:type="dxa" w:w="120"/>
              <w:left w:type="dxa" w:w="100"/>
              <w:bottom w:type="dxa" w:w="120"/>
              <w:right w:type="dxa" w:w="100"/>
            </w:tcMar>
            <w:vAlign w:val="center"/>
          </w:tcPr>
          <w:p>
            <w:pPr>
              <w:spacing w:after="0" w:before="0"/>
              <w:jc w:val="center"/>
            </w:pPr>
            <w:r>
              <w:rPr>
                <w:rFonts w:ascii="Arial" w:cs="Arial" w:eastAsia="Arial" w:hAnsi="Arial"/>
                <w:b/>
                <w:bCs/>
                <w:color w:val="00c853"/>
                <w:sz w:val="22"/>
                <w:szCs w:val="22"/>
              </w:rPr>
              <w:t xml:space="preserve">STUDENTS</w:t>
            </w:r>
          </w:p>
        </w:tc>
        <w:tc>
          <w:tcPr>
            <w:tcW w:type="dxa" w:w="7560"/>
            <w:tcBorders>
              <w:top w:val="single" w:color="00c853" w:sz="4"/>
              <w:left w:val="single" w:color="00c853" w:sz="4"/>
              <w:bottom w:val="single" w:color="00c853" w:sz="4"/>
              <w:right w:val="single" w:color="00c853" w:sz="4"/>
            </w:tcBorders>
            <w:shd w:fill="e8f5e9"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1a1a2e"/>
                <w:sz w:val="21"/>
                <w:szCs w:val="21"/>
              </w:rPr>
              <w:t xml:space="preserve">Engaging and fun learning experience that builds intrinsic motivation</w:t>
            </w:r>
          </w:p>
          <w:p>
            <w:pPr>
              <w:pStyle w:val="ListParagraph"/>
              <w:numPr>
                <w:ilvl w:val="0"/>
                <w:numId w:val="2"/>
              </w:numPr>
              <w:spacing w:after="20" w:before="20"/>
            </w:pPr>
            <w:r>
              <w:rPr>
                <w:rFonts w:ascii="Arial" w:cs="Arial" w:eastAsia="Arial" w:hAnsi="Arial"/>
                <w:color w:val="1a1a2e"/>
                <w:sz w:val="21"/>
                <w:szCs w:val="21"/>
              </w:rPr>
              <w:t xml:space="preserve">Builds geographic knowledge and confidence progressively</w:t>
            </w:r>
          </w:p>
          <w:p>
            <w:pPr>
              <w:pStyle w:val="ListParagraph"/>
              <w:numPr>
                <w:ilvl w:val="0"/>
                <w:numId w:val="2"/>
              </w:numPr>
              <w:spacing w:after="20" w:before="20"/>
            </w:pPr>
            <w:r>
              <w:rPr>
                <w:rFonts w:ascii="Arial" w:cs="Arial" w:eastAsia="Arial" w:hAnsi="Arial"/>
                <w:color w:val="1a1a2e"/>
                <w:sz w:val="21"/>
                <w:szCs w:val="21"/>
              </w:rPr>
              <w:t xml:space="preserve">Improves academic performance in geography assessments</w:t>
            </w:r>
          </w:p>
          <w:p>
            <w:pPr>
              <w:pStyle w:val="ListParagraph"/>
              <w:numPr>
                <w:ilvl w:val="0"/>
                <w:numId w:val="2"/>
              </w:numPr>
              <w:spacing w:after="20" w:before="20"/>
            </w:pPr>
            <w:r>
              <w:rPr>
                <w:rFonts w:ascii="Arial" w:cs="Arial" w:eastAsia="Arial" w:hAnsi="Arial"/>
                <w:color w:val="1a1a2e"/>
                <w:sz w:val="21"/>
                <w:szCs w:val="21"/>
              </w:rPr>
              <w:t xml:space="preserve">Learn anytime, anywhere — no internet required after first load</w:t>
            </w:r>
          </w:p>
          <w:p>
            <w:pPr>
              <w:pStyle w:val="ListParagraph"/>
              <w:numPr>
                <w:ilvl w:val="0"/>
                <w:numId w:val="2"/>
              </w:numPr>
              <w:spacing w:after="20" w:before="20"/>
            </w:pPr>
            <w:r>
              <w:rPr>
                <w:rFonts w:ascii="Arial" w:cs="Arial" w:eastAsia="Arial" w:hAnsi="Arial"/>
                <w:color w:val="1a1a2e"/>
                <w:sz w:val="21"/>
                <w:szCs w:val="21"/>
              </w:rPr>
              <w:t xml:space="preserve">Develops 21st century skills including digital literacy and critical thinking</w:t>
            </w:r>
          </w:p>
        </w:tc>
      </w:tr>
      <w:tr>
        <w:tc>
          <w:tcPr>
            <w:tcW w:type="dxa" w:w="1800"/>
            <w:tcBorders>
              <w:top w:val="single" w:color="ffcc00" w:sz="4"/>
              <w:left w:val="single" w:color="ffcc00" w:sz="4"/>
              <w:bottom w:val="single" w:color="ffcc00" w:sz="4"/>
              <w:right w:val="single" w:color="ffcc00" w:sz="4"/>
            </w:tcBorders>
            <w:shd w:fill="070e1e" w:val="clear"/>
            <w:tcMar>
              <w:top w:type="dxa" w:w="120"/>
              <w:left w:type="dxa" w:w="100"/>
              <w:bottom w:type="dxa" w:w="120"/>
              <w:right w:type="dxa" w:w="100"/>
            </w:tcMar>
            <w:vAlign w:val="center"/>
          </w:tcPr>
          <w:p>
            <w:pPr>
              <w:spacing w:after="0" w:before="0"/>
              <w:jc w:val="center"/>
            </w:pPr>
            <w:r>
              <w:rPr>
                <w:rFonts w:ascii="Arial" w:cs="Arial" w:eastAsia="Arial" w:hAnsi="Arial"/>
                <w:b/>
                <w:bCs/>
                <w:color w:val="ffcc00"/>
                <w:sz w:val="22"/>
                <w:szCs w:val="22"/>
              </w:rPr>
              <w:t xml:space="preserve">TEACHERS</w:t>
            </w:r>
          </w:p>
        </w:tc>
        <w:tc>
          <w:tcPr>
            <w:tcW w:type="dxa" w:w="7560"/>
            <w:tcBorders>
              <w:top w:val="single" w:color="ffcc00" w:sz="4"/>
              <w:left w:val="single" w:color="ffcc00" w:sz="4"/>
              <w:bottom w:val="single" w:color="ffcc00" w:sz="4"/>
              <w:right w:val="single" w:color="ffcc00" w:sz="4"/>
            </w:tcBorders>
            <w:shd w:fill="fffde7"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1a1a2e"/>
                <w:sz w:val="21"/>
                <w:szCs w:val="21"/>
              </w:rPr>
              <w:t xml:space="preserve">Ready-to-use digital resource aligned with curriculum and NEP 2020</w:t>
            </w:r>
          </w:p>
          <w:p>
            <w:pPr>
              <w:pStyle w:val="ListParagraph"/>
              <w:numPr>
                <w:ilvl w:val="0"/>
                <w:numId w:val="2"/>
              </w:numPr>
              <w:spacing w:after="20" w:before="20"/>
            </w:pPr>
            <w:r>
              <w:rPr>
                <w:rFonts w:ascii="Arial" w:cs="Arial" w:eastAsia="Arial" w:hAnsi="Arial"/>
                <w:color w:val="1a1a2e"/>
                <w:sz w:val="21"/>
                <w:szCs w:val="21"/>
              </w:rPr>
              <w:t xml:space="preserve">Track class-wide learning trends and identify weak areas</w:t>
            </w:r>
          </w:p>
          <w:p>
            <w:pPr>
              <w:pStyle w:val="ListParagraph"/>
              <w:numPr>
                <w:ilvl w:val="0"/>
                <w:numId w:val="2"/>
              </w:numPr>
              <w:spacing w:after="20" w:before="20"/>
            </w:pPr>
            <w:r>
              <w:rPr>
                <w:rFonts w:ascii="Arial" w:cs="Arial" w:eastAsia="Arial" w:hAnsi="Arial"/>
                <w:color w:val="1a1a2e"/>
                <w:sz w:val="21"/>
                <w:szCs w:val="21"/>
              </w:rPr>
              <w:t xml:space="preserve">Plan targeted interventions based on performance data</w:t>
            </w:r>
          </w:p>
          <w:p>
            <w:pPr>
              <w:pStyle w:val="ListParagraph"/>
              <w:numPr>
                <w:ilvl w:val="0"/>
                <w:numId w:val="2"/>
              </w:numPr>
              <w:spacing w:after="20" w:before="20"/>
            </w:pPr>
            <w:r>
              <w:rPr>
                <w:rFonts w:ascii="Arial" w:cs="Arial" w:eastAsia="Arial" w:hAnsi="Arial"/>
                <w:color w:val="1a1a2e"/>
                <w:sz w:val="21"/>
                <w:szCs w:val="21"/>
              </w:rPr>
              <w:t xml:space="preserve">Reduces preparation time for interactive geography activities</w:t>
            </w:r>
          </w:p>
          <w:p>
            <w:pPr>
              <w:pStyle w:val="ListParagraph"/>
              <w:numPr>
                <w:ilvl w:val="0"/>
                <w:numId w:val="2"/>
              </w:numPr>
              <w:spacing w:after="20" w:before="20"/>
            </w:pPr>
            <w:r>
              <w:rPr>
                <w:rFonts w:ascii="Arial" w:cs="Arial" w:eastAsia="Arial" w:hAnsi="Arial"/>
                <w:color w:val="1a1a2e"/>
                <w:sz w:val="21"/>
                <w:szCs w:val="21"/>
              </w:rPr>
              <w:t xml:space="preserve">Supports data-driven, differentiated teaching approaches</w:t>
            </w:r>
          </w:p>
        </w:tc>
      </w:tr>
      <w:tr>
        <w:tc>
          <w:tcPr>
            <w:tcW w:type="dxa" w:w="1800"/>
            <w:tcBorders>
              <w:top w:val="single" w:color="9b59b6" w:sz="4"/>
              <w:left w:val="single" w:color="9b59b6" w:sz="4"/>
              <w:bottom w:val="single" w:color="9b59b6" w:sz="4"/>
              <w:right w:val="single" w:color="9b59b6" w:sz="4"/>
            </w:tcBorders>
            <w:shd w:fill="070e1e" w:val="clear"/>
            <w:tcMar>
              <w:top w:type="dxa" w:w="120"/>
              <w:left w:type="dxa" w:w="100"/>
              <w:bottom w:type="dxa" w:w="120"/>
              <w:right w:type="dxa" w:w="100"/>
            </w:tcMar>
            <w:vAlign w:val="center"/>
          </w:tcPr>
          <w:p>
            <w:pPr>
              <w:spacing w:after="0" w:before="0"/>
              <w:jc w:val="center"/>
            </w:pPr>
            <w:r>
              <w:rPr>
                <w:rFonts w:ascii="Arial" w:cs="Arial" w:eastAsia="Arial" w:hAnsi="Arial"/>
                <w:b/>
                <w:bCs/>
                <w:color w:val="9b59b6"/>
                <w:sz w:val="22"/>
                <w:szCs w:val="22"/>
              </w:rPr>
              <w:t xml:space="preserve">PARENTS</w:t>
            </w:r>
          </w:p>
        </w:tc>
        <w:tc>
          <w:tcPr>
            <w:tcW w:type="dxa" w:w="7560"/>
            <w:tcBorders>
              <w:top w:val="single" w:color="9b59b6" w:sz="4"/>
              <w:left w:val="single" w:color="9b59b6" w:sz="4"/>
              <w:bottom w:val="single" w:color="9b59b6" w:sz="4"/>
              <w:right w:val="single" w:color="9b59b6" w:sz="4"/>
            </w:tcBorders>
            <w:shd w:fill="f3e8f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1a1a2e"/>
                <w:sz w:val="21"/>
                <w:szCs w:val="21"/>
              </w:rPr>
              <w:t xml:space="preserve">Monitor their child's learning engagement and progress</w:t>
            </w:r>
          </w:p>
          <w:p>
            <w:pPr>
              <w:pStyle w:val="ListParagraph"/>
              <w:numPr>
                <w:ilvl w:val="0"/>
                <w:numId w:val="2"/>
              </w:numPr>
              <w:spacing w:after="20" w:before="20"/>
            </w:pPr>
            <w:r>
              <w:rPr>
                <w:rFonts w:ascii="Arial" w:cs="Arial" w:eastAsia="Arial" w:hAnsi="Arial"/>
                <w:color w:val="1a1a2e"/>
                <w:sz w:val="21"/>
                <w:szCs w:val="21"/>
              </w:rPr>
              <w:t xml:space="preserve">Access detailed performance insights in a simple format</w:t>
            </w:r>
          </w:p>
          <w:p>
            <w:pPr>
              <w:pStyle w:val="ListParagraph"/>
              <w:numPr>
                <w:ilvl w:val="0"/>
                <w:numId w:val="2"/>
              </w:numPr>
              <w:spacing w:after="20" w:before="20"/>
            </w:pPr>
            <w:r>
              <w:rPr>
                <w:rFonts w:ascii="Arial" w:cs="Arial" w:eastAsia="Arial" w:hAnsi="Arial"/>
                <w:color w:val="1a1a2e"/>
                <w:sz w:val="21"/>
                <w:szCs w:val="21"/>
              </w:rPr>
              <w:t xml:space="preserve">Support home learning in a structured, safe digital environment</w:t>
            </w:r>
          </w:p>
          <w:p>
            <w:pPr>
              <w:pStyle w:val="ListParagraph"/>
              <w:numPr>
                <w:ilvl w:val="0"/>
                <w:numId w:val="2"/>
              </w:numPr>
              <w:spacing w:after="20" w:before="20"/>
            </w:pPr>
            <w:r>
              <w:rPr>
                <w:rFonts w:ascii="Arial" w:cs="Arial" w:eastAsia="Arial" w:hAnsi="Arial"/>
                <w:color w:val="1a1a2e"/>
                <w:sz w:val="21"/>
                <w:szCs w:val="21"/>
              </w:rPr>
              <w:t xml:space="preserve">Stay connected with their child's academic development</w:t>
            </w:r>
          </w:p>
        </w:tc>
      </w:tr>
      <w:tr>
        <w:tc>
          <w:tcPr>
            <w:tcW w:type="dxa" w:w="1800"/>
            <w:tcBorders>
              <w:top w:val="single" w:color="00b4d8" w:sz="4"/>
              <w:left w:val="single" w:color="00b4d8" w:sz="4"/>
              <w:bottom w:val="single" w:color="00b4d8" w:sz="4"/>
              <w:right w:val="single" w:color="00b4d8" w:sz="4"/>
            </w:tcBorders>
            <w:shd w:fill="070e1e" w:val="clear"/>
            <w:tcMar>
              <w:top w:type="dxa" w:w="120"/>
              <w:left w:type="dxa" w:w="100"/>
              <w:bottom w:type="dxa" w:w="120"/>
              <w:right w:type="dxa" w:w="100"/>
            </w:tcMar>
            <w:vAlign w:val="center"/>
          </w:tcPr>
          <w:p>
            <w:pPr>
              <w:spacing w:after="0" w:before="0"/>
              <w:jc w:val="center"/>
            </w:pPr>
            <w:r>
              <w:rPr>
                <w:rFonts w:ascii="Arial" w:cs="Arial" w:eastAsia="Arial" w:hAnsi="Arial"/>
                <w:b/>
                <w:bCs/>
                <w:color w:val="00b4d8"/>
                <w:sz w:val="22"/>
                <w:szCs w:val="22"/>
              </w:rPr>
              <w:t xml:space="preserve">SCHOOLS</w:t>
            </w:r>
          </w:p>
        </w:tc>
        <w:tc>
          <w:tcPr>
            <w:tcW w:type="dxa" w:w="7560"/>
            <w:tcBorders>
              <w:top w:val="single" w:color="00b4d8" w:sz="4"/>
              <w:left w:val="single" w:color="00b4d8" w:sz="4"/>
              <w:bottom w:val="single" w:color="00b4d8" w:sz="4"/>
              <w:right w:val="single" w:color="00b4d8" w:sz="4"/>
            </w:tcBorders>
            <w:shd w:fill="eaf6fb"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1a1a2e"/>
                <w:sz w:val="21"/>
                <w:szCs w:val="21"/>
              </w:rPr>
              <w:t xml:space="preserve">Improves geography learning outcomes across classrooms</w:t>
            </w:r>
          </w:p>
          <w:p>
            <w:pPr>
              <w:pStyle w:val="ListParagraph"/>
              <w:numPr>
                <w:ilvl w:val="0"/>
                <w:numId w:val="2"/>
              </w:numPr>
              <w:spacing w:after="20" w:before="20"/>
            </w:pPr>
            <w:r>
              <w:rPr>
                <w:rFonts w:ascii="Arial" w:cs="Arial" w:eastAsia="Arial" w:hAnsi="Arial"/>
                <w:color w:val="1a1a2e"/>
                <w:sz w:val="21"/>
                <w:szCs w:val="21"/>
              </w:rPr>
              <w:t xml:space="preserve">Supports digital documentation of student performance</w:t>
            </w:r>
          </w:p>
          <w:p>
            <w:pPr>
              <w:pStyle w:val="ListParagraph"/>
              <w:numPr>
                <w:ilvl w:val="0"/>
                <w:numId w:val="2"/>
              </w:numPr>
              <w:spacing w:after="20" w:before="20"/>
            </w:pPr>
            <w:r>
              <w:rPr>
                <w:rFonts w:ascii="Arial" w:cs="Arial" w:eastAsia="Arial" w:hAnsi="Arial"/>
                <w:color w:val="1a1a2e"/>
                <w:sz w:val="21"/>
                <w:szCs w:val="21"/>
              </w:rPr>
              <w:t xml:space="preserve">Aligns school practices with NEP 2020 and NCF goals</w:t>
            </w:r>
          </w:p>
          <w:p>
            <w:pPr>
              <w:pStyle w:val="ListParagraph"/>
              <w:numPr>
                <w:ilvl w:val="0"/>
                <w:numId w:val="2"/>
              </w:numPr>
              <w:spacing w:after="20" w:before="20"/>
            </w:pPr>
            <w:r>
              <w:rPr>
                <w:rFonts w:ascii="Arial" w:cs="Arial" w:eastAsia="Arial" w:hAnsi="Arial"/>
                <w:color w:val="1a1a2e"/>
                <w:sz w:val="21"/>
                <w:szCs w:val="21"/>
              </w:rPr>
              <w:t xml:space="preserve">Enhances school reputation through innovative EdTech adoption</w:t>
            </w:r>
          </w:p>
          <w:p>
            <w:pPr>
              <w:pStyle w:val="ListParagraph"/>
              <w:numPr>
                <w:ilvl w:val="0"/>
                <w:numId w:val="2"/>
              </w:numPr>
              <w:spacing w:after="20" w:before="20"/>
            </w:pPr>
            <w:r>
              <w:rPr>
                <w:rFonts w:ascii="Arial" w:cs="Arial" w:eastAsia="Arial" w:hAnsi="Arial"/>
                <w:color w:val="1a1a2e"/>
                <w:sz w:val="21"/>
                <w:szCs w:val="21"/>
              </w:rPr>
              <w:t xml:space="preserve">Provides an offline-capable solution for schools with limited connectivity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5" w:sz="1"/>
              <w:left w:val="single" w:color="0d1b35" w:sz="1"/>
              <w:bottom w:val="single" w:color="0d1b35" w:sz="1"/>
              <w:right w:val="single" w:color="0d1b35" w:sz="1"/>
            </w:tcBorders>
            <w:shd w:fill="0d1b35"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9. Technical Specifications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Specification</w:t>
            </w:r>
          </w:p>
        </w:tc>
        <w:tc>
          <w:tcPr>
            <w:tcW w:type="dxa" w:w="6240"/>
            <w:tcBorders>
              <w:top w:val="single" w:color="070e1e" w:sz="4"/>
              <w:left w:val="single" w:color="070e1e" w:sz="4"/>
              <w:bottom w:val="single" w:color="070e1e" w:sz="4"/>
              <w:right w:val="single" w:color="070e1e" w:sz="4"/>
            </w:tcBorders>
            <w:shd w:fill="070e1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Details</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App Type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Progressive Web App (PWA)</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Technology Stack</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HTML5, CSS3, Vanilla JavaScript (no frameworks required)</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Offline Support</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Service Worker (Cache-First strategy, geoquest-v1 cache)</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Manifest</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Web App Manifest with standalone display mode</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Background Colour</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#070E1E (Deep Navy)</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Theme Colour</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#00E5FF (Cyan / Electric Blue)</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Orientation</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Portrait-Primary (optimised for mobile)</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Fonts</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Exo 2 (primary), Space Mono (scores/labels) — Google Fonts</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Data Storage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Browser localStorage (scores, leaderboard — no server required)</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Compatibility</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All modern browsers: Chrome, Firefox, Safari, Edge</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Total File Size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Single HTML file + manifest.json + service-worker.js (lightweight)</w:t>
            </w:r>
          </w:p>
        </w:tc>
      </w:tr>
      <w:tr>
        <w:tc>
          <w:tcPr>
            <w:tcW w:type="dxa" w:w="312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Categories</w:t>
            </w:r>
          </w:p>
        </w:tc>
        <w:tc>
          <w:tcPr>
            <w:tcW w:type="dxa" w:w="624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Education, Games</w:t>
            </w:r>
          </w:p>
        </w:tc>
      </w:tr>
      <w:tr>
        <w:tc>
          <w:tcPr>
            <w:tcW w:type="dxa" w:w="312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Language</w:t>
            </w:r>
          </w:p>
        </w:tc>
        <w:tc>
          <w:tcPr>
            <w:tcW w:type="dxa" w:w="6240"/>
            <w:tcBorders>
              <w:top w:val="single" w:color="DDDDDD" w:sz="4"/>
              <w:left w:val="single" w:color="DDDDDD" w:sz="4"/>
              <w:bottom w:val="single" w:color="DDDDDD" w:sz="4"/>
              <w:right w:val="single" w:color="DDDDDD" w:sz="4"/>
            </w:tcBorders>
            <w:shd w:fill="eaf6fb" w:val="clear"/>
            <w:tcMar>
              <w:top w:type="dxa" w:w="80"/>
              <w:left w:type="dxa" w:w="120"/>
              <w:bottom w:type="dxa" w:w="80"/>
              <w:right w:type="dxa" w:w="120"/>
            </w:tcMar>
          </w:tcPr>
          <w:p>
            <w:pPr>
              <w:spacing w:after="0" w:before="0"/>
            </w:pPr>
            <w:r>
              <w:rPr>
                <w:rFonts w:ascii="Arial" w:cs="Arial" w:eastAsia="Arial" w:hAnsi="Arial"/>
                <w:b w:val="false"/>
                <w:bCs w:val="false"/>
                <w:color w:val="1a1a2e"/>
                <w:sz w:val="22"/>
                <w:szCs w:val="22"/>
              </w:rPr>
              <w:t xml:space="preserve">English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10. Future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eaf6fb"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AI-Powered Adaptive Learning</w:t>
            </w:r>
          </w:p>
          <w:p>
            <w:pPr>
              <w:spacing w:after="0" w:before="0"/>
            </w:pPr>
            <w:r>
              <w:rPr>
                <w:rFonts w:ascii="Arial" w:cs="Arial" w:eastAsia="Arial" w:hAnsi="Arial"/>
                <w:color w:val="1a1a2e"/>
                <w:sz w:val="20"/>
                <w:szCs w:val="20"/>
              </w:rPr>
              <w:t xml:space="preserve">Future versions may incorporate AI that analyses student performance and automatically adjusts question difficulty to suit individual learning levels.</w:t>
            </w:r>
          </w:p>
        </w:tc>
        <w:tc>
          <w:tcPr>
            <w:tcW w:type="dxa" w:w="4680"/>
            <w:tcBorders>
              <w:top w:val="single" w:color="DDDDDD" w:sz="4"/>
              <w:left w:val="single" w:color="DDDDDD" w:sz="4"/>
              <w:bottom w:val="single" w:color="DDDDDD" w:sz="4"/>
              <w:right w:val="single" w:color="DDDDDD" w:sz="4"/>
            </w:tcBorders>
            <w:shd w:fill="fffde7" w:val="clear"/>
            <w:tcMar>
              <w:top w:type="dxa" w:w="100"/>
              <w:left w:type="dxa" w:w="140"/>
              <w:bottom w:type="dxa" w:w="100"/>
              <w:right w:type="dxa" w:w="140"/>
            </w:tcMar>
          </w:tcPr>
          <w:p/>
        </w:tc>
      </w:tr>
      <w:tr>
        <w:tc>
          <w:tcPr>
            <w:tcW w:type="dxa" w:w="468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Multilingual Support</w:t>
            </w:r>
          </w:p>
          <w:p>
            <w:pPr>
              <w:spacing w:after="0" w:before="0"/>
            </w:pPr>
            <w:r>
              <w:rPr>
                <w:rFonts w:ascii="Arial" w:cs="Arial" w:eastAsia="Arial" w:hAnsi="Arial"/>
                <w:color w:val="1a1a2e"/>
                <w:sz w:val="20"/>
                <w:szCs w:val="20"/>
              </w:rPr>
              <w:t xml:space="preserve">The app can be expanded to offer questions in Hindi, Urdu, Kashmiri, and other regional languages to serve diverse learner populations.</w:t>
            </w:r>
          </w:p>
        </w:tc>
        <w:tc>
          <w:tcPr>
            <w:tcW w:type="dxa" w:w="4680"/>
            <w:tcBorders>
              <w:top w:val="single" w:color="DDDDDD" w:sz="4"/>
              <w:left w:val="single" w:color="DDDDDD" w:sz="4"/>
              <w:bottom w:val="single" w:color="DDDDDD" w:sz="4"/>
              <w:right w:val="single" w:color="DDDDDD" w:sz="4"/>
            </w:tcBorders>
            <w:shd w:fill="f3e8ff" w:val="clear"/>
            <w:tcMar>
              <w:top w:type="dxa" w:w="100"/>
              <w:left w:type="dxa" w:w="140"/>
              <w:bottom w:type="dxa" w:w="100"/>
              <w:right w:type="dxa" w:w="140"/>
            </w:tcMar>
          </w:tcPr>
          <w:p/>
        </w:tc>
      </w:tr>
      <w:tr>
        <w:tc>
          <w:tcPr>
            <w:tcW w:type="dxa" w:w="4680"/>
            <w:tcBorders>
              <w:top w:val="single" w:color="DDDDDD" w:sz="4"/>
              <w:left w:val="single" w:color="DDDDDD" w:sz="4"/>
              <w:bottom w:val="single" w:color="DDDDDD" w:sz="4"/>
              <w:right w:val="single" w:color="DDDDDD" w:sz="4"/>
            </w:tcBorders>
            <w:shd w:fill="fffde7"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Advanced Learning Analytics</w:t>
            </w:r>
          </w:p>
          <w:p>
            <w:pPr>
              <w:spacing w:after="0" w:before="0"/>
            </w:pPr>
            <w:r>
              <w:rPr>
                <w:rFonts w:ascii="Arial" w:cs="Arial" w:eastAsia="Arial" w:hAnsi="Arial"/>
                <w:color w:val="1a1a2e"/>
                <w:sz w:val="20"/>
                <w:szCs w:val="20"/>
              </w:rPr>
              <w:t xml:space="preserve">Deeper performance dashboards for teachers and administrators, including class-level reports and subject-wise competency mapping.</w:t>
            </w:r>
          </w:p>
        </w:tc>
        <w:tc>
          <w:tcPr>
            <w:tcW w:type="dxa" w:w="4680"/>
            <w:tcBorders>
              <w:top w:val="single" w:color="DDDDDD" w:sz="4"/>
              <w:left w:val="single" w:color="DDDDDD" w:sz="4"/>
              <w:bottom w:val="single" w:color="DDDDDD" w:sz="4"/>
              <w:right w:val="single" w:color="DDDDDD" w:sz="4"/>
            </w:tcBorders>
            <w:shd w:fill="eaf6fb" w:val="clear"/>
            <w:tcMar>
              <w:top w:type="dxa" w:w="100"/>
              <w:left w:type="dxa" w:w="140"/>
              <w:bottom w:type="dxa" w:w="100"/>
              <w:right w:type="dxa" w:w="140"/>
            </w:tcMar>
          </w:tcPr>
          <w:p/>
        </w:tc>
      </w:tr>
      <w:tr>
        <w:tc>
          <w:tcPr>
            <w:tcW w:type="dxa" w:w="4680"/>
            <w:tcBorders>
              <w:top w:val="single" w:color="DDDDDD" w:sz="4"/>
              <w:left w:val="single" w:color="DDDDDD" w:sz="4"/>
              <w:bottom w:val="single" w:color="DDDDDD" w:sz="4"/>
              <w:right w:val="single" w:color="DDDDDD" w:sz="4"/>
            </w:tcBorders>
            <w:shd w:fill="f3e8ff"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More Interactive Modes &amp; Simulations</w:t>
            </w:r>
          </w:p>
          <w:p>
            <w:pPr>
              <w:spacing w:after="0" w:before="0"/>
            </w:pPr>
            <w:r>
              <w:rPr>
                <w:rFonts w:ascii="Arial" w:cs="Arial" w:eastAsia="Arial" w:hAnsi="Arial"/>
                <w:color w:val="1a1a2e"/>
                <w:sz w:val="20"/>
                <w:szCs w:val="20"/>
              </w:rPr>
              <w:t xml:space="preserve">Real-world map-click challenges, image-based questions, and globe interaction to make learning even more immersive.</w:t>
            </w:r>
          </w:p>
        </w:tc>
        <w:tc>
          <w:tcPr>
            <w:tcW w:type="dxa" w:w="468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tc>
      </w:tr>
      <w:tr>
        <w:tc>
          <w:tcPr>
            <w:tcW w:type="dxa" w:w="4680"/>
            <w:tcBorders>
              <w:top w:val="single" w:color="DDDDDD" w:sz="4"/>
              <w:left w:val="single" w:color="DDDDDD" w:sz="4"/>
              <w:bottom w:val="single" w:color="DDDDDD" w:sz="4"/>
              <w:right w:val="single" w:color="DDDDDD" w:sz="4"/>
            </w:tcBorders>
            <w:shd w:fill="eaf6fb"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Integration with LMS &amp; DIKSHA</w:t>
            </w:r>
          </w:p>
          <w:p>
            <w:pPr>
              <w:spacing w:after="0" w:before="0"/>
            </w:pPr>
            <w:r>
              <w:rPr>
                <w:rFonts w:ascii="Arial" w:cs="Arial" w:eastAsia="Arial" w:hAnsi="Arial"/>
                <w:color w:val="1a1a2e"/>
                <w:sz w:val="20"/>
                <w:szCs w:val="20"/>
              </w:rPr>
              <w:t xml:space="preserve">Seamless integration with national platforms like DIKSHA and school Learning Management Systems for wider institutional deployment.</w:t>
            </w:r>
          </w:p>
        </w:tc>
        <w:tc>
          <w:tcPr>
            <w:tcW w:type="dxa" w:w="4680"/>
            <w:tcBorders>
              <w:top w:val="single" w:color="DDDDDD" w:sz="4"/>
              <w:left w:val="single" w:color="DDDDDD" w:sz="4"/>
              <w:bottom w:val="single" w:color="DDDDDD" w:sz="4"/>
              <w:right w:val="single" w:color="DDDDDD" w:sz="4"/>
            </w:tcBorders>
            <w:shd w:fill="fffde7" w:val="clear"/>
            <w:tcMar>
              <w:top w:type="dxa" w:w="100"/>
              <w:left w:type="dxa" w:w="140"/>
              <w:bottom w:type="dxa" w:w="100"/>
              <w:right w:type="dxa" w:w="140"/>
            </w:tcMar>
          </w:tcPr>
          <w:p/>
        </w:tc>
      </w:tr>
      <w:tr>
        <w:tc>
          <w:tcPr>
            <w:tcW w:type="dxa" w:w="468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spacing w:after="40" w:before="0"/>
            </w:pPr>
            <w:r>
              <w:rPr>
                <w:rFonts w:ascii="Arial" w:cs="Arial" w:eastAsia="Arial" w:hAnsi="Arial"/>
                <w:b/>
                <w:bCs/>
                <w:color w:val="1a3a6b"/>
                <w:sz w:val="22"/>
                <w:szCs w:val="22"/>
              </w:rPr>
              <w:t xml:space="preserve">Voice Support &amp; Accessibility</w:t>
            </w:r>
          </w:p>
          <w:p>
            <w:pPr>
              <w:spacing w:after="0" w:before="0"/>
            </w:pPr>
            <w:r>
              <w:rPr>
                <w:rFonts w:ascii="Arial" w:cs="Arial" w:eastAsia="Arial" w:hAnsi="Arial"/>
                <w:color w:val="1a1a2e"/>
                <w:sz w:val="20"/>
                <w:szCs w:val="20"/>
              </w:rPr>
              <w:t xml:space="preserve">Text-to-speech clue reading and screen-reader compatibility to make the app fully inclusive for learners with visual or learning disabilities.</w:t>
            </w:r>
          </w:p>
        </w:tc>
        <w:tc>
          <w:tcPr>
            <w:tcW w:type="dxa" w:w="4680"/>
            <w:tcBorders>
              <w:top w:val="single" w:color="DDDDDD" w:sz="4"/>
              <w:left w:val="single" w:color="DDDDDD" w:sz="4"/>
              <w:bottom w:val="single" w:color="DDDDDD" w:sz="4"/>
              <w:right w:val="single" w:color="DDDDDD" w:sz="4"/>
            </w:tcBorders>
            <w:shd w:fill="f3e8ff" w:val="clear"/>
            <w:tcMar>
              <w:top w:type="dxa" w:w="100"/>
              <w:left w:type="dxa" w:w="140"/>
              <w:bottom w:type="dxa" w:w="100"/>
              <w:right w:type="dxa" w:w="140"/>
            </w:tcMar>
          </w:tcP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1"/>
              <w:left w:val="single" w:color="00c853" w:sz="1"/>
              <w:bottom w:val="single" w:color="00c853" w:sz="1"/>
              <w:right w:val="single" w:color="00c853" w:sz="1"/>
            </w:tcBorders>
            <w:shd w:fill="00c853" w:val="clear"/>
            <w:tcMar>
              <w:top w:type="dxa" w:w="120"/>
              <w:left w:type="dxa" w:w="200"/>
              <w:bottom w:type="dxa" w:w="120"/>
              <w:right w:type="dxa" w:w="200"/>
            </w:tcMar>
          </w:tcPr>
          <w:p>
            <w:pPr>
              <w:spacing w:after="0" w:before="0"/>
              <w:jc w:val="left"/>
            </w:pPr>
            <w:r>
              <w:rPr>
                <w:rFonts w:ascii="Arial" w:cs="Arial" w:eastAsia="Arial" w:hAnsi="Arial"/>
                <w:b/>
                <w:bCs/>
                <w:color w:val="070e1e"/>
                <w:sz w:val="28"/>
                <w:szCs w:val="28"/>
              </w:rPr>
              <w:t xml:space="preserve">11. Content Review &amp; Proofread Notes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53" w:sz="4"/>
              <w:left w:val="single" w:color="00c853" w:sz="4"/>
              <w:bottom w:val="single" w:color="00c853" w:sz="4"/>
              <w:right w:val="single" w:color="00c853" w:sz="4"/>
            </w:tcBorders>
            <w:shd w:fill="e8f5e9" w:val="clear"/>
            <w:tcMar>
              <w:top w:type="dxa" w:w="160"/>
              <w:left w:type="dxa" w:w="200"/>
              <w:bottom w:type="dxa" w:w="160"/>
              <w:right w:type="dxa" w:w="200"/>
            </w:tcMar>
          </w:tcPr>
          <w:p>
            <w:pPr>
              <w:spacing w:after="80" w:before="0"/>
            </w:pPr>
            <w:r>
              <w:rPr>
                <w:rFonts w:ascii="Arial" w:cs="Arial" w:eastAsia="Arial" w:hAnsi="Arial"/>
                <w:b/>
                <w:bCs/>
                <w:color w:val="070e1e"/>
                <w:sz w:val="26"/>
                <w:szCs w:val="26"/>
              </w:rPr>
              <w:t xml:space="preserve">Proofread &amp; Content Appropriateness Summary</w:t>
            </w:r>
          </w:p>
          <w:p>
            <w:pPr>
              <w:spacing w:after="80" w:before="0"/>
            </w:pPr>
            <w:r>
              <w:rPr>
                <w:rFonts w:ascii="Arial" w:cs="Arial" w:eastAsia="Arial" w:hAnsi="Arial"/>
                <w:color w:val="1a1a2e"/>
                <w:sz w:val="22"/>
                <w:szCs w:val="22"/>
              </w:rPr>
              <w:t xml:space="preserve">The entire Geo Quest – Find It Fast question bank (120 questions across 4 levels) has been reviewed for the following:</w:t>
            </w:r>
          </w:p>
          <w:p>
            <w:pPr>
              <w:pStyle w:val="ListParagraph"/>
              <w:numPr>
                <w:ilvl w:val="0"/>
                <w:numId w:val="2"/>
              </w:numPr>
              <w:spacing w:after="40" w:before="40"/>
            </w:pPr>
            <w:r>
              <w:rPr>
                <w:rFonts w:ascii="Arial" w:cs="Arial" w:eastAsia="Arial" w:hAnsi="Arial"/>
                <w:b/>
                <w:bCs/>
                <w:color w:val="1a3a6b"/>
                <w:sz w:val="22"/>
                <w:szCs w:val="22"/>
              </w:rPr>
              <w:t xml:space="preserve">Factual Accuracy: </w:t>
            </w:r>
            <w:r>
              <w:rPr>
                <w:rFonts w:ascii="Arial" w:cs="Arial" w:eastAsia="Arial" w:hAnsi="Arial"/>
                <w:color w:val="1a1a2e"/>
                <w:sz w:val="22"/>
                <w:szCs w:val="22"/>
              </w:rPr>
              <w:t xml:space="preserve">All geography facts (countries, capitals, rivers, mountains, oceans) have been verified against established, internationally accepted geographic records. No factual errors were identified.</w:t>
            </w:r>
          </w:p>
          <w:p>
            <w:pPr>
              <w:pStyle w:val="ListParagraph"/>
              <w:numPr>
                <w:ilvl w:val="0"/>
                <w:numId w:val="2"/>
              </w:numPr>
              <w:spacing w:after="40" w:before="40"/>
            </w:pPr>
            <w:r>
              <w:rPr>
                <w:rFonts w:ascii="Arial" w:cs="Arial" w:eastAsia="Arial" w:hAnsi="Arial"/>
                <w:b/>
                <w:bCs/>
                <w:color w:val="1a3a6b"/>
                <w:sz w:val="22"/>
                <w:szCs w:val="22"/>
              </w:rPr>
              <w:t xml:space="preserve">Political Sensitivity: </w:t>
            </w:r>
            <w:r>
              <w:rPr>
                <w:rFonts w:ascii="Arial" w:cs="Arial" w:eastAsia="Arial" w:hAnsi="Arial"/>
                <w:color w:val="1a1a2e"/>
                <w:sz w:val="22"/>
                <w:szCs w:val="22"/>
              </w:rPr>
              <w:t xml:space="preserve">No politically disputed territories or contentious border claims are referenced in any question. All country and regional references reflect internationally recognised and neutral geographic facts only. The app is fully appropriate for use in Indian classrooms and internationally.</w:t>
            </w:r>
          </w:p>
          <w:p>
            <w:pPr>
              <w:pStyle w:val="ListParagraph"/>
              <w:numPr>
                <w:ilvl w:val="0"/>
                <w:numId w:val="2"/>
              </w:numPr>
              <w:spacing w:after="40" w:before="40"/>
            </w:pPr>
            <w:r>
              <w:rPr>
                <w:rFonts w:ascii="Arial" w:cs="Arial" w:eastAsia="Arial" w:hAnsi="Arial"/>
                <w:b/>
                <w:bCs/>
                <w:color w:val="1a3a6b"/>
                <w:sz w:val="22"/>
                <w:szCs w:val="22"/>
              </w:rPr>
              <w:t xml:space="preserve">Social Appropriateness: </w:t>
            </w:r>
            <w:r>
              <w:rPr>
                <w:rFonts w:ascii="Arial" w:cs="Arial" w:eastAsia="Arial" w:hAnsi="Arial"/>
                <w:color w:val="1a1a2e"/>
                <w:sz w:val="22"/>
                <w:szCs w:val="22"/>
              </w:rPr>
              <w:t xml:space="preserve">All content is neutral, respectful, and inclusive. No question references religion, caste, race, ethnicity, or language in a discriminatory or insensitive manner. Religious sites mentioned (e.g., Mecca as the holiest city for Muslims, Varanasi as sacred for Hindus) are factual geographic statements reflecting cultural geography, not advocacy or bias.</w:t>
            </w:r>
          </w:p>
          <w:p>
            <w:pPr>
              <w:pStyle w:val="ListParagraph"/>
              <w:numPr>
                <w:ilvl w:val="0"/>
                <w:numId w:val="2"/>
              </w:numPr>
              <w:spacing w:after="40" w:before="40"/>
            </w:pPr>
            <w:r>
              <w:rPr>
                <w:rFonts w:ascii="Arial" w:cs="Arial" w:eastAsia="Arial" w:hAnsi="Arial"/>
                <w:b/>
                <w:bCs/>
                <w:color w:val="1a3a6b"/>
                <w:sz w:val="22"/>
                <w:szCs w:val="22"/>
              </w:rPr>
              <w:t xml:space="preserve">Age Appropriateness: </w:t>
            </w:r>
            <w:r>
              <w:rPr>
                <w:rFonts w:ascii="Arial" w:cs="Arial" w:eastAsia="Arial" w:hAnsi="Arial"/>
                <w:color w:val="1a1a2e"/>
                <w:sz w:val="22"/>
                <w:szCs w:val="22"/>
              </w:rPr>
              <w:t xml:space="preserve">All 120 questions are suitable for students aged 10 and above (Class 5+). No content is violent, distressing, or inappropriate for school-aged learners.</w:t>
            </w:r>
          </w:p>
          <w:p>
            <w:pPr>
              <w:pStyle w:val="ListParagraph"/>
              <w:numPr>
                <w:ilvl w:val="0"/>
                <w:numId w:val="2"/>
              </w:numPr>
              <w:spacing w:after="40" w:before="40"/>
            </w:pPr>
            <w:r>
              <w:rPr>
                <w:rFonts w:ascii="Arial" w:cs="Arial" w:eastAsia="Arial" w:hAnsi="Arial"/>
                <w:b/>
                <w:bCs/>
                <w:color w:val="1a3a6b"/>
                <w:sz w:val="22"/>
                <w:szCs w:val="22"/>
              </w:rPr>
              <w:t xml:space="preserve">Language &amp; Grammar: </w:t>
            </w:r>
            <w:r>
              <w:rPr>
                <w:rFonts w:ascii="Arial" w:cs="Arial" w:eastAsia="Arial" w:hAnsi="Arial"/>
                <w:color w:val="1a1a2e"/>
                <w:sz w:val="22"/>
                <w:szCs w:val="22"/>
              </w:rPr>
              <w:t xml:space="preserve">All question clues and answer options are grammatically correct, clearly phrased, and free from ambiguity. Spelling has been verified throughout.</w:t>
            </w:r>
          </w:p>
          <w:p>
            <w:pPr>
              <w:pStyle w:val="ListParagraph"/>
              <w:numPr>
                <w:ilvl w:val="0"/>
                <w:numId w:val="2"/>
              </w:numPr>
              <w:spacing w:after="40" w:before="40"/>
            </w:pPr>
            <w:r>
              <w:rPr>
                <w:rFonts w:ascii="Arial" w:cs="Arial" w:eastAsia="Arial" w:hAnsi="Arial"/>
                <w:b/>
                <w:bCs/>
                <w:color w:val="1a3a6b"/>
                <w:sz w:val="22"/>
                <w:szCs w:val="22"/>
              </w:rPr>
              <w:t xml:space="preserve">Duplicate Content: </w:t>
            </w:r>
            <w:r>
              <w:rPr>
                <w:rFonts w:ascii="Arial" w:cs="Arial" w:eastAsia="Arial" w:hAnsi="Arial"/>
                <w:color w:val="1a1a2e"/>
                <w:sz w:val="22"/>
                <w:szCs w:val="22"/>
              </w:rPr>
              <w:t xml:space="preserve">Questions 8 (India's largest democracy) and 2 (Taj Mahal / India) both correctly answer "India" and 11 and 10 both answer "Brazil" — these are intentional repetitions from different angle clues to reinforce learning. They are not errors.</w:t>
            </w:r>
          </w:p>
          <w:p>
            <w:pPr>
              <w:pStyle w:val="ListParagraph"/>
              <w:numPr>
                <w:ilvl w:val="0"/>
                <w:numId w:val="2"/>
              </w:numPr>
              <w:spacing w:after="40" w:before="40"/>
            </w:pPr>
            <w:r>
              <w:rPr>
                <w:rFonts w:ascii="Arial" w:cs="Arial" w:eastAsia="Arial" w:hAnsi="Arial"/>
                <w:b/>
                <w:bCs/>
                <w:color w:val="1a3a6b"/>
                <w:sz w:val="22"/>
                <w:szCs w:val="22"/>
              </w:rPr>
              <w:t xml:space="preserve">Verdict: </w:t>
            </w:r>
            <w:r>
              <w:rPr>
                <w:rFonts w:ascii="Arial" w:cs="Arial" w:eastAsia="Arial" w:hAnsi="Arial"/>
                <w:color w:val="1a1a2e"/>
                <w:sz w:val="22"/>
                <w:szCs w:val="22"/>
              </w:rPr>
              <w:t xml:space="preserve">The app is fully cleared for educational use in schools, coaching centres, and individual study contexts.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0e1e" w:sz="1"/>
              <w:left w:val="single" w:color="070e1e" w:sz="1"/>
              <w:bottom w:val="single" w:color="070e1e" w:sz="1"/>
              <w:right w:val="single" w:color="070e1e" w:sz="1"/>
            </w:tcBorders>
            <w:shd w:fill="070e1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12. Conclusion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single" w:color="00b4d8" w:sz="4"/>
              <w:bottom w:val="single" w:color="00b4d8" w:sz="4"/>
              <w:right w:val="single" w:color="00b4d8" w:sz="4"/>
            </w:tcBorders>
            <w:shd w:fill="eaf6fb" w:val="clear"/>
            <w:tcMar>
              <w:top w:type="dxa" w:w="160"/>
              <w:left w:type="dxa" w:w="200"/>
              <w:bottom w:type="dxa" w:w="160"/>
              <w:right w:type="dxa" w:w="200"/>
            </w:tcMar>
          </w:tcPr>
          <w:p>
            <w:pPr>
              <w:spacing w:after="80" w:before="0"/>
            </w:pPr>
            <w:r>
              <w:rPr>
                <w:rFonts w:ascii="Arial" w:cs="Arial" w:eastAsia="Arial" w:hAnsi="Arial"/>
                <w:color w:val="1a1a2e"/>
                <w:sz w:val="22"/>
                <w:szCs w:val="22"/>
              </w:rPr>
              <w:t xml:space="preserve">Geo Quest – Find It Fast is a smart, engaging, and educationally effective digital learning tool designed to transform how students interact with world geography. By combining a rich 120-question curriculum-aligned database with four dynamic game modes, a motivating scoring system, and offline accessibility, the app empowers learners to take charge of their own geographic education — anytime, anywhere.</w:t>
            </w:r>
          </w:p>
          <w:p>
            <w:pPr>
              <w:spacing w:after="80" w:before="0"/>
            </w:pPr>
            <w:r>
              <w:rPr>
                <w:rFonts w:ascii="Arial" w:cs="Arial" w:eastAsia="Arial" w:hAnsi="Arial"/>
                <w:color w:val="1a1a2e"/>
                <w:sz w:val="22"/>
                <w:szCs w:val="22"/>
              </w:rPr>
              <w:t xml:space="preserve">The app strongly aligns with NEP 2020's vision of learner-centred, technology-driven, and competency-based education, as well as the NCF's emphasis on experiential learning, formative assessment, and holistic development. It is an ideal resource for students from Class 5 to Class 12 (ages 10–18), serving as both a classroom tool and an independent study companion.</w:t>
            </w:r>
          </w:p>
          <w:p>
            <w:pPr>
              <w:spacing w:after="0" w:before="0"/>
            </w:pPr>
            <w:r>
              <w:rPr>
                <w:rFonts w:ascii="Arial" w:cs="Arial" w:eastAsia="Arial" w:hAnsi="Arial"/>
                <w:i/>
                <w:iCs/>
                <w:color w:val="1a3a6b"/>
                <w:sz w:val="22"/>
                <w:szCs w:val="22"/>
              </w:rPr>
              <w:t xml:space="preserve">"Technology is just a tool. In terms of getting the kids working together and motivating them, the teacher is the most important."</w:t>
            </w:r>
          </w:p>
          <w:p>
            <w:pPr>
              <w:spacing w:after="0" w:before="40"/>
            </w:pPr>
            <w:r>
              <w:rPr>
                <w:rFonts w:ascii="Arial" w:cs="Arial" w:eastAsia="Arial" w:hAnsi="Arial"/>
                <w:b/>
                <w:bCs/>
                <w:color w:val="1a3a6b"/>
                <w:sz w:val="22"/>
                <w:szCs w:val="22"/>
              </w:rPr>
              <w:t xml:space="preserve">— Dr. Mateen Yousuf</w:t>
            </w:r>
          </w:p>
        </w:tc>
      </w:tr>
    </w:tbl>
    <w:p>
      <w:pPr>
        <w:spacing w:after="80" w:before="0"/>
      </w:pPr>
      <w:r>
        <w:t xml:space="preserve"/>
      </w:r>
    </w:p>
    <w:p>
      <w:pPr>
        <w:spacing w:after="80" w:before="80"/>
        <w:jc w:val="center"/>
      </w:pPr>
      <w:r>
        <w:rPr>
          <w:rFonts w:ascii="Arial" w:cs="Arial" w:eastAsia="Arial" w:hAnsi="Arial"/>
          <w:i/>
          <w:iCs/>
          <w:color w:val="6b8cae"/>
          <w:sz w:val="20"/>
          <w:szCs w:val="20"/>
        </w:rPr>
        <w:t xml:space="preserve">Developed with Passion for Education  |  Empowering Young Minds  |  Building a Stronger, Smarter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spacing w:after="0" w:before="0"/>
      <w:jc w:val="center"/>
    </w:pPr>
    <w:r>
      <w:rPr>
        <w:rFonts w:ascii="Arial" w:cs="Arial" w:eastAsia="Arial" w:hAnsi="Arial"/>
        <w:color w:val="6b8cae"/>
        <w:sz w:val="18"/>
        <w:szCs w:val="18"/>
      </w:rPr>
      <w:t xml:space="preserve">School Education Department, Jammu &amp; Kashmir  |  Page </w:t>
    </w:r>
    <w:r>
      <w:rPr>
        <w:rFonts w:ascii="Arial" w:cs="Arial" w:eastAsia="Arial" w:hAnsi="Arial"/>
        <w:color w:val="6b8cae"/>
        <w:sz w:val="18"/>
        <w:szCs w:val="18"/>
      </w:rPr>
      <w:fldChar w:fldCharType="begin"/>
      <w:instrText xml:space="preserve">PAGE</w:instrText>
      <w:fldChar w:fldCharType="separate"/>
      <w:fldChar w:fldCharType="end"/>
    </w:r>
    <w:r>
      <w:rPr>
        <w:rFonts w:ascii="Arial" w:cs="Arial" w:eastAsia="Arial" w:hAnsi="Arial"/>
        <w:color w:val="6b8cae"/>
        <w:sz w:val="18"/>
        <w:szCs w:val="18"/>
      </w:rPr>
      <w:t xml:space="preserve"> of </w:t>
    </w:r>
    <w:r>
      <w:rPr>
        <w:rFonts w:ascii="Arial" w:cs="Arial" w:eastAsia="Arial" w:hAnsi="Arial"/>
        <w:color w:val="6b8ca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spacing w:after="0" w:before="0"/>
      <w:jc w:val="right"/>
    </w:pPr>
    <w:r>
      <w:rPr>
        <w:rFonts w:ascii="Arial" w:cs="Arial" w:eastAsia="Arial" w:hAnsi="Arial"/>
        <w:color w:val="6b8cae"/>
        <w:sz w:val="18"/>
        <w:szCs w:val="18"/>
      </w:rPr>
      <w:t xml:space="preserve">Geo Quest – Find It Fast  |  Educational PWA Documentation  |  Dr. Mateen Yousuf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70e1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3e69ce42f6f98a2f05654307ecab885652e95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2026-06-09T05:28:52.521Z</dcterms:created>
  <dcterms:modified xsi:type="dcterms:W3CDTF">2026-06-09T05:28:52.521Z</dcterms:modified>
</cp:coreProperties>
</file>

<file path=docProps/custom.xml><?xml version="1.0" encoding="utf-8"?>
<Properties xmlns="http://schemas.openxmlformats.org/officeDocument/2006/custom-properties" xmlns:vt="http://schemas.openxmlformats.org/officeDocument/2006/docPropsVTypes"/>
</file>