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tbl>
      <w:tblPr>
        <w:tblW w:w="903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00"/>
        <w:gridCol w:w="4830"/>
        <w:gridCol w:w="2100"/>
      </w:tblGrid>
      <w:tr>
        <w:tc>
          <w:tcPr>
            <w:tcW w:w="2100" w:type="dxa"/>
            <w:vAlign w:val="center"/>
          </w:tcPr>
          <w:p>
            <w:pPr>
              <w:spacing w:before="120" w:after="0" w:line="240" w:lineRule="auto"/>
              <w:jc w:val="center"/>
            </w:pPr>
            <w:r>
              <w:rPr>
                <w:noProof/>
              </w:rPr>
              <w:drawing>
                <wp:inline distT="0" distB="0" distL="0" distR="0">
                  <wp:extent cx="1150000" cy="1419700"/>
                  <wp:effectExtent l="0" t="0" r="0" b="0"/>
                  <wp:docPr id="300" name="log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logoL.png"/>
                          <pic:cNvPicPr/>
                        </pic:nvPicPr>
                        <pic:blipFill>
                          <a:blip r:embed="rId7" cstate="print"/>
                          <a:stretch>
                            <a:fillRect/>
                          </a:stretch>
                        </pic:blipFill>
                        <pic:spPr>
                          <a:xfrm>
                            <a:off x="0" y="0"/>
                            <a:ext cx="1150000" cy="1419700"/>
                          </a:xfrm>
                          <a:prstGeom prst="rect">
                            <a:avLst/>
                          </a:prstGeom>
                        </pic:spPr>
                      </pic:pic>
                    </a:graphicData>
                  </a:graphic>
                </wp:inline>
              </w:drawing>
            </w:r>
          </w:p>
        </w:tc>
        <w:tc>
          <w:tcPr>
            <w:tcW w:w="4830" w:type="dxa"/>
            <w:vAlign w:val="center"/>
          </w:tcPr>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UNIVERSITATEA DIN BUCUREȘTI</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FACULTATEA DE MATEMATICĂ ȘI INFORMATICĂ</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SPECIALIZAREA INFORMATICĂ</w:t>
            </w:r>
          </w:p>
        </w:tc>
        <w:tc>
          <w:tcPr>
            <w:tcW w:w="2100" w:type="dxa"/>
            <w:vAlign w:val="center"/>
          </w:tcPr>
          <w:p>
            <w:pPr>
              <w:spacing w:before="120" w:after="0" w:line="240" w:lineRule="auto"/>
              <w:jc w:val="center"/>
            </w:pPr>
            <w:r>
              <w:rPr>
                <w:noProof/>
              </w:rPr>
              <w:drawing>
                <wp:inline distT="0" distB="0" distL="0" distR="0">
                  <wp:extent cx="1150000" cy="1332000"/>
                  <wp:effectExtent l="0" t="0" r="0" b="0"/>
                  <wp:docPr id="301" name="log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logoR.png"/>
                          <pic:cNvPicPr/>
                        </pic:nvPicPr>
                        <pic:blipFill>
                          <a:blip r:embed="rId8" cstate="print"/>
                          <a:stretch>
                            <a:fillRect/>
                          </a:stretch>
                        </pic:blipFill>
                        <pic:spPr>
                          <a:xfrm>
                            <a:off x="0" y="0"/>
                            <a:ext cx="1150000" cy="1332000"/>
                          </a:xfrm>
                          <a:prstGeom prst="rect">
                            <a:avLst/>
                          </a:prstGeom>
                        </pic:spPr>
                      </pic:pic>
                    </a:graphicData>
                  </a:graphic>
                </wp:inline>
              </w:drawing>
            </w:r>
          </w:p>
        </w:tc>
      </w:tr>
    </w:tbl>
    <w:p>
      <w:pPr>
        <w:spacing w:after="0" w:line="240" w:lineRule="auto"/>
      </w:pPr>
    </w:p>
    <w:p w14:paraId="77554CB8" w14:textId="77777777" w:rsidR="00911765" w:rsidRPr="00784151" w:rsidRDefault="00911765">
      <w:pPr>
        <w:pStyle w:val="BodyText"/>
        <w:rPr>
          <w:b/>
          <w:sz w:val="40"/>
        </w:rPr>
      </w:pP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Bitache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2025</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Invatarea prin intarire</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Algoritmul Q-Learning</w:t>
      </w:r>
      <w:r>
        <w:rPr>
          <w:rFonts w:ascii="Times New Roman" w:hAnsi="Times New Roman" w:cs="Times New Roman"/>
        </w:rPr>
        <w:tab/>
        <w:t>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Mediul de tip grila</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5. Agentul si procesul de antrenare</w:t>
      </w:r>
      <w:r>
        <w:rPr>
          <w:rFonts w:ascii="Times New Roman" w:hAnsi="Times New Roman" w:cs="Times New Roman"/>
        </w:rPr>
        <w:tab/>
        <w:t>11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6. Rezultate experimentale</w:t>
      </w:r>
      <w:r>
        <w:rPr>
          <w:rFonts w:ascii="Times New Roman" w:hAnsi="Times New Roman" w:cs="Times New Roman"/>
        </w:rPr>
        <w:tab/>
        <w:t>13</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7. Evaluarea politicii, demo-ul interactiv si limitari</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8. Concluzii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21</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organizată în opt capitole. Capitolul 2 prezintă învățarea prin întărire și cadrul proceselor de decizie Markov. Capitolul 3 descrie algoritmul Q-Learning. Capitolul 4 prezintă mediul de tip grilă realizat în Unity. Capitolul 5 descrie agentul și procesul de antrenare. Capitolul 6 prezintă rezultatele experimentale, iar capitolul 7 evaluarea politicii învățate, demo-ul interactiv și limitările. Capitolul 8 cuprinde concluziile și direcțiile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 Echilibrarea acestor două tendințe este esențială pentru o învățare eficientă.</w:t>
      </w:r>
    </w:p>
    <w:p>
      <w:pPr>
        <w:pStyle w:val="Heading1"/>
        <w:spacing w:before="360" w:after="120"/>
        <w:ind w:left="117"/>
        <w:rPr>
          <w:rFonts w:ascii="Times New Roman" w:hAnsi="Times New Roman" w:cs="Times New Roman"/>
        </w:rPr>
      </w:pPr>
      <w:r>
        <w:rPr>
          <w:rFonts w:ascii="Times New Roman" w:hAnsi="Times New Roman" w:cs="Times New Roman"/>
        </w:rPr>
        <w:t xml:space="preserve">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3.1.</w:t>
      </w:r>
    </w:p>
    <w:p>
      <w:pPr>
        <w:pStyle w:val="BodyText"/>
        <w:spacing w:before="80" w:after="120" w:line="360" w:lineRule="auto"/>
        <w:jc w:val="center"/>
      </w:pPr>
      <w:r>
        <w:rPr>
          <w:rFonts w:ascii="Times New Roman" w:hAnsi="Times New Roman" w:cs="Times New Roman"/>
          <w:i/>
        </w:rPr>
        <w:t xml:space="preserve">Q(s, a) = Q(s, a) + alpha * [ r + gamma * max Q(s', a') - Q(s, a) ]          (Ecuația 3.1)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3.1.</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Schema logică a procedurii de antrenare Q-Learning.</w:t>
      </w:r>
    </w:p>
    <w:p>
      <w:pPr>
        <w:pStyle w:val="BodyText"/>
        <w:spacing w:before="120" w:line="360" w:lineRule="auto"/>
        <w:ind w:left="117" w:right="115" w:firstLine="358"/>
        <w:jc w:val="both"/>
      </w:pPr>
      <w:r>
        <w:rPr>
          <w:rFonts w:ascii="Times New Roman" w:hAnsi="Times New Roman" w:cs="Times New Roman"/>
          <w:w w:val="105"/>
        </w:rPr>
        <w:t xml:space="preserve">Pentru alegerea acțiunilor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BodyText"/>
        <w:spacing w:before="120" w:line="360" w:lineRule="auto"/>
        <w:ind w:left="117" w:right="115" w:firstLine="358"/>
        <w:jc w:val="both"/>
      </w:pPr>
      <w:r>
        <w:rPr>
          <w:rFonts w:ascii="Times New Roman" w:hAnsi="Times New Roman" w:cs="Times New Roman"/>
          <w:w w:val="105"/>
        </w:rPr>
        <w:t xml:space="preserve">Implementarea acestui algoritm a fost realizată în motorul Unity, care oferă un mediu de redare tridimensional, un sistem de componente și limbajul de scriptare C# [15, 16]. Pentru aplicații de învățare prin întărire există și extensia oficială Unity ML-Agents [14], însă în această lucrare s-a ales o implementare tabulară proprie,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4. Mediul de tip grilă</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4.1.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4.2.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4.2. Vedere de sus a mediului la începutul unui episod, cu agentul (portocaliu) pe celula de start.</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1"/>
        <w:spacing w:before="360" w:after="120"/>
        <w:ind w:left="117"/>
        <w:rPr>
          <w:rFonts w:ascii="Times New Roman" w:hAnsi="Times New Roman" w:cs="Times New Roman"/>
        </w:rPr>
      </w:pPr>
      <w:r>
        <w:rPr>
          <w:rFonts w:ascii="Times New Roman" w:hAnsi="Times New Roman" w:cs="Times New Roman"/>
        </w:rPr>
        <w:t xml:space="preserve">5. Agentul și procesul de antrenare</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3.1.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5.1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5.1.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5.1.</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5.1.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1"/>
        <w:spacing w:before="360" w:after="120"/>
        <w:ind w:left="117"/>
        <w:rPr>
          <w:rFonts w:ascii="Times New Roman" w:hAnsi="Times New Roman" w:cs="Times New Roman"/>
        </w:rPr>
      </w:pPr>
      <w:r>
        <w:rPr>
          <w:rFonts w:ascii="Times New Roman" w:hAnsi="Times New Roman" w:cs="Times New Roman"/>
        </w:rPr>
        <w:t xml:space="preserve">6.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6.1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6.1.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6.1.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6.1.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Aceste rezultate arată că agentul nu doar că ajunge la țintă, ci învață și să o facă eficient, apropiindu-se de traseul optim. Forma curbei de învățare, cu o creștere rapidă urmată de stabilizare, este tipică pentru convergența unui algoritm tabular de învățare prin întărire pe un mediu de dimensiune mică.</w:t>
      </w:r>
    </w:p>
    <w:p>
      <w:pPr>
        <w:pStyle w:val="Heading1"/>
        <w:spacing w:before="360" w:after="120"/>
        <w:ind w:left="117"/>
        <w:rPr>
          <w:rFonts w:ascii="Times New Roman" w:hAnsi="Times New Roman" w:cs="Times New Roman"/>
        </w:rPr>
      </w:pPr>
      <w:r>
        <w:rPr>
          <w:rFonts w:ascii="Times New Roman" w:hAnsi="Times New Roman" w:cs="Times New Roman"/>
        </w:rPr>
        <w:t xml:space="preserve">7. Evaluarea politicii,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7.1.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7.1.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7.1,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7.1. Agentul antrenat ajuns la celula țintă urmând politica învățată.</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8.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capitolele 6 și 7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