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E839F" w14:textId="0BBFF9EA" w:rsidR="002B01FA" w:rsidRDefault="00A02534">
      <w:r>
        <w:t>TD 3 – Partage des propositions des 3 groupes de TD</w:t>
      </w:r>
    </w:p>
    <w:tbl>
      <w:tblPr>
        <w:tblStyle w:val="Grilledutableau"/>
        <w:tblW w:w="14395" w:type="dxa"/>
        <w:tblLook w:val="04A0" w:firstRow="1" w:lastRow="0" w:firstColumn="1" w:lastColumn="0" w:noHBand="0" w:noVBand="1"/>
      </w:tblPr>
      <w:tblGrid>
        <w:gridCol w:w="2405"/>
        <w:gridCol w:w="5528"/>
        <w:gridCol w:w="6462"/>
      </w:tblGrid>
      <w:tr w:rsidR="002B01FA" w14:paraId="7977642C" w14:textId="77777777" w:rsidTr="00A02534">
        <w:trPr>
          <w:trHeight w:val="105"/>
        </w:trPr>
        <w:tc>
          <w:tcPr>
            <w:tcW w:w="2405" w:type="dxa"/>
          </w:tcPr>
          <w:p w14:paraId="363528E7" w14:textId="77777777" w:rsidR="002B01FA" w:rsidRDefault="002B01FA"/>
        </w:tc>
        <w:tc>
          <w:tcPr>
            <w:tcW w:w="5528" w:type="dxa"/>
          </w:tcPr>
          <w:p w14:paraId="306EFA4A" w14:textId="2E3DC47B" w:rsidR="002B01FA" w:rsidRDefault="002B01FA">
            <w:r>
              <w:t xml:space="preserve">Data </w:t>
            </w:r>
            <w:proofErr w:type="spellStart"/>
            <w:r>
              <w:t>Act</w:t>
            </w:r>
            <w:proofErr w:type="spellEnd"/>
            <w:r>
              <w:t xml:space="preserve"> - Données</w:t>
            </w:r>
          </w:p>
        </w:tc>
        <w:tc>
          <w:tcPr>
            <w:tcW w:w="6462" w:type="dxa"/>
          </w:tcPr>
          <w:p w14:paraId="2C84B097" w14:textId="298E6C50" w:rsidR="002B01FA" w:rsidRDefault="002B01FA">
            <w:r>
              <w:t>DSA - Services</w:t>
            </w:r>
          </w:p>
        </w:tc>
      </w:tr>
      <w:tr w:rsidR="002B01FA" w14:paraId="63A020C0" w14:textId="77777777" w:rsidTr="00A02534">
        <w:trPr>
          <w:trHeight w:val="285"/>
        </w:trPr>
        <w:tc>
          <w:tcPr>
            <w:tcW w:w="2405" w:type="dxa"/>
          </w:tcPr>
          <w:p w14:paraId="2AF46FC1" w14:textId="77777777" w:rsidR="002B01FA" w:rsidRDefault="002B01FA" w:rsidP="002B01FA">
            <w:r>
              <w:t>Objectifs</w:t>
            </w:r>
          </w:p>
          <w:p w14:paraId="744AEB96" w14:textId="77777777" w:rsidR="002B01FA" w:rsidRDefault="002B01FA"/>
        </w:tc>
        <w:tc>
          <w:tcPr>
            <w:tcW w:w="5528" w:type="dxa"/>
          </w:tcPr>
          <w:p w14:paraId="793CC037" w14:textId="77777777" w:rsidR="002B01FA" w:rsidRDefault="002B01FA"/>
        </w:tc>
        <w:tc>
          <w:tcPr>
            <w:tcW w:w="6462" w:type="dxa"/>
          </w:tcPr>
          <w:p w14:paraId="2AA6FF62" w14:textId="77777777" w:rsidR="002B01FA" w:rsidRDefault="002B01FA"/>
        </w:tc>
      </w:tr>
      <w:tr w:rsidR="002B01FA" w14:paraId="3C96D064" w14:textId="77777777" w:rsidTr="00A02534">
        <w:trPr>
          <w:trHeight w:val="306"/>
        </w:trPr>
        <w:tc>
          <w:tcPr>
            <w:tcW w:w="2405" w:type="dxa"/>
          </w:tcPr>
          <w:p w14:paraId="2A8EBBF0" w14:textId="77777777" w:rsidR="002B01FA" w:rsidRDefault="002B01FA" w:rsidP="002B01FA">
            <w:r>
              <w:t>Moyens</w:t>
            </w:r>
          </w:p>
          <w:p w14:paraId="111550E7" w14:textId="77777777" w:rsidR="002B01FA" w:rsidRDefault="002B01FA"/>
        </w:tc>
        <w:tc>
          <w:tcPr>
            <w:tcW w:w="5528" w:type="dxa"/>
          </w:tcPr>
          <w:p w14:paraId="79CD57A6" w14:textId="77777777" w:rsidR="002B01FA" w:rsidRDefault="002B01FA"/>
        </w:tc>
        <w:tc>
          <w:tcPr>
            <w:tcW w:w="6462" w:type="dxa"/>
          </w:tcPr>
          <w:p w14:paraId="55A8822D" w14:textId="77777777" w:rsidR="002B01FA" w:rsidRDefault="002B01FA"/>
        </w:tc>
      </w:tr>
      <w:tr w:rsidR="002B01FA" w14:paraId="04F31289" w14:textId="77777777" w:rsidTr="002B01FA">
        <w:trPr>
          <w:trHeight w:val="1368"/>
        </w:trPr>
        <w:tc>
          <w:tcPr>
            <w:tcW w:w="2405" w:type="dxa"/>
          </w:tcPr>
          <w:p w14:paraId="00C55038" w14:textId="6F12B3D2" w:rsidR="002B01FA" w:rsidRDefault="002B01FA">
            <w:r>
              <w:t>Mesure de l’efficacité</w:t>
            </w:r>
          </w:p>
        </w:tc>
        <w:tc>
          <w:tcPr>
            <w:tcW w:w="5528" w:type="dxa"/>
          </w:tcPr>
          <w:p w14:paraId="2CA31730" w14:textId="77777777" w:rsidR="002B01FA" w:rsidRDefault="002B01FA"/>
        </w:tc>
        <w:tc>
          <w:tcPr>
            <w:tcW w:w="6462" w:type="dxa"/>
          </w:tcPr>
          <w:p w14:paraId="07BD51AD" w14:textId="77777777" w:rsidR="002B01FA" w:rsidRDefault="002B01FA"/>
        </w:tc>
      </w:tr>
      <w:tr w:rsidR="002B01FA" w14:paraId="5DAD5C69" w14:textId="77777777" w:rsidTr="002B01FA">
        <w:trPr>
          <w:trHeight w:val="2037"/>
        </w:trPr>
        <w:tc>
          <w:tcPr>
            <w:tcW w:w="2405" w:type="dxa"/>
          </w:tcPr>
          <w:p w14:paraId="0BFE3EA8" w14:textId="77777777" w:rsidR="002B01FA" w:rsidRDefault="002B01FA" w:rsidP="002B01FA">
            <w:r>
              <w:t>Lien notions CM</w:t>
            </w:r>
          </w:p>
          <w:p w14:paraId="33B66B3B" w14:textId="77777777" w:rsidR="002B01FA" w:rsidRDefault="002B01FA" w:rsidP="002B01FA"/>
          <w:p w14:paraId="7C1AC1D5" w14:textId="77777777" w:rsidR="002B01FA" w:rsidRDefault="002B01FA"/>
        </w:tc>
        <w:tc>
          <w:tcPr>
            <w:tcW w:w="5528" w:type="dxa"/>
          </w:tcPr>
          <w:p w14:paraId="724DC209" w14:textId="4108102C" w:rsidR="002B01FA" w:rsidRDefault="002B01FA">
            <w:r>
              <w:t>Limiter la production de données (</w:t>
            </w:r>
            <w:proofErr w:type="spellStart"/>
            <w:r>
              <w:t>Ress</w:t>
            </w:r>
            <w:proofErr w:type="spellEnd"/>
            <w:r>
              <w:t xml:space="preserve"> trop illimitées, imposer la portabilité).</w:t>
            </w:r>
          </w:p>
          <w:p w14:paraId="7C63B280" w14:textId="720E8360" w:rsidR="002B01FA" w:rsidRDefault="002B01FA">
            <w:r>
              <w:t>Souveraineté vis-à-vis des entreprises propriétaires</w:t>
            </w:r>
            <w:r w:rsidR="002C1816">
              <w:t xml:space="preserve"> de bases de données, et uniques exploitantes.</w:t>
            </w:r>
          </w:p>
          <w:p w14:paraId="55BE60DA" w14:textId="7DDFE073" w:rsidR="002B01FA" w:rsidRDefault="002B01FA">
            <w:r>
              <w:t>Dépendance technologique aux possesseurs de bases de données, qui empêchent les petits acteurs d’émerger.</w:t>
            </w:r>
          </w:p>
          <w:p w14:paraId="434FDD94" w14:textId="35D5D3F7" w:rsidR="00FA56FB" w:rsidRDefault="0033176F">
            <w:r>
              <w:t xml:space="preserve">Benjamin : </w:t>
            </w:r>
            <w:r w:rsidR="00FA56FB">
              <w:t>Asymétrie d’informations</w:t>
            </w:r>
            <w:r>
              <w:t>, et déséquilibre dans les capitaux investis,</w:t>
            </w:r>
            <w:r w:rsidR="00FA56FB">
              <w:t xml:space="preserve"> car texte met en lumière des sujets pour éveiller la population et limiter cet avantage.</w:t>
            </w:r>
          </w:p>
          <w:p w14:paraId="673180BF" w14:textId="7DF129B8" w:rsidR="0033176F" w:rsidRDefault="0033176F">
            <w:r>
              <w:t>Leonardo : Les multinationales qui localisent leurs activités en Irlande (Google) et aux Pays-Bas commencent à y être sanctionnées donc régulation européenne qui monte en puissance.</w:t>
            </w:r>
          </w:p>
          <w:p w14:paraId="25FC67EC" w14:textId="7F7FDE22" w:rsidR="00FA56FB" w:rsidRDefault="00FA56FB"/>
          <w:p w14:paraId="68D59A78" w14:textId="77777777" w:rsidR="00AA33A3" w:rsidRDefault="00AA33A3">
            <w:r>
              <w:t>Hugo &amp; Mathieu : Facteur de production 2aire parce que les producteurs de données, les consommateurs, sont plus actifs sur ce qui est fait de leurs données</w:t>
            </w:r>
          </w:p>
          <w:p w14:paraId="62D8DD0A" w14:textId="77777777" w:rsidR="00AA33A3" w:rsidRDefault="00AA33A3">
            <w:r>
              <w:t>Clément &amp; Gaël : Régulation pour éviter les monopoles en intervenant sur la vie du marché qui est en train de laisser créer des monopoles, principalement américains.</w:t>
            </w:r>
          </w:p>
          <w:p w14:paraId="298B0972" w14:textId="663EA934" w:rsidR="00AA33A3" w:rsidRDefault="00AA33A3">
            <w:r>
              <w:lastRenderedPageBreak/>
              <w:t>Etat-Providence : protection de l’intérêt général et de la confidentialité des citoyens dans le milieu numérique.</w:t>
            </w:r>
          </w:p>
        </w:tc>
        <w:tc>
          <w:tcPr>
            <w:tcW w:w="6462" w:type="dxa"/>
          </w:tcPr>
          <w:p w14:paraId="4117A200" w14:textId="77777777" w:rsidR="002B01FA" w:rsidRDefault="002B01FA">
            <w:r>
              <w:lastRenderedPageBreak/>
              <w:t>Limiter les externalités négatives en lien avec l’utilisation des RS et leurs travers.</w:t>
            </w:r>
          </w:p>
          <w:p w14:paraId="274F9A66" w14:textId="77777777" w:rsidR="002B01FA" w:rsidRDefault="002B01FA">
            <w:r>
              <w:t>Souveraineté aussi, gouvernance des Etats européens.</w:t>
            </w:r>
          </w:p>
          <w:p w14:paraId="198139C8" w14:textId="77777777" w:rsidR="002B01FA" w:rsidRDefault="002B01FA">
            <w:r>
              <w:t>Monopole, position dominante de fait.</w:t>
            </w:r>
          </w:p>
          <w:p w14:paraId="3EBEFBEF" w14:textId="77777777" w:rsidR="002B01FA" w:rsidRDefault="002B01FA">
            <w:r>
              <w:t xml:space="preserve">Perception de TVA sur les marketplaces (ex </w:t>
            </w:r>
            <w:proofErr w:type="spellStart"/>
            <w:r>
              <w:t>Aliexpress</w:t>
            </w:r>
            <w:proofErr w:type="spellEnd"/>
            <w:r>
              <w:t xml:space="preserve"> cadre de vélo).</w:t>
            </w:r>
          </w:p>
          <w:p w14:paraId="2CFC8FA0" w14:textId="77777777" w:rsidR="002B01FA" w:rsidRDefault="002C1816">
            <w:r>
              <w:t>Ressources rares en lien avec l’exploitation des services numériques ne soient pas exclusivement américaines.</w:t>
            </w:r>
          </w:p>
          <w:p w14:paraId="3DF94DED" w14:textId="77777777" w:rsidR="002C1816" w:rsidRDefault="002C1816">
            <w:r>
              <w:t xml:space="preserve">Redonner de la rationalité au Consommateur européen qui doit prendre conscience des </w:t>
            </w:r>
            <w:proofErr w:type="spellStart"/>
            <w:r>
              <w:t>csq</w:t>
            </w:r>
            <w:proofErr w:type="spellEnd"/>
            <w:r>
              <w:t xml:space="preserve"> de sa consommation.</w:t>
            </w:r>
          </w:p>
          <w:p w14:paraId="3EF1AB7A" w14:textId="28606019" w:rsidR="0033176F" w:rsidRDefault="0033176F">
            <w:r>
              <w:t>Baptiste : régulation du facteur de production secondaire « INFORMATION ».</w:t>
            </w:r>
          </w:p>
          <w:p w14:paraId="14536119" w14:textId="27DA676A" w:rsidR="0033176F" w:rsidRDefault="0033176F">
            <w:r>
              <w:t>Baptiste : démarche d’Etat-Providence qui cherche à réguler la sphère privée dans une démarche d’intérêt général.</w:t>
            </w:r>
          </w:p>
          <w:p w14:paraId="0027036F" w14:textId="2EDE4FA4" w:rsidR="0033176F" w:rsidRDefault="0033176F">
            <w:r>
              <w:t>Lohan</w:t>
            </w:r>
          </w:p>
          <w:p w14:paraId="2517642A" w14:textId="77777777" w:rsidR="00AA33A3" w:rsidRDefault="00AA33A3">
            <w:r>
              <w:t>Vincent : Limiter l’asymétrie d’information entre l’entreprise et les citoyens.</w:t>
            </w:r>
          </w:p>
          <w:p w14:paraId="0208AFDD" w14:textId="77777777" w:rsidR="00AA33A3" w:rsidRDefault="00AA33A3">
            <w:r>
              <w:t>Limiter les externalités négatives.</w:t>
            </w:r>
          </w:p>
          <w:p w14:paraId="01A290B8" w14:textId="77777777" w:rsidR="00A02534" w:rsidRDefault="00A02534">
            <w:r>
              <w:t xml:space="preserve">Etat-Providence : protection des plus vulnérables (harcèlement, </w:t>
            </w:r>
            <w:proofErr w:type="gramStart"/>
            <w:r>
              <w:t>pornographie,…</w:t>
            </w:r>
            <w:proofErr w:type="gramEnd"/>
            <w:r>
              <w:t>)</w:t>
            </w:r>
          </w:p>
          <w:p w14:paraId="1BE8FBD6" w14:textId="77777777" w:rsidR="00A02534" w:rsidRDefault="00A02534">
            <w:r>
              <w:t>Régulation car le texte permet le développement économique de plus petites entreprises européenne.</w:t>
            </w:r>
          </w:p>
          <w:p w14:paraId="55F61C6D" w14:textId="7B80EBF4" w:rsidR="00A02534" w:rsidRDefault="00A02534"/>
        </w:tc>
      </w:tr>
    </w:tbl>
    <w:p w14:paraId="4E3C8F33" w14:textId="77777777" w:rsidR="002B01FA" w:rsidRDefault="002B01FA"/>
    <w:sectPr w:rsidR="002B01FA" w:rsidSect="002B01FA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AA2"/>
    <w:rsid w:val="002B01FA"/>
    <w:rsid w:val="002C1816"/>
    <w:rsid w:val="0033176F"/>
    <w:rsid w:val="00733CE2"/>
    <w:rsid w:val="00A02534"/>
    <w:rsid w:val="00AA33A3"/>
    <w:rsid w:val="00E27AA2"/>
    <w:rsid w:val="00FA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B8F6F"/>
  <w15:chartTrackingRefBased/>
  <w15:docId w15:val="{9FF75297-5E78-4D74-80AA-3D1B1B178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B01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337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Fernandes Jose</dc:creator>
  <cp:keywords/>
  <dc:description/>
  <cp:lastModifiedBy>Fernandes Jose</cp:lastModifiedBy>
  <cp:revision>4</cp:revision>
  <dcterms:created xsi:type="dcterms:W3CDTF">2026-09-21T13:40:00Z</dcterms:created>
  <dcterms:modified xsi:type="dcterms:W3CDTF">2026-09-23T14:57:00Z</dcterms:modified>
</cp:coreProperties>
</file>