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Calibri" w:cs="Calibri" w:eastAsia="Calibri" w:hAnsi="Calibri"/>
          <w:b/>
          <w:bCs/>
          <w:color w:val="028090"/>
          <w:sz w:val="72"/>
          <w:szCs w:val="72"/>
        </w:rPr>
        <w:t xml:space="preserve">MedFusion</w:t>
      </w:r>
    </w:p>
    <w:p>
      <w:pPr>
        <w:spacing w:after="120" w:before="0"/>
        <w:jc w:val="center"/>
      </w:pPr>
      <w:r>
        <w:rPr>
          <w:rFonts w:ascii="Calibri" w:cs="Calibri" w:eastAsia="Calibri" w:hAnsi="Calibri"/>
          <w:color w:val="0D1B2A"/>
          <w:sz w:val="32"/>
          <w:szCs w:val="32"/>
        </w:rPr>
        <w:t xml:space="preserve">Multimodal Feature Fusion for COVID-19 Chest X-Ray Classification</w:t>
      </w:r>
    </w:p>
    <w:p>
      <w:pPr>
        <w:spacing w:after="80" w:before="0"/>
        <w:jc w:val="center"/>
      </w:pPr>
      <w:r>
        <w:rPr>
          <w:rFonts w:ascii="Calibri" w:cs="Calibri" w:eastAsia="Calibri" w:hAnsi="Calibri"/>
          <w:color w:val="64748B"/>
          <w:sz w:val="24"/>
          <w:szCs w:val="24"/>
        </w:rPr>
        <w:t xml:space="preserve">Combining DINOv3 Self-Supervised Vision Transformers with</w:t>
      </w:r>
    </w:p>
    <w:p>
      <w:pPr>
        <w:spacing w:after="480" w:before="0"/>
        <w:jc w:val="center"/>
      </w:pPr>
      <w:r>
        <w:rPr>
          <w:rFonts w:ascii="Calibri" w:cs="Calibri" w:eastAsia="Calibri" w:hAnsi="Calibri"/>
          <w:color w:val="64748B"/>
          <w:sz w:val="24"/>
          <w:szCs w:val="24"/>
        </w:rPr>
        <w:t xml:space="preserve">Diffusion U-Net Feature Extraction</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7F8" w:val="clear"/>
            <w:tcMar>
              <w:top w:type="dxa" w:w="160"/>
              <w:left w:type="dxa" w:w="180"/>
              <w:bottom w:type="dxa" w:w="160"/>
              <w:right w:type="dxa" w:w="180"/>
            </w:tcMar>
            <w:vAlign w:val="center"/>
          </w:tcPr>
          <w:p>
            <w:pPr>
              <w:jc w:val="center"/>
            </w:pPr>
            <w:r>
              <w:rPr>
                <w:rFonts w:ascii="Calibri" w:cs="Calibri" w:eastAsia="Calibri" w:hAnsi="Calibri"/>
                <w:b/>
                <w:bCs/>
                <w:color w:val="028090"/>
                <w:sz w:val="48"/>
                <w:szCs w:val="48"/>
              </w:rPr>
              <w:t xml:space="preserve">92.49%</w:t>
            </w:r>
          </w:p>
          <w:p>
            <w:pPr>
              <w:jc w:val="center"/>
            </w:pPr>
            <w:r>
              <w:rPr>
                <w:rFonts w:ascii="Calibri" w:cs="Calibri" w:eastAsia="Calibri" w:hAnsi="Calibri"/>
                <w:color w:val="64748B"/>
                <w:sz w:val="18"/>
                <w:szCs w:val="18"/>
              </w:rPr>
              <w:t xml:space="preserve">Test Accuracy</w:t>
            </w:r>
          </w:p>
        </w:tc>
        <w:tc>
          <w:tcPr>
            <w:tcW w:type="dxa" w:w="2340"/>
            <w:tcBorders>
              <w:top w:val="none" w:color="FFFFFF" w:sz="0"/>
              <w:left w:val="none" w:color="FFFFFF" w:sz="0"/>
              <w:bottom w:val="none" w:color="FFFFFF" w:sz="0"/>
              <w:right w:val="none" w:color="FFFFFF" w:sz="0"/>
            </w:tcBorders>
            <w:shd w:fill="F0F7F8" w:val="clear"/>
            <w:tcMar>
              <w:top w:type="dxa" w:w="160"/>
              <w:left w:type="dxa" w:w="180"/>
              <w:bottom w:type="dxa" w:w="160"/>
              <w:right w:type="dxa" w:w="180"/>
            </w:tcMar>
            <w:vAlign w:val="center"/>
          </w:tcPr>
          <w:p>
            <w:pPr>
              <w:jc w:val="center"/>
            </w:pPr>
            <w:r>
              <w:rPr>
                <w:rFonts w:ascii="Calibri" w:cs="Calibri" w:eastAsia="Calibri" w:hAnsi="Calibri"/>
                <w:b/>
                <w:bCs/>
                <w:color w:val="028090"/>
                <w:sz w:val="48"/>
                <w:szCs w:val="48"/>
              </w:rPr>
              <w:t xml:space="preserve">0.93</w:t>
            </w:r>
          </w:p>
          <w:p>
            <w:pPr>
              <w:jc w:val="center"/>
            </w:pPr>
            <w:r>
              <w:rPr>
                <w:rFonts w:ascii="Calibri" w:cs="Calibri" w:eastAsia="Calibri" w:hAnsi="Calibri"/>
                <w:color w:val="64748B"/>
                <w:sz w:val="18"/>
                <w:szCs w:val="18"/>
              </w:rPr>
              <w:t xml:space="preserve">Macro F1 Score</w:t>
            </w:r>
          </w:p>
        </w:tc>
        <w:tc>
          <w:tcPr>
            <w:tcW w:type="dxa" w:w="2340"/>
            <w:tcBorders>
              <w:top w:val="none" w:color="FFFFFF" w:sz="0"/>
              <w:left w:val="none" w:color="FFFFFF" w:sz="0"/>
              <w:bottom w:val="none" w:color="FFFFFF" w:sz="0"/>
              <w:right w:val="none" w:color="FFFFFF" w:sz="0"/>
            </w:tcBorders>
            <w:shd w:fill="F0F7F8" w:val="clear"/>
            <w:tcMar>
              <w:top w:type="dxa" w:w="160"/>
              <w:left w:type="dxa" w:w="180"/>
              <w:bottom w:type="dxa" w:w="160"/>
              <w:right w:type="dxa" w:w="180"/>
            </w:tcMar>
            <w:vAlign w:val="center"/>
          </w:tcPr>
          <w:p>
            <w:pPr>
              <w:jc w:val="center"/>
            </w:pPr>
            <w:r>
              <w:rPr>
                <w:rFonts w:ascii="Calibri" w:cs="Calibri" w:eastAsia="Calibri" w:hAnsi="Calibri"/>
                <w:b/>
                <w:bCs/>
                <w:color w:val="028090"/>
                <w:sz w:val="48"/>
                <w:szCs w:val="48"/>
              </w:rPr>
              <w:t xml:space="preserve">4</w:t>
            </w:r>
          </w:p>
          <w:p>
            <w:pPr>
              <w:jc w:val="center"/>
            </w:pPr>
            <w:r>
              <w:rPr>
                <w:rFonts w:ascii="Calibri" w:cs="Calibri" w:eastAsia="Calibri" w:hAnsi="Calibri"/>
                <w:color w:val="64748B"/>
                <w:sz w:val="18"/>
                <w:szCs w:val="18"/>
              </w:rPr>
              <w:t xml:space="preserve">Classes</w:t>
            </w:r>
          </w:p>
        </w:tc>
        <w:tc>
          <w:tcPr>
            <w:tcW w:type="dxa" w:w="2340"/>
            <w:tcBorders>
              <w:top w:val="none" w:color="FFFFFF" w:sz="0"/>
              <w:left w:val="none" w:color="FFFFFF" w:sz="0"/>
              <w:bottom w:val="none" w:color="FFFFFF" w:sz="0"/>
              <w:right w:val="none" w:color="FFFFFF" w:sz="0"/>
            </w:tcBorders>
            <w:shd w:fill="F0F7F8" w:val="clear"/>
            <w:tcMar>
              <w:top w:type="dxa" w:w="160"/>
              <w:left w:type="dxa" w:w="180"/>
              <w:bottom w:type="dxa" w:w="160"/>
              <w:right w:type="dxa" w:w="180"/>
            </w:tcMar>
            <w:vAlign w:val="center"/>
          </w:tcPr>
          <w:p>
            <w:pPr>
              <w:jc w:val="center"/>
            </w:pPr>
            <w:r>
              <w:rPr>
                <w:rFonts w:ascii="Calibri" w:cs="Calibri" w:eastAsia="Calibri" w:hAnsi="Calibri"/>
                <w:b/>
                <w:bCs/>
                <w:color w:val="028090"/>
                <w:sz w:val="48"/>
                <w:szCs w:val="48"/>
              </w:rPr>
              <w:t xml:space="preserve">21,164</w:t>
            </w:r>
          </w:p>
          <w:p>
            <w:pPr>
              <w:jc w:val="center"/>
            </w:pPr>
            <w:r>
              <w:rPr>
                <w:rFonts w:ascii="Calibri" w:cs="Calibri" w:eastAsia="Calibri" w:hAnsi="Calibri"/>
                <w:color w:val="64748B"/>
                <w:sz w:val="18"/>
                <w:szCs w:val="18"/>
              </w:rPr>
              <w:t xml:space="preserve">Training Images</w:t>
            </w:r>
          </w:p>
        </w:tc>
      </w:tr>
    </w:tbl>
    <w:p>
      <w:pPr>
        <w:spacing w:after="480" w:before="0"/>
      </w:pPr>
    </w:p>
    <w:p>
      <w:pPr>
        <w:spacing w:after="60" w:before="240"/>
        <w:jc w:val="center"/>
      </w:pPr>
      <w:r>
        <w:rPr>
          <w:rFonts w:ascii="Calibri" w:cs="Calibri" w:eastAsia="Calibri" w:hAnsi="Calibri"/>
          <w:color w:val="64748B"/>
          <w:sz w:val="22"/>
          <w:szCs w:val="22"/>
        </w:rPr>
        <w:t xml:space="preserve">Research Proposal — April 2026</w:t>
      </w:r>
    </w:p>
    <w:p>
      <w:r>
        <w:br w:type="page"/>
      </w:r>
    </w:p>
    <w:p>
      <w:pPr>
        <w:pStyle w:val="Heading1"/>
        <w:pBdr>
          <w:bottom w:val="single" w:color="028090" w:sz="4" w:space="6"/>
        </w:pBdr>
        <w:spacing w:after="160" w:before="360"/>
      </w:pPr>
      <w:r>
        <w:rPr>
          <w:rFonts w:ascii="Calibri" w:cs="Calibri" w:eastAsia="Calibri" w:hAnsi="Calibri"/>
          <w:b/>
          <w:bCs/>
          <w:color w:val="0D1B2A"/>
          <w:sz w:val="32"/>
          <w:szCs w:val="32"/>
        </w:rPr>
        <w:t xml:space="preserve">1. Abstract</w:t>
      </w:r>
    </w:p>
    <w:p>
      <w:pPr>
        <w:spacing w:after="100" w:before="60"/>
      </w:pPr>
      <w:r>
        <w:rPr>
          <w:rFonts w:ascii="Calibri" w:cs="Calibri" w:eastAsia="Calibri" w:hAnsi="Calibri"/>
          <w:color w:val="0D1B2A"/>
          <w:sz w:val="24"/>
          <w:szCs w:val="24"/>
        </w:rPr>
        <w:t xml:space="preserve">This project proposes and demonstrates MedFusion, a multimodal deep learning framework for automated classification of chest X-ray images into four diagnostic categories: COVID-19, Normal, Lung Opacity, and Viral Pneumonia. The system fuses two complementary feature streams — a DINOv3 Vision Transformer (ViT-B/16) providing semantic CLS token representations, and a Diffusion U-Net providing structural texture features extracted at carefully optimized timestep t=250 from the down_block[2] and mid_block layers. Both streams are average-pooled and projected to 768 dimensions each, yielding a 2304-dimensional fused representation that feeds a lightweight classification head. Trained on the COVID-19 Radiography Database (21,164 training images), MedFusion achieves 92.49% test accuracy and a macro F1 score of 0.93 across all four classes, with COVID-19 precision of 0.96 and Viral Pneumonia recall of 0.98. These results demonstrate that complementary feature fusion between a semantic transformer backbone and a generative diffusion encoder yields competitive performance for medical image classification without requiring domain-specific pretraining of either encoder.</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2. Introduction &amp; Motivation</w:t>
      </w:r>
    </w:p>
    <w:p>
      <w:pPr>
        <w:spacing w:after="100" w:before="60"/>
      </w:pPr>
      <w:r>
        <w:rPr>
          <w:rFonts w:ascii="Calibri" w:cs="Calibri" w:eastAsia="Calibri" w:hAnsi="Calibri"/>
          <w:color w:val="0D1B2A"/>
          <w:sz w:val="24"/>
          <w:szCs w:val="24"/>
        </w:rPr>
        <w:t xml:space="preserve">The COVID-19 pandemic demonstrated the urgent need for automated, scalable tools to assist radiologists in chest X-ray interpretation. Manual reading of radiographs is time-consuming, resource-intensive, and subject to inter-reader variability. Deep learning-based classification systems offer the potential to triage patients rapidly, flag high-risk cases, and reduce diagnostic burden — particularly in under-resourced healthcare settings.</w:t>
      </w:r>
    </w:p>
    <w:p>
      <w:pPr>
        <w:spacing w:after="80" w:before="0"/>
      </w:pPr>
    </w:p>
    <w:p>
      <w:pPr>
        <w:spacing w:after="100" w:before="60"/>
      </w:pPr>
      <w:r>
        <w:rPr>
          <w:rFonts w:ascii="Calibri" w:cs="Calibri" w:eastAsia="Calibri" w:hAnsi="Calibri"/>
          <w:color w:val="0D1B2A"/>
          <w:sz w:val="24"/>
          <w:szCs w:val="24"/>
        </w:rPr>
        <w:t xml:space="preserve">Modern deep learning for medical imaging has converged on two dominant paradigms. First, large-scale self-supervised Vision Transformers (ViTs) pretrained on billions of natural images have demonstrated strong generalization to downstream tasks via their CLS token representations. Second, diffusion probabilistic models trained as generative models have been observed to encode rich structural and textural priors in their intermediate U-Net activations — priors that are complementary to the semantic representations of ViTs.</w:t>
      </w:r>
    </w:p>
    <w:p>
      <w:pPr>
        <w:spacing w:after="80" w:before="0"/>
      </w:pPr>
    </w:p>
    <w:p>
      <w:pPr>
        <w:spacing w:after="100" w:before="60"/>
      </w:pPr>
      <w:r>
        <w:rPr>
          <w:rFonts w:ascii="Calibri" w:cs="Calibri" w:eastAsia="Calibri" w:hAnsi="Calibri"/>
          <w:color w:val="0D1B2A"/>
          <w:sz w:val="24"/>
          <w:szCs w:val="24"/>
        </w:rPr>
        <w:t xml:space="preserve">The central hypothesis of this project is that fusing these two complementary feature streams will yield representations more discriminative than either stream alone, particularly for fine-grained distinctions between pathologies that share superficial visual similarity (e.g., COVID-19 vs. Lung Opacity).</w:t>
      </w:r>
    </w:p>
    <w:p>
      <w:pPr>
        <w:spacing w:after="80" w:before="0"/>
      </w:pPr>
    </w:p>
    <w:p>
      <w:pPr>
        <w:pStyle w:val="Heading2"/>
        <w:spacing w:after="120" w:before="280"/>
      </w:pPr>
      <w:r>
        <w:rPr>
          <w:rFonts w:ascii="Calibri" w:cs="Calibri" w:eastAsia="Calibri" w:hAnsi="Calibri"/>
          <w:b/>
          <w:bCs/>
          <w:color w:val="028090"/>
          <w:sz w:val="26"/>
          <w:szCs w:val="26"/>
        </w:rPr>
        <w:t xml:space="preserve">2.1 Research Questions</w:t>
      </w:r>
    </w:p>
    <w:p>
      <w:pPr>
        <w:pStyle w:val="ListParagraph"/>
        <w:numPr>
          <w:ilvl w:val="0"/>
          <w:numId w:val="2"/>
        </w:numPr>
        <w:spacing w:after="80" w:before="40"/>
      </w:pPr>
      <w:r>
        <w:rPr>
          <w:rFonts w:ascii="Calibri" w:cs="Calibri" w:eastAsia="Calibri" w:hAnsi="Calibri"/>
          <w:color w:val="0D1B2A"/>
          <w:sz w:val="24"/>
          <w:szCs w:val="24"/>
        </w:rPr>
        <w:t xml:space="preserve">Can diffusion U-Net intermediate features, originally trained on non-medical satellite imagery, provide useful structural priors for chest X-ray classification?</w:t>
      </w:r>
    </w:p>
    <w:p>
      <w:pPr>
        <w:pStyle w:val="ListParagraph"/>
        <w:numPr>
          <w:ilvl w:val="0"/>
          <w:numId w:val="2"/>
        </w:numPr>
        <w:spacing w:after="80" w:before="40"/>
      </w:pPr>
      <w:r>
        <w:rPr>
          <w:rFonts w:ascii="Calibri" w:cs="Calibri" w:eastAsia="Calibri" w:hAnsi="Calibri"/>
          <w:color w:val="0D1B2A"/>
          <w:sz w:val="24"/>
          <w:szCs w:val="24"/>
        </w:rPr>
        <w:t xml:space="preserve">What is the optimal extraction strategy (block depth and timestep) for diffusion features in this cross-domain transfer setting?</w:t>
      </w:r>
    </w:p>
    <w:p>
      <w:pPr>
        <w:pStyle w:val="ListParagraph"/>
        <w:numPr>
          <w:ilvl w:val="0"/>
          <w:numId w:val="2"/>
        </w:numPr>
        <w:spacing w:after="80" w:before="40"/>
      </w:pPr>
      <w:r>
        <w:rPr>
          <w:rFonts w:ascii="Calibri" w:cs="Calibri" w:eastAsia="Calibri" w:hAnsi="Calibri"/>
          <w:color w:val="0D1B2A"/>
          <w:sz w:val="24"/>
          <w:szCs w:val="24"/>
        </w:rPr>
        <w:t xml:space="preserve">Does multimodal fusion of DINOv3 and diffusion features outperform either backbone independently on COVID-19 radiograph classification?</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3. Background &amp; Related Work</w:t>
      </w:r>
    </w:p>
    <w:p>
      <w:pPr>
        <w:pStyle w:val="Heading2"/>
        <w:spacing w:after="120" w:before="280"/>
      </w:pPr>
      <w:r>
        <w:rPr>
          <w:rFonts w:ascii="Calibri" w:cs="Calibri" w:eastAsia="Calibri" w:hAnsi="Calibri"/>
          <w:b/>
          <w:bCs/>
          <w:color w:val="028090"/>
          <w:sz w:val="26"/>
          <w:szCs w:val="26"/>
        </w:rPr>
        <w:t xml:space="preserve">3.1 DINOv3 and Self-Supervised Vision Transformers</w:t>
      </w:r>
    </w:p>
    <w:p>
      <w:pPr>
        <w:spacing w:after="100" w:before="60"/>
      </w:pPr>
      <w:r>
        <w:rPr>
          <w:rFonts w:ascii="Calibri" w:cs="Calibri" w:eastAsia="Calibri" w:hAnsi="Calibri"/>
          <w:color w:val="0D1B2A"/>
          <w:sz w:val="24"/>
          <w:szCs w:val="24"/>
        </w:rPr>
        <w:t xml:space="preserve">DINOv3 (Oquab et al., 2023) is a self-supervised ViT trained on LVD-142M, a curated dataset of 142 million images, using a distillation-based approach. The model produces patch-level and CLS token representations that capture global semantic structure without requiring labeled data. DINOv3 ViT-B/16 produces a 768-dimensional CLS token that has demonstrated strong performance on diverse downstream classification tasks with minimal fine-tuning.</w:t>
      </w:r>
    </w:p>
    <w:p>
      <w:pPr>
        <w:spacing w:after="80" w:before="0"/>
      </w:pPr>
    </w:p>
    <w:p>
      <w:pPr>
        <w:pStyle w:val="Heading2"/>
        <w:spacing w:after="120" w:before="280"/>
      </w:pPr>
      <w:r>
        <w:rPr>
          <w:rFonts w:ascii="Calibri" w:cs="Calibri" w:eastAsia="Calibri" w:hAnsi="Calibri"/>
          <w:b/>
          <w:bCs/>
          <w:color w:val="028090"/>
          <w:sz w:val="26"/>
          <w:szCs w:val="26"/>
        </w:rPr>
        <w:t xml:space="preserve">3.2 Diffusion Models as Feature Extractors</w:t>
      </w:r>
    </w:p>
    <w:p>
      <w:pPr>
        <w:spacing w:after="100" w:before="60"/>
      </w:pPr>
      <w:r>
        <w:rPr>
          <w:rFonts w:ascii="Calibri" w:cs="Calibri" w:eastAsia="Calibri" w:hAnsi="Calibri"/>
          <w:color w:val="0D1B2A"/>
          <w:sz w:val="24"/>
          <w:szCs w:val="24"/>
        </w:rPr>
        <w:t xml:space="preserve">Diffusion probabilistic models (Ho et al., 2020; Song et al., 2021) are generative models trained to iteratively denoise corrupted inputs. The denoising U-Net backbone encodes rich intermediate representations that capture both low-level texture and high-level structural patterns. Recent work (Baranchuk et al., 2021; Kwon et al., 2023) has demonstrated that these representations can be repurposed as discriminative features, with performance competitive with supervised representations on segmentation and classification tasks.</w:t>
      </w:r>
    </w:p>
    <w:p>
      <w:pPr>
        <w:spacing w:after="80" w:before="0"/>
      </w:pPr>
    </w:p>
    <w:p>
      <w:pPr>
        <w:spacing w:after="100" w:before="60"/>
      </w:pPr>
      <w:r>
        <w:rPr>
          <w:rFonts w:ascii="Calibri" w:cs="Calibri" w:eastAsia="Calibri" w:hAnsi="Calibri"/>
          <w:color w:val="0D1B2A"/>
          <w:sz w:val="24"/>
          <w:szCs w:val="24"/>
        </w:rPr>
        <w:t xml:space="preserve">Critically, the choice of timestep during feature extraction matters significantly: early timesteps (t close to 0) capture fine details, while later timesteps (t close to T) capture coarser structural information. For classification tasks, intermediate timesteps in the range t=200-300 have been found to provide the best feature quality.</w:t>
      </w:r>
    </w:p>
    <w:p>
      <w:pPr>
        <w:spacing w:after="80" w:before="0"/>
      </w:pPr>
    </w:p>
    <w:p>
      <w:pPr>
        <w:pStyle w:val="Heading2"/>
        <w:spacing w:after="120" w:before="280"/>
      </w:pPr>
      <w:r>
        <w:rPr>
          <w:rFonts w:ascii="Calibri" w:cs="Calibri" w:eastAsia="Calibri" w:hAnsi="Calibri"/>
          <w:b/>
          <w:bCs/>
          <w:color w:val="028090"/>
          <w:sz w:val="26"/>
          <w:szCs w:val="26"/>
        </w:rPr>
        <w:t xml:space="preserve">3.3 COVID-19 Classification Literature</w:t>
      </w:r>
    </w:p>
    <w:p>
      <w:pPr>
        <w:spacing w:after="100" w:before="60"/>
      </w:pPr>
      <w:r>
        <w:rPr>
          <w:rFonts w:ascii="Calibri" w:cs="Calibri" w:eastAsia="Calibri" w:hAnsi="Calibri"/>
          <w:color w:val="0D1B2A"/>
          <w:sz w:val="24"/>
          <w:szCs w:val="24"/>
        </w:rPr>
        <w:t xml:space="preserve">Numerous deep learning approaches have been applied to COVID-19 chest X-ray classification, including ResNet, DenseNet, EfficientNet, and ViT-based models, achieving accuracies in the 90-97% range on the COVID-19 Radiography Database. However, few works have explored multimodal fusion of generative and discriminative model representations for this task. Our work occupies a distinct niche: we investigate whether cross-domain generative features (from a model trained on satellite imagery) can augment semantic features for medical classification.</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4. Methodology</w:t>
      </w:r>
    </w:p>
    <w:p>
      <w:pPr>
        <w:pStyle w:val="Heading2"/>
        <w:spacing w:after="120" w:before="280"/>
      </w:pPr>
      <w:r>
        <w:rPr>
          <w:rFonts w:ascii="Calibri" w:cs="Calibri" w:eastAsia="Calibri" w:hAnsi="Calibri"/>
          <w:b/>
          <w:bCs/>
          <w:color w:val="028090"/>
          <w:sz w:val="26"/>
          <w:szCs w:val="26"/>
        </w:rPr>
        <w:t xml:space="preserve">4.1 Dataset</w:t>
      </w:r>
    </w:p>
    <w:p>
      <w:pPr>
        <w:spacing w:after="100" w:before="60"/>
      </w:pPr>
      <w:r>
        <w:rPr>
          <w:rFonts w:ascii="Calibri" w:cs="Calibri" w:eastAsia="Calibri" w:hAnsi="Calibri"/>
          <w:color w:val="0D1B2A"/>
          <w:sz w:val="24"/>
          <w:szCs w:val="24"/>
        </w:rPr>
        <w:t xml:space="preserve">We use the COVID-19 Radiography Database (Chowdhury et al., 2020; Rahman et al., 2021), publicly available on Kaggle. The dataset contains chest X-ray images across four classes: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Class</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Approximate Image Count</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COVID-19</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3,616</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Normal</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10,192</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Lung Opacity</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6,012</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Viral Pneumonia</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1,345</w:t>
            </w:r>
          </w:p>
        </w:tc>
      </w:tr>
    </w:tbl>
    <w:p>
      <w:pPr>
        <w:spacing w:after="160" w:before="0"/>
      </w:pPr>
    </w:p>
    <w:p>
      <w:pPr>
        <w:spacing w:after="100" w:before="60"/>
      </w:pPr>
      <w:r>
        <w:rPr>
          <w:rFonts w:ascii="Calibri" w:cs="Calibri" w:eastAsia="Calibri" w:hAnsi="Calibri"/>
          <w:color w:val="0D1B2A"/>
          <w:sz w:val="24"/>
          <w:szCs w:val="24"/>
        </w:rPr>
        <w:t xml:space="preserve">Images are 299x299 pixels in PNG format. We apply an 80/20 deterministic train/test split (seed=42) per class, yielding approximately 21,164 training and 4,235 test samples. Note the significant class imbalance between Normal (most frequent) and Viral Pneumonia (least frequent), which is an acknowledged challenge addressed through future work (Section 7).</w:t>
      </w:r>
    </w:p>
    <w:p>
      <w:pPr>
        <w:spacing w:after="80" w:before="0"/>
      </w:pPr>
    </w:p>
    <w:p>
      <w:pPr>
        <w:pStyle w:val="Heading2"/>
        <w:spacing w:after="120" w:before="280"/>
      </w:pPr>
      <w:r>
        <w:rPr>
          <w:rFonts w:ascii="Calibri" w:cs="Calibri" w:eastAsia="Calibri" w:hAnsi="Calibri"/>
          <w:b/>
          <w:bCs/>
          <w:color w:val="028090"/>
          <w:sz w:val="26"/>
          <w:szCs w:val="26"/>
        </w:rPr>
        <w:t xml:space="preserve">4.2 Feature Extraction Architecture</w:t>
      </w:r>
    </w:p>
    <w:p>
      <w:pPr>
        <w:spacing w:after="100" w:before="60"/>
      </w:pPr>
      <w:r>
        <w:rPr>
          <w:rFonts w:ascii="Calibri" w:cs="Calibri" w:eastAsia="Calibri" w:hAnsi="Calibri"/>
          <w:color w:val="0D1B2A"/>
          <w:sz w:val="24"/>
          <w:szCs w:val="24"/>
        </w:rPr>
        <w:t xml:space="preserve">The MedFusion architecture consists of three components: a frozen DINOv3 encoder, a frozen Diffusion U-Net encoder, and a trainable classification head.</w:t>
      </w:r>
    </w:p>
    <w:p>
      <w:pPr>
        <w:spacing w:after="80" w:before="0"/>
      </w:pPr>
    </w:p>
    <w:p>
      <w:pPr>
        <w:spacing w:after="100" w:before="60"/>
      </w:pPr>
      <w:r>
        <w:rPr>
          <w:rFonts w:ascii="Calibri" w:cs="Calibri" w:eastAsia="Calibri" w:hAnsi="Calibri"/>
          <w:color w:val="0D1B2A"/>
          <w:sz w:val="24"/>
          <w:szCs w:val="24"/>
        </w:rPr>
        <w:t xml:space="preserve">DINOv3 Encoder (Stream 1): We use facebook/dinov3-vitb16-pretrain-lvd1689m, a ViT-B/16 model with patch size 16 and embedding dimension 768. Input images are resized to 224x224 and normalized using ImageNet statistics (mean=[0.485, 0.456, 0.406], std=[0.229, 0.224, 0.225]). We extract the CLS token from the final transformer layer, yielding a 768-dimensional semantic feature vector.</w:t>
      </w:r>
    </w:p>
    <w:p>
      <w:pPr>
        <w:spacing w:after="80" w:before="0"/>
      </w:pPr>
    </w:p>
    <w:p>
      <w:pPr>
        <w:spacing w:after="100" w:before="60"/>
      </w:pPr>
      <w:r>
        <w:rPr>
          <w:rFonts w:ascii="Calibri" w:cs="Calibri" w:eastAsia="Calibri" w:hAnsi="Calibri"/>
          <w:color w:val="0D1B2A"/>
          <w:sz w:val="24"/>
          <w:szCs w:val="24"/>
        </w:rPr>
        <w:t xml:space="preserve">Diffusion U-Net Encoder (Stream 2): We use a UNet2DModel pretrained on the NWPU-RESISC45 satellite imagery dataset. This cross-domain transfer is intentional as a baseline to assess whether structural priors encoded in diffusion models generalize across imaging domains. Input images are resized to 128x128, denormalized from DINOv3 statistics, and re-normalized to [-1, 1] as expected by the diffusion model.</w:t>
      </w:r>
    </w:p>
    <w:p>
      <w:pPr>
        <w:spacing w:after="80" w:before="0"/>
      </w:pPr>
    </w:p>
    <w:p>
      <w:pPr>
        <w:spacing w:after="100" w:before="60"/>
      </w:pPr>
      <w:r>
        <w:rPr>
          <w:rFonts w:ascii="Calibri" w:cs="Calibri" w:eastAsia="Calibri" w:hAnsi="Calibri"/>
          <w:color w:val="0D1B2A"/>
          <w:sz w:val="24"/>
          <w:szCs w:val="24"/>
        </w:rPr>
        <w:t xml:space="preserve">Feature extraction strategy (hardcoded from agent-guided search): We extract features from down_block[2] and the mid_block at timestep t=250. Time embeddings for t=250 are computed via the model's time_proj and time_embedding modules and injected at each block. Both outputs are processed by adaptive average pooling to collapse spatial dimensions, then projected to 768 dimensions via learned linear projections.</w:t>
      </w:r>
    </w:p>
    <w:p>
      <w:pPr>
        <w:spacing w:after="80" w:before="0"/>
      </w:pPr>
    </w:p>
    <w:p>
      <w:pPr>
        <w:pStyle w:val="Heading2"/>
        <w:spacing w:after="120" w:before="280"/>
      </w:pPr>
      <w:r>
        <w:rPr>
          <w:rFonts w:ascii="Calibri" w:cs="Calibri" w:eastAsia="Calibri" w:hAnsi="Calibri"/>
          <w:b/>
          <w:bCs/>
          <w:color w:val="028090"/>
          <w:sz w:val="26"/>
          <w:szCs w:val="26"/>
        </w:rPr>
        <w:t xml:space="preserve">4.3 Fusion and Classification</w:t>
      </w:r>
    </w:p>
    <w:p>
      <w:pPr>
        <w:spacing w:after="100" w:before="60"/>
      </w:pPr>
      <w:r>
        <w:rPr>
          <w:rFonts w:ascii="Calibri" w:cs="Calibri" w:eastAsia="Calibri" w:hAnsi="Calibri"/>
          <w:color w:val="0D1B2A"/>
          <w:sz w:val="24"/>
          <w:szCs w:val="24"/>
        </w:rPr>
        <w:t xml:space="preserve">The two 768-dimensional projected feature vectors are concatenated with the DINOv3 CLS token to form a 2304-dimensional fused representation: [DINOv3_CLS || down_block2_pool || mid_block_pool]. This is fed to a three-layer MLP classification head: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Layer</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Configuration</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Input</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2304-d fused features</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FC-1</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2304 → 512, ReLU, Dropout(0.3)</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FC-2</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512 → 256, ReLU, Dropout(0.3)</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FC-3</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256 → 4 (num classes)</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Loss</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CrossEntropyLoss</w:t>
            </w:r>
          </w:p>
        </w:tc>
      </w:tr>
    </w:tbl>
    <w:p>
      <w:pPr>
        <w:spacing w:after="160" w:before="0"/>
      </w:pPr>
    </w:p>
    <w:p>
      <w:pPr>
        <w:pStyle w:val="Heading2"/>
        <w:spacing w:after="120" w:before="280"/>
      </w:pPr>
      <w:r>
        <w:rPr>
          <w:rFonts w:ascii="Calibri" w:cs="Calibri" w:eastAsia="Calibri" w:hAnsi="Calibri"/>
          <w:b/>
          <w:bCs/>
          <w:color w:val="028090"/>
          <w:sz w:val="26"/>
          <w:szCs w:val="26"/>
        </w:rPr>
        <w:t xml:space="preserve">4.4 Training Protocol</w:t>
      </w:r>
    </w:p>
    <w:p>
      <w:pPr>
        <w:spacing w:after="100" w:before="60"/>
      </w:pPr>
      <w:r>
        <w:rPr>
          <w:rFonts w:ascii="Calibri" w:cs="Calibri" w:eastAsia="Calibri" w:hAnsi="Calibri"/>
          <w:color w:val="0D1B2A"/>
          <w:sz w:val="24"/>
          <w:szCs w:val="24"/>
        </w:rPr>
        <w:t xml:space="preserve">Only the classification head and the two linear projection layers (down2_proj, mid_proj) are trained — all encoder parameters remain frozen. This yields 1,903,876 trainable parameters out of 201,566,215 total, representing less than 1% of the model. Training uses Adam optimizer (lr=1e-4) with ReduceLROnPlateau scheduling (factor=0.5, patience=3) and early stopping (patience=7). Batch size is 32. Training augmentations include random horizontal flip, random rotation (±15°), and color jitter.</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5. Results</w:t>
      </w:r>
    </w:p>
    <w:p>
      <w:pPr>
        <w:pStyle w:val="Heading2"/>
        <w:spacing w:after="120" w:before="280"/>
      </w:pPr>
      <w:r>
        <w:rPr>
          <w:rFonts w:ascii="Calibri" w:cs="Calibri" w:eastAsia="Calibri" w:hAnsi="Calibri"/>
          <w:b/>
          <w:bCs/>
          <w:color w:val="028090"/>
          <w:sz w:val="26"/>
          <w:szCs w:val="26"/>
        </w:rPr>
        <w:t xml:space="preserve">5.1 Training Dynamics</w:t>
      </w:r>
    </w:p>
    <w:p>
      <w:pPr>
        <w:spacing w:after="100" w:before="60"/>
      </w:pPr>
      <w:r>
        <w:rPr>
          <w:rFonts w:ascii="Calibri" w:cs="Calibri" w:eastAsia="Calibri" w:hAnsi="Calibri"/>
          <w:color w:val="0D1B2A"/>
          <w:sz w:val="24"/>
          <w:szCs w:val="24"/>
        </w:rPr>
        <w:t xml:space="preserve">The model was trained for the full 50 epochs without early stopping, indicating continued — if slow — improvement throughout training. Epoch 1 established a strong baseline of 76.46% validation accuracy, demonstrating the power of the frozen encoders as off-the-shelf feature extractors. The model achieved 90%+ validation accuracy by epoch 7 and continued to improve to 92.49% by the final epoch.</w:t>
      </w:r>
    </w:p>
    <w:p>
      <w:pPr>
        <w:spacing w:after="80" w:before="0"/>
      </w:pPr>
    </w:p>
    <w:p>
      <w:pPr>
        <w:spacing w:after="100" w:before="60"/>
      </w:pPr>
      <w:r>
        <w:rPr>
          <w:rFonts w:ascii="Calibri" w:cs="Calibri" w:eastAsia="Calibri" w:hAnsi="Calibri"/>
          <w:color w:val="0D1B2A"/>
          <w:sz w:val="24"/>
          <w:szCs w:val="24"/>
        </w:rPr>
        <w:t xml:space="preserve">The training and validation loss curves converge closely, indicating minimal overfitting. The small gap between training accuracy (93.67% at epoch 50) and validation accuracy (92.54%) confirms that the frozen encoder + lightweight head configuration is well-regularized.</w:t>
      </w:r>
    </w:p>
    <w:p>
      <w:pPr>
        <w:spacing w:after="80" w:before="0"/>
      </w:pPr>
    </w:p>
    <w:p>
      <w:pPr>
        <w:pStyle w:val="Heading2"/>
        <w:spacing w:after="120" w:before="280"/>
      </w:pPr>
      <w:r>
        <w:rPr>
          <w:rFonts w:ascii="Calibri" w:cs="Calibri" w:eastAsia="Calibri" w:hAnsi="Calibri"/>
          <w:b/>
          <w:bCs/>
          <w:color w:val="028090"/>
          <w:sz w:val="26"/>
          <w:szCs w:val="26"/>
        </w:rPr>
        <w:t xml:space="preserve">5.2 Final Classification Performance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Class</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Precision / Recall / F1 / Support</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COVID-19</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0.96 / 0.94 / 0.95 / 724</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Normal</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0.92 / 0.94 / 0.93 / 2039</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Lung Opacity</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0.90 / 0.87 / 0.89 / 1203</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Viral Pneumonia</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0.94 / 0.98 / 0.96 / 269</w:t>
            </w:r>
          </w:p>
        </w:tc>
      </w:tr>
      <w:tr>
        <w:tc>
          <w:tcPr>
            <w:tcW w:type="dxa" w:w="280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b/>
                <w:bCs/>
                <w:color w:val="028090"/>
                <w:sz w:val="22"/>
                <w:szCs w:val="22"/>
              </w:rPr>
              <w:t xml:space="preserve">Macro Average</w:t>
            </w:r>
          </w:p>
        </w:tc>
        <w:tc>
          <w:tcPr>
            <w:tcW w:type="dxa" w:w="6560"/>
            <w:tcBorders>
              <w:top w:val="single" w:color="D0E8EC" w:sz="1"/>
              <w:left w:val="single" w:color="D0E8EC" w:sz="1"/>
              <w:bottom w:val="single" w:color="D0E8EC" w:sz="1"/>
              <w:right w:val="single" w:color="D0E8EC" w:sz="1"/>
            </w:tcBorders>
            <w:shd w:fill="FFFFFF" w:val="clear"/>
            <w:tcMar>
              <w:top w:type="dxa" w:w="80"/>
              <w:left w:type="dxa" w:w="120"/>
              <w:bottom w:type="dxa" w:w="80"/>
              <w:right w:type="dxa" w:w="120"/>
            </w:tcMar>
          </w:tcPr>
          <w:p>
            <w:r>
              <w:rPr>
                <w:rFonts w:ascii="Calibri" w:cs="Calibri" w:eastAsia="Calibri" w:hAnsi="Calibri"/>
                <w:color w:val="0D1B2A"/>
                <w:sz w:val="22"/>
                <w:szCs w:val="22"/>
              </w:rPr>
              <w:t xml:space="preserve">0.93 / 0.93 / 0.93 / 4235</w:t>
            </w:r>
          </w:p>
        </w:tc>
      </w:tr>
      <w:tr>
        <w:tc>
          <w:tcPr>
            <w:tcW w:type="dxa" w:w="280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b/>
                <w:bCs/>
                <w:color w:val="028090"/>
                <w:sz w:val="22"/>
                <w:szCs w:val="22"/>
              </w:rPr>
              <w:t xml:space="preserve">Overall Accuracy</w:t>
            </w:r>
          </w:p>
        </w:tc>
        <w:tc>
          <w:tcPr>
            <w:tcW w:type="dxa" w:w="6560"/>
            <w:tcBorders>
              <w:top w:val="single" w:color="D0E8EC" w:sz="1"/>
              <w:left w:val="single" w:color="D0E8EC" w:sz="1"/>
              <w:bottom w:val="single" w:color="D0E8EC" w:sz="1"/>
              <w:right w:val="single" w:color="D0E8EC" w:sz="1"/>
            </w:tcBorders>
            <w:shd w:fill="F0F7F8" w:val="clear"/>
            <w:tcMar>
              <w:top w:type="dxa" w:w="80"/>
              <w:left w:type="dxa" w:w="120"/>
              <w:bottom w:type="dxa" w:w="80"/>
              <w:right w:type="dxa" w:w="120"/>
            </w:tcMar>
          </w:tcPr>
          <w:p>
            <w:r>
              <w:rPr>
                <w:rFonts w:ascii="Calibri" w:cs="Calibri" w:eastAsia="Calibri" w:hAnsi="Calibri"/>
                <w:color w:val="0D1B2A"/>
                <w:sz w:val="22"/>
                <w:szCs w:val="22"/>
              </w:rPr>
              <w:t xml:space="preserve">92.49%</w:t>
            </w:r>
          </w:p>
        </w:tc>
      </w:tr>
    </w:tbl>
    <w:p>
      <w:pPr>
        <w:spacing w:after="160" w:before="0"/>
      </w:pPr>
    </w:p>
    <w:p>
      <w:pPr>
        <w:spacing w:after="100" w:before="60"/>
      </w:pPr>
      <w:r>
        <w:rPr>
          <w:rFonts w:ascii="Calibri" w:cs="Calibri" w:eastAsia="Calibri" w:hAnsi="Calibri"/>
          <w:color w:val="0D1B2A"/>
          <w:sz w:val="24"/>
          <w:szCs w:val="24"/>
        </w:rPr>
        <w:t xml:space="preserve">COVID-19 classification achieves the highest precision (0.96), which is clinically most important — minimizing false positives reduces unnecessary isolation and anxiety. Viral Pneumonia achieves the highest recall (0.98), meaning the model rarely misses true positive cases. Lung Opacity is the most challenging class (F1=0.89), likely due to visual similarity with both Normal and COVID-19 presentations.</w:t>
      </w:r>
    </w:p>
    <w:p>
      <w:pPr>
        <w:spacing w:after="80" w:before="0"/>
      </w:pPr>
    </w:p>
    <w:p>
      <w:pPr>
        <w:spacing w:after="100" w:before="60"/>
      </w:pPr>
      <w:r>
        <w:rPr>
          <w:rFonts w:ascii="Calibri" w:cs="Calibri" w:eastAsia="Calibri" w:hAnsi="Calibri"/>
          <w:color w:val="0D1B2A"/>
          <w:sz w:val="24"/>
          <w:szCs w:val="24"/>
        </w:rPr>
        <w:t xml:space="preserve">The confusion matrix reveals that the most common error is Normal samples being misclassified as Lung Opacity (95 cases), which is clinically understandable given that early or mild opacity can be difficult to distinguish from normal lung texture. COVID misclassifications are predominantly to Normal (24 cases) and Lung Opacity (17 cases), with zero COVID cases misclassified as Viral Pneumonia — a clinically meaningful separation.</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6. Discussion</w:t>
      </w:r>
    </w:p>
    <w:p>
      <w:pPr>
        <w:pStyle w:val="Heading2"/>
        <w:spacing w:after="120" w:before="280"/>
      </w:pPr>
      <w:r>
        <w:rPr>
          <w:rFonts w:ascii="Calibri" w:cs="Calibri" w:eastAsia="Calibri" w:hAnsi="Calibri"/>
          <w:b/>
          <w:bCs/>
          <w:color w:val="028090"/>
          <w:sz w:val="26"/>
          <w:szCs w:val="26"/>
        </w:rPr>
        <w:t xml:space="preserve">6.1 Significance of Cross-Domain Transfer</w:t>
      </w:r>
    </w:p>
    <w:p>
      <w:pPr>
        <w:spacing w:after="100" w:before="60"/>
      </w:pPr>
      <w:r>
        <w:rPr>
          <w:rFonts w:ascii="Calibri" w:cs="Calibri" w:eastAsia="Calibri" w:hAnsi="Calibri"/>
          <w:color w:val="0D1B2A"/>
          <w:sz w:val="24"/>
          <w:szCs w:val="24"/>
        </w:rPr>
        <w:t xml:space="preserve">A key finding of this work is that a diffusion U-Net trained on satellite imagery (NWPU-RESISC45) provides useful features for medical image classification without any medical domain fine-tuning. This suggests that the structural and textural priors encoded during diffusion model training are domain-agnostic at an intermediate level of abstraction, generalizing from satellite textures to radiographic patterns.</w:t>
      </w:r>
    </w:p>
    <w:p>
      <w:pPr>
        <w:spacing w:after="80" w:before="0"/>
      </w:pPr>
    </w:p>
    <w:p>
      <w:pPr>
        <w:spacing w:after="100" w:before="60"/>
      </w:pPr>
      <w:r>
        <w:rPr>
          <w:rFonts w:ascii="Calibri" w:cs="Calibri" w:eastAsia="Calibri" w:hAnsi="Calibri"/>
          <w:color w:val="0D1B2A"/>
          <w:sz w:val="24"/>
          <w:szCs w:val="24"/>
        </w:rPr>
        <w:t xml:space="preserve">This has significant practical implications: it suggests that the expense of training domain-specific diffusion models for medical imaging may not be strictly necessary for reasonable performance, opening up applications in resource-constrained settings.</w:t>
      </w:r>
    </w:p>
    <w:p>
      <w:pPr>
        <w:spacing w:after="80" w:before="0"/>
      </w:pPr>
    </w:p>
    <w:p>
      <w:pPr>
        <w:pStyle w:val="Heading2"/>
        <w:spacing w:after="120" w:before="280"/>
      </w:pPr>
      <w:r>
        <w:rPr>
          <w:rFonts w:ascii="Calibri" w:cs="Calibri" w:eastAsia="Calibri" w:hAnsi="Calibri"/>
          <w:b/>
          <w:bCs/>
          <w:color w:val="028090"/>
          <w:sz w:val="26"/>
          <w:szCs w:val="26"/>
        </w:rPr>
        <w:t xml:space="preserve">6.2 Complementarity of Feature Streams</w:t>
      </w:r>
    </w:p>
    <w:p>
      <w:pPr>
        <w:spacing w:after="100" w:before="60"/>
      </w:pPr>
      <w:r>
        <w:rPr>
          <w:rFonts w:ascii="Calibri" w:cs="Calibri" w:eastAsia="Calibri" w:hAnsi="Calibri"/>
          <w:color w:val="0D1B2A"/>
          <w:sz w:val="24"/>
          <w:szCs w:val="24"/>
        </w:rPr>
        <w:t xml:space="preserve">The choice to extract from down_block[2] and mid_block at t=250 was determined by an agent-guided search over extraction strategies. This strategy captures mid-level structural features (down_block[2]) and high-level bottleneck representations (mid_block), which are complementary to the global semantic CLS token of DINOv3. The DINOv3 stream likely captures global shape and overall presentation, while the U-Net streams capture texture patterns and local structural details relevant to pathological changes.</w:t>
      </w:r>
    </w:p>
    <w:p>
      <w:pPr>
        <w:spacing w:after="80" w:before="0"/>
      </w:pPr>
    </w:p>
    <w:p>
      <w:pPr>
        <w:pStyle w:val="Heading2"/>
        <w:spacing w:after="120" w:before="280"/>
      </w:pPr>
      <w:r>
        <w:rPr>
          <w:rFonts w:ascii="Calibri" w:cs="Calibri" w:eastAsia="Calibri" w:hAnsi="Calibri"/>
          <w:b/>
          <w:bCs/>
          <w:color w:val="028090"/>
          <w:sz w:val="26"/>
          <w:szCs w:val="26"/>
        </w:rPr>
        <w:t xml:space="preserve">6.3 Limitations</w:t>
      </w:r>
    </w:p>
    <w:p>
      <w:pPr>
        <w:pStyle w:val="ListParagraph"/>
        <w:numPr>
          <w:ilvl w:val="0"/>
          <w:numId w:val="2"/>
        </w:numPr>
        <w:spacing w:after="80" w:before="40"/>
      </w:pPr>
      <w:r>
        <w:rPr>
          <w:rFonts w:ascii="Calibri" w:cs="Calibri" w:eastAsia="Calibri" w:hAnsi="Calibri"/>
          <w:color w:val="0D1B2A"/>
          <w:sz w:val="24"/>
          <w:szCs w:val="24"/>
        </w:rPr>
        <w:t xml:space="preserve">The diffusion U-Net was trained on a non-medical dataset, which may limit the specificity of extracted features for radiological findings.</w:t>
      </w:r>
    </w:p>
    <w:p>
      <w:pPr>
        <w:pStyle w:val="ListParagraph"/>
        <w:numPr>
          <w:ilvl w:val="0"/>
          <w:numId w:val="2"/>
        </w:numPr>
        <w:spacing w:after="80" w:before="40"/>
      </w:pPr>
      <w:r>
        <w:rPr>
          <w:rFonts w:ascii="Calibri" w:cs="Calibri" w:eastAsia="Calibri" w:hAnsi="Calibri"/>
          <w:color w:val="0D1B2A"/>
          <w:sz w:val="24"/>
          <w:szCs w:val="24"/>
        </w:rPr>
        <w:t xml:space="preserve">The dataset exhibits significant class imbalance (Normal: ~10k vs. Viral Pneumonia: ~1.3k), which is not currently addressed through weighted loss or sampling strategies.</w:t>
      </w:r>
    </w:p>
    <w:p>
      <w:pPr>
        <w:pStyle w:val="ListParagraph"/>
        <w:numPr>
          <w:ilvl w:val="0"/>
          <w:numId w:val="2"/>
        </w:numPr>
        <w:spacing w:after="80" w:before="40"/>
      </w:pPr>
      <w:r>
        <w:rPr>
          <w:rFonts w:ascii="Calibri" w:cs="Calibri" w:eastAsia="Calibri" w:hAnsi="Calibri"/>
          <w:color w:val="0D1B2A"/>
          <w:sz w:val="24"/>
          <w:szCs w:val="24"/>
        </w:rPr>
        <w:t xml:space="preserve">All encoder parameters are frozen; end-to-end fine-tuning of at least the projection layers and possibly the final transformer blocks could improve performance further.</w:t>
      </w:r>
    </w:p>
    <w:p>
      <w:pPr>
        <w:pStyle w:val="ListParagraph"/>
        <w:numPr>
          <w:ilvl w:val="0"/>
          <w:numId w:val="2"/>
        </w:numPr>
        <w:spacing w:after="80" w:before="40"/>
      </w:pPr>
      <w:r>
        <w:rPr>
          <w:rFonts w:ascii="Calibri" w:cs="Calibri" w:eastAsia="Calibri" w:hAnsi="Calibri"/>
          <w:color w:val="0D1B2A"/>
          <w:sz w:val="24"/>
          <w:szCs w:val="24"/>
        </w:rPr>
        <w:t xml:space="preserve">The 128x128 U-Net input resolution may discard fine-grained pathological details present in the original 224x224 images.</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7. Future Work</w:t>
      </w:r>
    </w:p>
    <w:p>
      <w:pPr>
        <w:pStyle w:val="ListParagraph"/>
        <w:numPr>
          <w:ilvl w:val="0"/>
          <w:numId w:val="2"/>
        </w:numPr>
        <w:spacing w:after="80" w:before="40"/>
      </w:pPr>
      <w:r>
        <w:rPr>
          <w:rFonts w:ascii="Calibri" w:cs="Calibri" w:eastAsia="Calibri" w:hAnsi="Calibri"/>
          <w:color w:val="0D1B2A"/>
          <w:sz w:val="24"/>
          <w:szCs w:val="24"/>
        </w:rPr>
        <w:t xml:space="preserve">Train a medical-domain diffusion U-Net on chest X-ray datasets (e.g., CheXpert, NIH ChestX-ray14) and compare feature quality against the current satellite-domain weights.</w:t>
      </w:r>
    </w:p>
    <w:p>
      <w:pPr>
        <w:pStyle w:val="ListParagraph"/>
        <w:numPr>
          <w:ilvl w:val="0"/>
          <w:numId w:val="2"/>
        </w:numPr>
        <w:spacing w:after="80" w:before="40"/>
      </w:pPr>
      <w:r>
        <w:rPr>
          <w:rFonts w:ascii="Calibri" w:cs="Calibri" w:eastAsia="Calibri" w:hAnsi="Calibri"/>
          <w:color w:val="0D1B2A"/>
          <w:sz w:val="24"/>
          <w:szCs w:val="24"/>
        </w:rPr>
        <w:t xml:space="preserve">Implement class-weighted CrossEntropyLoss or oversampling strategies to address the Normal/Viral Pneumonia imbalance.</w:t>
      </w:r>
    </w:p>
    <w:p>
      <w:pPr>
        <w:pStyle w:val="ListParagraph"/>
        <w:numPr>
          <w:ilvl w:val="0"/>
          <w:numId w:val="2"/>
        </w:numPr>
        <w:spacing w:after="80" w:before="40"/>
      </w:pPr>
      <w:r>
        <w:rPr>
          <w:rFonts w:ascii="Calibri" w:cs="Calibri" w:eastAsia="Calibri" w:hAnsi="Calibri"/>
          <w:color w:val="0D1B2A"/>
          <w:sz w:val="24"/>
          <w:szCs w:val="24"/>
        </w:rPr>
        <w:t xml:space="preserve">Conduct ablation studies comparing: DINOv3 alone, U-Net alone, different fusion strategies (concatenation vs. attention-based), and different extraction blocks/timesteps.</w:t>
      </w:r>
    </w:p>
    <w:p>
      <w:pPr>
        <w:pStyle w:val="ListParagraph"/>
        <w:numPr>
          <w:ilvl w:val="0"/>
          <w:numId w:val="2"/>
        </w:numPr>
        <w:spacing w:after="80" w:before="40"/>
      </w:pPr>
      <w:r>
        <w:rPr>
          <w:rFonts w:ascii="Calibri" w:cs="Calibri" w:eastAsia="Calibri" w:hAnsi="Calibri"/>
          <w:color w:val="0D1B2A"/>
          <w:sz w:val="24"/>
          <w:szCs w:val="24"/>
        </w:rPr>
        <w:t xml:space="preserve">Explore attention-based fusion mechanisms (cross-attention between DINOv3 patch tokens and U-Net spatial features) to replace the fixed average pooling approach.</w:t>
      </w:r>
    </w:p>
    <w:p>
      <w:pPr>
        <w:pStyle w:val="ListParagraph"/>
        <w:numPr>
          <w:ilvl w:val="0"/>
          <w:numId w:val="2"/>
        </w:numPr>
        <w:spacing w:after="80" w:before="40"/>
      </w:pPr>
      <w:r>
        <w:rPr>
          <w:rFonts w:ascii="Calibri" w:cs="Calibri" w:eastAsia="Calibri" w:hAnsi="Calibri"/>
          <w:color w:val="0D1B2A"/>
          <w:sz w:val="24"/>
          <w:szCs w:val="24"/>
        </w:rPr>
        <w:t xml:space="preserve">Evaluate on external chest X-ray datasets (CheXpert, PadChest) to assess generalization beyond the COVID-19 Radiography Database.</w:t>
      </w:r>
    </w:p>
    <w:p>
      <w:pPr>
        <w:pStyle w:val="ListParagraph"/>
        <w:numPr>
          <w:ilvl w:val="0"/>
          <w:numId w:val="2"/>
        </w:numPr>
        <w:spacing w:after="80" w:before="40"/>
      </w:pPr>
      <w:r>
        <w:rPr>
          <w:rFonts w:ascii="Calibri" w:cs="Calibri" w:eastAsia="Calibri" w:hAnsi="Calibri"/>
          <w:color w:val="0D1B2A"/>
          <w:sz w:val="24"/>
          <w:szCs w:val="24"/>
        </w:rPr>
        <w:t xml:space="preserve">Investigate gradient-weighted activation maps (Grad-CAM) on both feature streams to understand what anatomical regions each encoder focuses on.</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8. Conclusion</w:t>
      </w:r>
    </w:p>
    <w:p>
      <w:pPr>
        <w:spacing w:after="100" w:before="60"/>
      </w:pPr>
      <w:r>
        <w:rPr>
          <w:rFonts w:ascii="Calibri" w:cs="Calibri" w:eastAsia="Calibri" w:hAnsi="Calibri"/>
          <w:color w:val="0D1B2A"/>
          <w:sz w:val="24"/>
          <w:szCs w:val="24"/>
        </w:rPr>
        <w:t xml:space="preserve">MedFusion demonstrates that combining the semantic representations of a self-supervised Vision Transformer (DINOv3) with the structural feature priors of a diffusion U-Net yields a competitive and well-calibrated classifier for COVID-19 chest X-ray diagnosis. Achieving 92.49% overall accuracy and a macro F1 of 0.93 on a 4-class problem with 21,164 training images — using only 1.9M trainable parameters and entirely frozen encoder backbones — this approach offers an efficient and modular framework for medical image classification.</w:t>
      </w:r>
    </w:p>
    <w:p>
      <w:pPr>
        <w:spacing w:after="80" w:before="0"/>
      </w:pPr>
    </w:p>
    <w:p>
      <w:pPr>
        <w:spacing w:after="100" w:before="60"/>
      </w:pPr>
      <w:r>
        <w:rPr>
          <w:rFonts w:ascii="Calibri" w:cs="Calibri" w:eastAsia="Calibri" w:hAnsi="Calibri"/>
          <w:color w:val="0D1B2A"/>
          <w:sz w:val="24"/>
          <w:szCs w:val="24"/>
        </w:rPr>
        <w:t xml:space="preserve">The success of cross-domain diffusion features (satellite → medical) suggests that generative model representations encode broadly useful structural priors that may be leveraged across imaging domains. This work lays the groundwork for a more comprehensive investigation into diffusion-based feature extraction for medical AI, including domain-specific pretraining, attention-based fusion, and multi-dataset evaluation.</w:t>
      </w:r>
    </w:p>
    <w:p>
      <w:pPr>
        <w:spacing w:after="120" w:before="0"/>
      </w:pPr>
    </w:p>
    <w:p>
      <w:pPr>
        <w:pStyle w:val="Heading1"/>
        <w:pBdr>
          <w:bottom w:val="single" w:color="028090" w:sz="4" w:space="6"/>
        </w:pBdr>
        <w:spacing w:after="160" w:before="360"/>
      </w:pPr>
      <w:r>
        <w:rPr>
          <w:rFonts w:ascii="Calibri" w:cs="Calibri" w:eastAsia="Calibri" w:hAnsi="Calibri"/>
          <w:b/>
          <w:bCs/>
          <w:color w:val="0D1B2A"/>
          <w:sz w:val="32"/>
          <w:szCs w:val="32"/>
        </w:rPr>
        <w:t xml:space="preserve">9. References</w:t>
      </w:r>
    </w:p>
    <w:p>
      <w:pPr>
        <w:spacing w:after="100" w:before="60"/>
      </w:pPr>
      <w:r>
        <w:rPr>
          <w:rFonts w:ascii="Calibri" w:cs="Calibri" w:eastAsia="Calibri" w:hAnsi="Calibri"/>
          <w:color w:val="0D1B2A"/>
          <w:sz w:val="24"/>
          <w:szCs w:val="24"/>
        </w:rPr>
        <w:t xml:space="preserve">Baranchuk, D., Rubachev, I., Voynov, A., Khrulkov, V., &amp; Babenko, A. (2021). Label-Efficient Semantic Segmentation with Diffusion Models. arXiv:2112.03126.</w:t>
      </w:r>
    </w:p>
    <w:p>
      <w:pPr>
        <w:spacing w:after="100" w:before="60"/>
      </w:pPr>
      <w:r>
        <w:rPr>
          <w:rFonts w:ascii="Calibri" w:cs="Calibri" w:eastAsia="Calibri" w:hAnsi="Calibri"/>
          <w:color w:val="0D1B2A"/>
          <w:sz w:val="24"/>
          <w:szCs w:val="24"/>
        </w:rPr>
        <w:t xml:space="preserve">Chowdhury, M. E. H., Rahman, T., Khandakar, A., et al. (2020). Can AI help in screening viral and COVID-19 pneumonia? IEEE Access, 8, 132665-132676.</w:t>
      </w:r>
    </w:p>
    <w:p>
      <w:pPr>
        <w:spacing w:after="100" w:before="60"/>
      </w:pPr>
      <w:r>
        <w:rPr>
          <w:rFonts w:ascii="Calibri" w:cs="Calibri" w:eastAsia="Calibri" w:hAnsi="Calibri"/>
          <w:color w:val="0D1B2A"/>
          <w:sz w:val="24"/>
          <w:szCs w:val="24"/>
        </w:rPr>
        <w:t xml:space="preserve">Ho, J., Jain, A., &amp; Abbeel, P. (2020). Denoising Diffusion Probabilistic Models. NeurIPS 2020.</w:t>
      </w:r>
    </w:p>
    <w:p>
      <w:pPr>
        <w:spacing w:after="100" w:before="60"/>
      </w:pPr>
      <w:r>
        <w:rPr>
          <w:rFonts w:ascii="Calibri" w:cs="Calibri" w:eastAsia="Calibri" w:hAnsi="Calibri"/>
          <w:color w:val="0D1B2A"/>
          <w:sz w:val="24"/>
          <w:szCs w:val="24"/>
        </w:rPr>
        <w:t xml:space="preserve">Kwon, G., Je, M., &amp; Ye, J. C. (2023). Diffusion-based image translation using disentangled style and content representation. ICLR 2023.</w:t>
      </w:r>
    </w:p>
    <w:p>
      <w:pPr>
        <w:spacing w:after="100" w:before="60"/>
      </w:pPr>
      <w:r>
        <w:rPr>
          <w:rFonts w:ascii="Calibri" w:cs="Calibri" w:eastAsia="Calibri" w:hAnsi="Calibri"/>
          <w:color w:val="0D1B2A"/>
          <w:sz w:val="24"/>
          <w:szCs w:val="24"/>
        </w:rPr>
        <w:t xml:space="preserve">Oquab, M., Darcet, T., Moutakanni, T., et al. (2023). DINOv2: Learning Robust Visual Features without Supervision. TMLR 2024.</w:t>
      </w:r>
    </w:p>
    <w:p>
      <w:pPr>
        <w:spacing w:after="100" w:before="60"/>
      </w:pPr>
      <w:r>
        <w:rPr>
          <w:rFonts w:ascii="Calibri" w:cs="Calibri" w:eastAsia="Calibri" w:hAnsi="Calibri"/>
          <w:color w:val="0D1B2A"/>
          <w:sz w:val="24"/>
          <w:szCs w:val="24"/>
        </w:rPr>
        <w:t xml:space="preserve">Rahman, T., Khandakar, A., Qiblawey, Y., et al. (2021). Exploring the effect of image enhancement techniques on COVID-19 detection using chest X-ray images. Computers in Biology and Medicine, 132, 104319.</w:t>
      </w:r>
    </w:p>
    <w:p>
      <w:pPr>
        <w:spacing w:after="100" w:before="60"/>
      </w:pPr>
      <w:r>
        <w:rPr>
          <w:rFonts w:ascii="Calibri" w:cs="Calibri" w:eastAsia="Calibri" w:hAnsi="Calibri"/>
          <w:color w:val="0D1B2A"/>
          <w:sz w:val="24"/>
          <w:szCs w:val="24"/>
        </w:rPr>
        <w:t xml:space="preserve">Song, Y., Sohl-Dickstein, J., Kingma, D. P., Kumar, A., Ermon, S., &amp; Poole, B. (2021). Score-Based Generative Modeling through Stochastic Differential Equations. ICLR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4"/>
      </w:pBdr>
      <w:tabs>
        <w:tab w:val="right" w:pos="9026"/>
      </w:tabs>
    </w:pPr>
    <w:r>
      <w:rPr>
        <w:rFonts w:ascii="Calibri" w:cs="Calibri" w:eastAsia="Calibri" w:hAnsi="Calibri"/>
        <w:color w:val="64748B"/>
        <w:sz w:val="18"/>
        <w:szCs w:val="18"/>
      </w:rPr>
      <w:t xml:space="preserve">Confidential — Research Proposal   	</w:t>
    </w:r>
    <w:r>
      <w:rPr>
        <w:rFonts w:ascii="Calibri" w:cs="Calibri" w:eastAsia="Calibri" w:hAnsi="Calibri"/>
        <w:color w:val="02809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pPr>
    <w:r>
      <w:rPr>
        <w:rFonts w:ascii="Calibri" w:cs="Calibri" w:eastAsia="Calibri" w:hAnsi="Calibri"/>
        <w:color w:val="64748B"/>
        <w:sz w:val="18"/>
        <w:szCs w:val="18"/>
      </w:rPr>
      <w:t xml:space="preserve">MedFusion: DINOv3 + Diffusion U-Net for COVID-19 Radiograph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1B2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2026-04-11T22:20:01.827Z</dcterms:created>
  <dcterms:modified xsi:type="dcterms:W3CDTF">2026-04-11T22:20:01.828Z</dcterms:modified>
</cp:coreProperties>
</file>

<file path=docProps/custom.xml><?xml version="1.0" encoding="utf-8"?>
<Properties xmlns="http://schemas.openxmlformats.org/officeDocument/2006/custom-properties" xmlns:vt="http://schemas.openxmlformats.org/officeDocument/2006/docPropsVTypes"/>
</file>