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Abstract</w:t>
      </w:r>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(placeholder)</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Introduction</w:t>
      </w:r>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Modelovanie a predikcia 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 xml:space="preserve">je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Related Work</w:t>
      </w:r>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Doterajší výskum volatility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2EFC2A0B"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volatility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Mw7pjaW8gYW5kIENhaWFkbywgMjAyMjsgTWEgZXQgYWwuLCAyMDIyOyBNaXNocmEgZXQgYWwuLCAyMDI0OyBTb25nIGV0IGFsLiwgMjAyMikiLCJtYW51YWxPdmVycmlkZVRleHQiOiIifSwiY2l0YXRpb25JdGVtcyI6W3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I2MzA5ZTllZS0yNDk0LTM1ZGEtODkxMi0yOGY5OGNiN2NjYTAiLCJpdGVtRGF0YSI6eyJ0eXBlIjoiYXJ0aWNsZS1qb3VybmFsIiwiaWQiOiI2MzA5ZTllZS0yNDk0LTM1ZGEtODkxMi0yOGY5OGNiN2NjYTAiLCJ0aXRsZSI6IkNPVklELTE5IGFuZCBpbnN0YWJpbGl0eSBvZiBzdG9jayBtYXJrZXQgcGVyZm9ybWFuY2U6IGV2aWRlbmNlIGZyb20gdGhlIFUuUy4iLCJncm91cElkIjoiNmIwZjZjNGMtYWYxNS0zYzJmLWFlM2QtM2Q2NjUyYjhmZTI5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Y0ZjM3ZGE0LTQ1ZmEtMzFhNC04OTk5LTY4MjczODFmYjZiYyIsIml0ZW1EYXRhIjp7InR5cGUiOiJhcnRpY2xlLWpvdXJuYWwiLCJpZCI6IjY0ZjM3ZGE0LTQ1ZmEtMzFhNC04OTk5LTY4MjczODFmYjZiYyIsInRpdGxlIjoiQ09WSUQtMTkgSW1wYWN0IG9uIFN0b2NrIE1hcmtldHM6IEEgTXVsdGlzY2FsZSBFdmVudCBBbmFseXNpcyBQZXJzcGVjdGl2Z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961684268"/>
          <w:placeholder>
            <w:docPart w:val="DefaultPlaceholder_-1854013440"/>
          </w:placeholder>
        </w:sdtPr>
        <w:sdtContent>
          <w:r w:rsidR="00671C8E" w:rsidRPr="00671C8E">
            <w:rPr>
              <w:rFonts w:ascii="Times New Roman" w:eastAsia="Times New Roman" w:hAnsi="Times New Roman" w:cs="Times New Roman"/>
              <w:color w:val="000000"/>
              <w:sz w:val="24"/>
            </w:rPr>
            <w:t>(Caiado and Lúcio, 2023; Hong et al., 2021; Li et al., 2023; Lúcio and Caiado, 2022; Ma et al., 2022; Mishra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Content>
          <w:r w:rsidR="00671C8E" w:rsidRPr="00671C8E">
            <w:rPr>
              <w:rFonts w:ascii="Times New Roman" w:eastAsia="Times New Roman" w:hAnsi="Times New Roman" w:cs="Times New Roman"/>
              <w:color w:val="000000"/>
              <w:sz w:val="24"/>
            </w:rPr>
            <w:t>(Fei and Zhang, 2023; T. Yang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Times New Roman"/>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iwiY29udGFpbmVyLXRpdGxlLXNob3J0IjoiRXhwZXJ0IFN5c3QuIEFwcGwu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1375038964"/>
          <w:placeholder>
            <w:docPart w:val="DefaultPlaceholder_-1854013440"/>
          </w:placeholder>
        </w:sdtPr>
        <w:sdtContent>
          <w:r w:rsidR="00671C8E" w:rsidRPr="00671C8E">
            <w:rPr>
              <w:rFonts w:ascii="Calibri" w:eastAsia="Times New Roman" w:hAnsi="Calibri"/>
              <w:color w:val="000000"/>
            </w:rPr>
            <w:t>(Ge, 2025; Li et al., 2023; Zhang and Fang, 2021)</w:t>
          </w:r>
        </w:sdtContent>
      </w:sdt>
      <w:r w:rsidRPr="00871211">
        <w:rPr>
          <w:rFonts w:ascii="Times New Roman" w:hAnsi="Times New Roman" w:cs="Times New Roman"/>
          <w:sz w:val="24"/>
          <w:szCs w:val="24"/>
        </w:rPr>
        <w:t>. Je zrejmé, že tieto dva regióny sú nielen dlhodobo prepojené, ale ich väzba počas obdobia COVID-19 výrazne zosilnila. Zároveň sa tieto regióny počas obdobia COVID-19 navzájom ovplyvňujú, čo značí obojstranný „spillover“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671C8E" w:rsidRPr="00671C8E">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648248272"/>
          <w:placeholder>
            <w:docPart w:val="DefaultPlaceholder_-1854013440"/>
          </w:placeholder>
        </w:sdtPr>
        <w:sdtContent>
          <w:r w:rsidR="00671C8E" w:rsidRPr="00671C8E">
            <w:rPr>
              <w:rFonts w:ascii="Times New Roman" w:eastAsia="Times New Roman" w:hAnsi="Times New Roman" w:cs="Times New Roman"/>
              <w:color w:val="000000"/>
              <w:sz w:val="24"/>
            </w:rPr>
            <w:t>(Chaudhary et al., 2020; Rashmi and Priti, 2022; Umar et al., 2023; Zeng et al., 2024)</w:t>
          </w:r>
        </w:sdtContent>
      </w:sdt>
      <w:r w:rsidRPr="00871211">
        <w:rPr>
          <w:rFonts w:ascii="Times New Roman" w:hAnsi="Times New Roman" w:cs="Times New Roman"/>
          <w:sz w:val="24"/>
          <w:szCs w:val="24"/>
        </w:rPr>
        <w:t xml:space="preserve">. Pokiaľ ide o Európu, výskum sa zaoberá </w:t>
      </w:r>
      <w:r w:rsidRPr="00871211">
        <w:rPr>
          <w:rFonts w:ascii="Times New Roman" w:hAnsi="Times New Roman" w:cs="Times New Roman"/>
          <w:sz w:val="24"/>
          <w:szCs w:val="24"/>
        </w:rPr>
        <w:lastRenderedPageBreak/>
        <w:t xml:space="preserve">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hMTBiNmM3Yi1hNjk1LTNlNWMtYTVkNS0wYmYyNmQ0MTc4ZTMiLCJpdGVtRGF0YSI6eyJ0eXBlIjoiYXJ0aWNsZS1qb3VybmFsIiwiaWQiOiJhMTBiNmM3Yi1hNjk1LTNlNWMtYTVkNS0wYmYyNmQ0MTc4ZTMiLCJ0aXRsZSI6IkJheWVzaWFuIG5ldXJhbCBuZXR3b3JrcyBmb3Igc3RvY2sgcHJpY2UgZm9yZWNhc3RpbmcgYmVmb3JlIGFuZCBkdXJpbmcgQ09WSUQtMTkgcGFuZGVtaWMiLCJncm91cElkIjoiNmIwZjZjNGMtYWYxNS0zYzJmLWFlM2QtM2Q2NjUyYjhmZTI5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IsImNvbnRhaW5lci10aXRsZS1zaG9ydCI6IlBMb1MgT25l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NDcwZDhhNGEtMzJiNS0zYTdkLWEzYTItMTIwMzdmOTVhMTg4IiwiaXRlbURhdGEiOnsidHlwZSI6ImFydGljbGUtam91cm5hbCIsImlkIjoiNDcwZDhhNGEtMzJiNS0zYTdkLWEzYTItMTIwMzdmOTVhMTg4IiwidGl0bGUiOiJWb2xhdGlsaXR5IE1vZGVsaW5nOiBBbiBPdmVydmlldyBvZiBFcXVpdHkgTWFya2V0cyBpbiB0aGUgRXVybyBBcmVhIGR1cmluZyBDT1ZJRC0xOSBQYW5kZW1pYyIsImdyb3VwSWQiOiI2YjBmNmM0Yy1hZjE1LTNjMmYtYWUzZC0zZDY2NTJiOGZlMjk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1dfQ=="/>
          <w:id w:val="229273871"/>
          <w:placeholder>
            <w:docPart w:val="DefaultPlaceholder_-1854013440"/>
          </w:placeholder>
        </w:sdtPr>
        <w:sdtContent>
          <w:r w:rsidR="00671C8E" w:rsidRPr="00671C8E">
            <w:rPr>
              <w:rFonts w:ascii="Times New Roman" w:eastAsia="Times New Roman" w:hAnsi="Times New Roman" w:cs="Times New Roman"/>
              <w:color w:val="000000"/>
              <w:sz w:val="24"/>
            </w:rPr>
            <w:t>(Aslam et al., 2021; Chandra and He, 2021; Chaudhary et al., 2020; Duttilo et al., 2021; Rashmi and Priti, 2022; Zeng et al., 2024)</w:t>
          </w:r>
        </w:sdtContent>
      </w:sdt>
      <w:r w:rsidRPr="00871211">
        <w:rPr>
          <w:rFonts w:ascii="Times New Roman" w:hAnsi="Times New Roman" w:cs="Times New Roman"/>
          <w:sz w:val="24"/>
          <w:szCs w:val="24"/>
        </w:rPr>
        <w:t>, pričom je zrejmé, že Európske trhy nie sú natoľko prepojené, aby nastal výrazný „spillover“ efekt. Európske trhy reagovali primárne na prvú vlnu COVID-19, pričom druhá vlna nespôsobila výrazné zvýšenie volatility.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
          <w:id w:val="-1210266107"/>
          <w:placeholder>
            <w:docPart w:val="DefaultPlaceholder_-1854013440"/>
          </w:placeholder>
        </w:sdtPr>
        <w:sdtContent>
          <w:r w:rsidR="00671C8E" w:rsidRPr="00671C8E">
            <w:rPr>
              <w:rFonts w:ascii="Times New Roman" w:hAnsi="Times New Roman" w:cs="Times New Roman"/>
              <w:color w:val="000000"/>
              <w:sz w:val="24"/>
              <w:szCs w:val="24"/>
            </w:rPr>
            <w:t>(Duttilo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TWlzaHJhIGV0IGFsLiwgMjAyND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671C8E" w:rsidRPr="00671C8E">
            <w:rPr>
              <w:rFonts w:ascii="Times New Roman" w:eastAsia="Times New Roman" w:hAnsi="Times New Roman" w:cs="Times New Roman"/>
              <w:color w:val="000000"/>
              <w:sz w:val="24"/>
            </w:rPr>
            <w:t>(Bouteska et al., 2023; Deev and Plíhal, 2022; Mishra et al., 2024; Zeng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671C8E" w:rsidRPr="00671C8E">
            <w:rPr>
              <w:rFonts w:ascii="Times New Roman" w:hAnsi="Times New Roman" w:cs="Times New Roman"/>
              <w:color w:val="000000"/>
              <w:sz w:val="24"/>
              <w:szCs w:val="24"/>
            </w:rPr>
            <w:t>(Sanz-Martín et al., 2025)</w:t>
          </w:r>
        </w:sdtContent>
      </w:sdt>
      <w:r w:rsidR="00626137" w:rsidRPr="00871211">
        <w:rPr>
          <w:rFonts w:ascii="Times New Roman" w:hAnsi="Times New Roman" w:cs="Times New Roman"/>
          <w:sz w:val="24"/>
          <w:szCs w:val="24"/>
        </w:rPr>
        <w:t>.</w:t>
      </w:r>
    </w:p>
    <w:p w14:paraId="18E5C9B5" w14:textId="47914F87"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volatility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671C8E" w:rsidRPr="00671C8E">
            <w:rPr>
              <w:rFonts w:ascii="Times New Roman" w:hAnsi="Times New Roman" w:cs="Times New Roman"/>
              <w:color w:val="000000"/>
              <w:sz w:val="24"/>
              <w:szCs w:val="24"/>
            </w:rPr>
            <w:t>(Szczygielski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r w:rsidR="00165919" w:rsidRPr="00871211">
        <w:rPr>
          <w:rFonts w:ascii="Times New Roman" w:hAnsi="Times New Roman" w:cs="Times New Roman"/>
          <w:color w:val="000000"/>
          <w:sz w:val="24"/>
          <w:szCs w:val="24"/>
        </w:rPr>
        <w:t>volatilitu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volatilitu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671C8E" w:rsidRPr="00671C8E">
            <w:rPr>
              <w:rFonts w:ascii="Times New Roman" w:hAnsi="Times New Roman" w:cs="Times New Roman"/>
              <w:color w:val="000000"/>
              <w:sz w:val="24"/>
              <w:szCs w:val="24"/>
            </w:rPr>
            <w:t>(Gheorghe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volatilit</w:t>
      </w:r>
      <w:r w:rsidR="00006EDE" w:rsidRPr="00871211">
        <w:rPr>
          <w:rFonts w:ascii="Times New Roman" w:hAnsi="Times New Roman" w:cs="Times New Roman"/>
          <w:sz w:val="24"/>
          <w:szCs w:val="24"/>
        </w:rPr>
        <w:t>e</w:t>
      </w:r>
      <w:r w:rsidR="00CC2DA5" w:rsidRPr="00871211">
        <w:rPr>
          <w:rFonts w:ascii="Times New Roman" w:hAnsi="Times New Roman" w:cs="Times New Roman"/>
          <w:sz w:val="24"/>
          <w:szCs w:val="24"/>
        </w:rPr>
        <w:t xml:space="preserve"> trhov. Výskum naznačuje, že vyššia denná miera očkovania výrazne znižuje volatilitu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671C8E" w:rsidRPr="00671C8E">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mediálny tlak spôsobovali zvyšovanie volatility</w:t>
      </w:r>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671C8E" w:rsidRPr="00671C8E">
            <w:rPr>
              <w:rFonts w:ascii="Times New Roman" w:hAnsi="Times New Roman" w:cs="Times New Roman"/>
              <w:color w:val="000000"/>
              <w:sz w:val="24"/>
              <w:szCs w:val="24"/>
            </w:rPr>
            <w:t>(Bouteska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volatilitu trhov. Napríklad v USA vyhlásenia spôsobili dočasný pokles volatility,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volatilitou</w:t>
      </w:r>
      <w:r w:rsidR="00781BCD" w:rsidRPr="00871211">
        <w:rPr>
          <w:rFonts w:ascii="Times New Roman" w:hAnsi="Times New Roman" w:cs="Times New Roman"/>
          <w:sz w:val="24"/>
          <w:szCs w:val="24"/>
        </w:rPr>
        <w:t xml:space="preserve"> </w:t>
      </w:r>
      <w:sdt>
        <w:sdtPr>
          <w:rPr>
            <w:rFonts w:ascii="Calibri" w:hAnsi="Calibri" w:cs="Times New Roman"/>
            <w:color w:val="000000"/>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Content>
          <w:r w:rsidR="00671C8E" w:rsidRPr="00671C8E">
            <w:rPr>
              <w:rFonts w:ascii="Calibri" w:eastAsia="Times New Roman" w:hAnsi="Calibri"/>
              <w:color w:val="000000"/>
            </w:rPr>
            <w:t>(Deev and Plíhal,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volatility</w:t>
      </w:r>
      <w:r w:rsidR="0052715F" w:rsidRPr="00871211">
        <w:rPr>
          <w:rFonts w:ascii="Times New Roman" w:hAnsi="Times New Roman" w:cs="Times New Roman"/>
          <w:color w:val="000000"/>
          <w:sz w:val="24"/>
          <w:szCs w:val="24"/>
        </w:rPr>
        <w:t xml:space="preserve">, čo znamená, že negatívne šoky zvyšujú volatilitu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V19"/>
          <w:id w:val="790016021"/>
          <w:placeholder>
            <w:docPart w:val="DefaultPlaceholder_-1854013440"/>
          </w:placeholder>
        </w:sdtPr>
        <w:sdtContent>
          <w:r w:rsidR="00671C8E" w:rsidRPr="00671C8E">
            <w:rPr>
              <w:rFonts w:ascii="Times New Roman" w:eastAsia="Times New Roman" w:hAnsi="Times New Roman" w:cs="Times New Roman"/>
              <w:color w:val="000000"/>
              <w:sz w:val="24"/>
            </w:rPr>
            <w:t>(Baek et al., 2020; Caiado and Lúcio, 2023; Covid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volatility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w:t>
      </w:r>
      <w:r w:rsidR="00455EF7" w:rsidRPr="00871211">
        <w:rPr>
          <w:rFonts w:ascii="Times New Roman" w:hAnsi="Times New Roman" w:cs="Times New Roman"/>
          <w:color w:val="000000"/>
          <w:sz w:val="24"/>
          <w:szCs w:val="24"/>
        </w:rPr>
        <w:lastRenderedPageBreak/>
        <w:t>z presunu spotrebiteľov do online prostredia</w:t>
      </w:r>
      <w:r w:rsidR="00CC3F7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WUwYjVkNTYtNDhiNC00YmEzLTgxYTQtYjRkOTQxNTU4YjYxIiwicHJvcGVydGllcyI6eyJub3RlSW5kZXgiOjB9LCJpc0VkaXRlZCI6ZmFsc2UsIm1hbnVhbE92ZXJyaWRlIjp7ImlzTWFudWFsbHlPdmVycmlkZGVuIjpmYWxzZSwiY2l0ZXByb2NUZXh0IjoiKEzDumNpbyBhbmQgQ2FpYWRvLCAyMDIyKSIsIm1hbnVhbE92ZXJyaWRlVGV4dCI6IiJ9LCJjaXRhdGlvbkl0ZW1zIjpb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V19"/>
          <w:id w:val="-1321502834"/>
          <w:placeholder>
            <w:docPart w:val="DefaultPlaceholder_-1854013440"/>
          </w:placeholder>
        </w:sdtPr>
        <w:sdtContent>
          <w:r w:rsidR="00671C8E" w:rsidRPr="00671C8E">
            <w:rPr>
              <w:rFonts w:ascii="Times New Roman" w:eastAsia="Times New Roman" w:hAnsi="Times New Roman" w:cs="Times New Roman"/>
              <w:color w:val="000000"/>
              <w:sz w:val="24"/>
            </w:rPr>
            <w:t>(Lúcio and Caiado, 2022)</w:t>
          </w:r>
        </w:sdtContent>
      </w:sdt>
      <w:r w:rsidR="00455EF7" w:rsidRPr="00871211">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
          <w:id w:val="443046899"/>
          <w:placeholder>
            <w:docPart w:val="DefaultPlaceholder_-1854013440"/>
          </w:placeholder>
        </w:sdtPr>
        <w:sdtContent>
          <w:r w:rsidR="00671C8E" w:rsidRPr="00671C8E">
            <w:rPr>
              <w:rFonts w:ascii="Times New Roman" w:eastAsia="Times New Roman" w:hAnsi="Times New Roman" w:cs="Times New Roman"/>
              <w:color w:val="000000"/>
              <w:sz w:val="24"/>
            </w:rPr>
            <w:t>(Rashmi and Priti, 2022)</w:t>
          </w:r>
        </w:sdtContent>
      </w:sdt>
      <w:r w:rsidR="00CC3F75" w:rsidRPr="00871211">
        <w:rPr>
          <w:rFonts w:ascii="Times New Roman" w:hAnsi="Times New Roman" w:cs="Times New Roman"/>
          <w:color w:val="000000"/>
          <w:sz w:val="24"/>
          <w:szCs w:val="24"/>
        </w:rPr>
        <w:t xml:space="preserve">. </w:t>
      </w:r>
    </w:p>
    <w:p w14:paraId="02EC4DA9" w14:textId="7690EA49"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volatility s použitím nielen základných ekonometrických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r w:rsidRPr="00871211">
        <w:rPr>
          <w:rFonts w:ascii="Times New Roman" w:hAnsi="Times New Roman" w:cs="Times New Roman"/>
          <w:color w:val="000000"/>
          <w:sz w:val="24"/>
          <w:szCs w:val="24"/>
        </w:rPr>
        <w:t>ekonometrické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ekonometrických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r w:rsidR="0097554A" w:rsidRPr="00871211">
        <w:rPr>
          <w:rFonts w:ascii="Times New Roman" w:hAnsi="Times New Roman" w:cs="Times New Roman"/>
          <w:i/>
          <w:iCs/>
          <w:color w:val="000000"/>
          <w:sz w:val="24"/>
          <w:szCs w:val="24"/>
        </w:rPr>
        <w:t>Generalized AutoRegressive Conditional Heteroskedasticity</w:t>
      </w:r>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volatility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261986401"/>
          <w:placeholder>
            <w:docPart w:val="DefaultPlaceholder_-1854013440"/>
          </w:placeholder>
        </w:sdtPr>
        <w:sdtContent>
          <w:r w:rsidR="00671C8E" w:rsidRPr="00671C8E">
            <w:rPr>
              <w:rFonts w:ascii="Times New Roman" w:hAnsi="Times New Roman" w:cs="Times New Roman"/>
              <w:color w:val="000000"/>
              <w:sz w:val="24"/>
              <w:szCs w:val="24"/>
            </w:rPr>
            <w:t>(Kristjanpoller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r w:rsidR="002550F0" w:rsidRPr="00871211">
        <w:rPr>
          <w:rFonts w:ascii="Times New Roman" w:hAnsi="Times New Roman" w:cs="Times New Roman"/>
          <w:i/>
          <w:iCs/>
          <w:color w:val="000000"/>
          <w:sz w:val="24"/>
          <w:szCs w:val="24"/>
        </w:rPr>
        <w:t>Transformer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ekonometrickým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Mw7pjaW8gYW5kIENhaWFkbywgMjAyMjsgTWVsaW5hIGV0IGFsLiwgMjAyMzsgTWlzaHJhIGV0IGFsLiwgMjAyNDsgWmhhbmcgZXQgYWwuLCAyMDIyKSIsIm1hbnVhbE92ZXJyaWRlVGV4dCI6IiJ9LCJjaXRhdGlvbkl0ZW1zIjpb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LCJjb250YWluZXItdGl0bGUtc2hvcnQiOiIifSwiaXNUZW1wb3JhcnkiOmZhbHNlfSx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LH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174805093"/>
          <w:placeholder>
            <w:docPart w:val="DefaultPlaceholder_-1854013440"/>
          </w:placeholder>
        </w:sdtPr>
        <w:sdtContent>
          <w:r w:rsidR="00671C8E" w:rsidRPr="00671C8E">
            <w:rPr>
              <w:rFonts w:ascii="Times New Roman" w:eastAsia="Times New Roman" w:hAnsi="Times New Roman" w:cs="Times New Roman"/>
              <w:color w:val="000000"/>
              <w:sz w:val="24"/>
            </w:rPr>
            <w:t>(Caiado and Lúcio, 2023; Kayani et al., 2024; Lúcio and Caiado, 2022; Melina et al., 2023; Mishra et al., 2024; Zhang et al., 2022)</w:t>
          </w:r>
        </w:sdtContent>
      </w:sdt>
      <w:r w:rsidR="002550F0" w:rsidRPr="00871211">
        <w:rPr>
          <w:rFonts w:ascii="Times New Roman" w:hAnsi="Times New Roman" w:cs="Times New Roman"/>
          <w:color w:val="000000"/>
          <w:sz w:val="24"/>
          <w:szCs w:val="24"/>
        </w:rPr>
        <w:t>, čo značí, že moderné metódy umelej inteligencie sú vhodným nástrojom pre modelovanie volatility akciových trhov.</w:t>
      </w:r>
      <w:r w:rsidR="004A0FF1" w:rsidRPr="00871211">
        <w:rPr>
          <w:rFonts w:ascii="Times New Roman" w:hAnsi="Times New Roman" w:cs="Times New Roman"/>
          <w:color w:val="000000"/>
          <w:sz w:val="24"/>
          <w:szCs w:val="24"/>
        </w:rPr>
        <w:t xml:space="preserve"> </w:t>
      </w:r>
    </w:p>
    <w:p w14:paraId="2981F624" w14:textId="5917D408"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volatility,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r w:rsidRPr="00871211">
        <w:rPr>
          <w:rFonts w:ascii="Times New Roman" w:hAnsi="Times New Roman" w:cs="Times New Roman"/>
          <w:i/>
          <w:iCs/>
          <w:color w:val="000000"/>
          <w:sz w:val="24"/>
          <w:szCs w:val="24"/>
        </w:rPr>
        <w:t>Long-Short Term Memory</w:t>
      </w:r>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volatility</w:t>
      </w:r>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838040181"/>
          <w:placeholder>
            <w:docPart w:val="DefaultPlaceholder_-1854013440"/>
          </w:placeholder>
        </w:sdtPr>
        <w:sdtContent>
          <w:r w:rsidR="00671C8E" w:rsidRPr="00671C8E">
            <w:rPr>
              <w:rFonts w:ascii="Times New Roman" w:hAnsi="Times New Roman" w:cs="Times New Roman"/>
              <w:color w:val="000000"/>
              <w:sz w:val="24"/>
              <w:szCs w:val="24"/>
            </w:rPr>
            <w:t>(Ge, 2025; Mishra et al., 2024; Mora-Valencia et al., 2023; Sodnomdavaa, 2026; Yang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
          <w:id w:val="-54402247"/>
          <w:placeholder>
            <w:docPart w:val="DefaultPlaceholder_-1854013440"/>
          </w:placeholder>
        </w:sdtPr>
        <w:sdtContent>
          <w:r w:rsidR="00671C8E" w:rsidRPr="00671C8E">
            <w:rPr>
              <w:rFonts w:ascii="Times New Roman" w:eastAsia="Times New Roman" w:hAnsi="Times New Roman" w:cs="Times New Roman"/>
              <w:color w:val="000000"/>
              <w:sz w:val="24"/>
            </w:rPr>
            <w:t>(Vancsura and Bareith,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671C8E" w:rsidRPr="00671C8E">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o sentimentom získaným zo zdrojov ako Twitter alebo Facebook, dosahuje výrazne lepšiu predikciu volatility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6BCCDDCD"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r w:rsidRPr="00871211">
        <w:rPr>
          <w:rFonts w:ascii="Times New Roman" w:hAnsi="Times New Roman" w:cs="Times New Roman"/>
          <w:i/>
          <w:iCs/>
          <w:color w:val="000000"/>
          <w:sz w:val="24"/>
          <w:szCs w:val="24"/>
        </w:rPr>
        <w:t>SHapley Additive exPlanations</w:t>
      </w:r>
      <w:r w:rsidRPr="00871211">
        <w:rPr>
          <w:rFonts w:ascii="Times New Roman" w:hAnsi="Times New Roman" w:cs="Times New Roman"/>
          <w:color w:val="000000"/>
          <w:sz w:val="24"/>
          <w:szCs w:val="24"/>
        </w:rPr>
        <w:t>), dokážu tento problém mitigovať</w:t>
      </w:r>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Content>
          <w:r w:rsidR="00671C8E" w:rsidRPr="00671C8E">
            <w:rPr>
              <w:rFonts w:ascii="Times New Roman" w:hAnsi="Times New Roman" w:cs="Times New Roman"/>
              <w:color w:val="000000"/>
              <w:sz w:val="24"/>
              <w:szCs w:val="24"/>
            </w:rPr>
            <w:t>(C. Yang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1279324235"/>
          <w:placeholder>
            <w:docPart w:val="DefaultPlaceholder_-1854013440"/>
          </w:placeholder>
        </w:sdtPr>
        <w:sdtContent>
          <w:r w:rsidR="00671C8E" w:rsidRPr="00671C8E">
            <w:rPr>
              <w:rFonts w:ascii="Times New Roman" w:hAnsi="Times New Roman" w:cs="Times New Roman"/>
              <w:color w:val="000000"/>
              <w:sz w:val="24"/>
              <w:szCs w:val="24"/>
            </w:rPr>
            <w:t>(Sodnomdavaa, 2026)</w:t>
          </w:r>
        </w:sdtContent>
      </w:sdt>
      <w:r w:rsidR="00256B18">
        <w:rPr>
          <w:rFonts w:ascii="Times New Roman" w:hAnsi="Times New Roman" w:cs="Times New Roman"/>
          <w:color w:val="000000"/>
          <w:sz w:val="24"/>
          <w:szCs w:val="24"/>
        </w:rPr>
        <w:t xml:space="preserve"> použili SHAP na ide</w:t>
      </w:r>
      <w:r w:rsidR="00C1356F" w:rsidRPr="00871211">
        <w:rPr>
          <w:rFonts w:ascii="Times New Roman" w:hAnsi="Times New Roman" w:cs="Times New Roman"/>
          <w:color w:val="000000"/>
          <w:sz w:val="24"/>
          <w:szCs w:val="24"/>
        </w:rPr>
        <w:t xml:space="preserve">ntifikáciu najdôležitejších premenných pre predikciu, čo im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volatilita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r w:rsidR="009C3274" w:rsidRPr="00871211">
        <w:rPr>
          <w:rFonts w:ascii="Times New Roman" w:hAnsi="Times New Roman" w:cs="Times New Roman"/>
          <w:sz w:val="24"/>
          <w:szCs w:val="24"/>
        </w:rPr>
        <w:lastRenderedPageBreak/>
        <w:t>fragmentovaný,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ktoré modely dosahujú univerzálne najlepšie výsledky modelovania volatility počas období so zvýšeným rizikom.</w:t>
      </w:r>
      <w:r w:rsidR="00705757" w:rsidRPr="00871211">
        <w:rPr>
          <w:rFonts w:ascii="Times New Roman" w:hAnsi="Times New Roman" w:cs="Times New Roman"/>
          <w:sz w:val="24"/>
          <w:szCs w:val="24"/>
        </w:rPr>
        <w:t xml:space="preserve"> Limitujúcim faktorom naďalej zostáva kvalita prediktorov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Aim &amp; Methods</w:t>
      </w:r>
    </w:p>
    <w:p w14:paraId="76A1484E" w14:textId="7CDA3DED" w:rsidR="00626137" w:rsidRPr="00871211" w:rsidRDefault="007222BC" w:rsidP="00585B71">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volatilita, akciové trhy, COVID-19, ekonometrické modely a metódy umelej inteligencie. Na tento účel sme zhromaždili dostupnú literatúru z databázy </w:t>
      </w:r>
      <w:r w:rsidRPr="00871211">
        <w:rPr>
          <w:rFonts w:ascii="Times New Roman" w:hAnsi="Times New Roman" w:cs="Times New Roman"/>
          <w:i/>
          <w:iCs/>
          <w:sz w:val="24"/>
          <w:szCs w:val="24"/>
        </w:rPr>
        <w:t>Web of Science</w:t>
      </w:r>
      <w:r w:rsidRPr="00871211">
        <w:rPr>
          <w:rFonts w:ascii="Times New Roman" w:hAnsi="Times New Roman" w:cs="Times New Roman"/>
          <w:sz w:val="24"/>
          <w:szCs w:val="24"/>
        </w:rPr>
        <w:t xml:space="preserve"> (WoS),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volatilita, COVID-19, ekonometrické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r w:rsidRPr="00871211">
        <w:rPr>
          <w:rFonts w:ascii="Times New Roman" w:hAnsi="Times New Roman" w:cs="Times New Roman"/>
          <w:i/>
          <w:iCs/>
          <w:sz w:val="24"/>
          <w:szCs w:val="24"/>
        </w:rPr>
        <w:t>VOSviewer</w:t>
      </w:r>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r w:rsidRPr="00871211">
        <w:rPr>
          <w:rFonts w:ascii="Times New Roman" w:hAnsi="Times New Roman" w:cs="Times New Roman"/>
          <w:sz w:val="24"/>
          <w:szCs w:val="24"/>
        </w:rPr>
        <w:t>kryptomeny</w:t>
      </w:r>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r w:rsidRPr="00871211">
        <w:rPr>
          <w:rFonts w:ascii="Times New Roman" w:hAnsi="Times New Roman" w:cs="Times New Roman"/>
          <w:i/>
          <w:iCs/>
          <w:sz w:val="24"/>
          <w:szCs w:val="24"/>
        </w:rPr>
        <w:t>VOSviewer</w:t>
      </w:r>
      <w:r w:rsidRPr="00871211">
        <w:rPr>
          <w:rFonts w:ascii="Times New Roman" w:hAnsi="Times New Roman" w:cs="Times New Roman"/>
          <w:sz w:val="24"/>
          <w:szCs w:val="24"/>
        </w:rPr>
        <w:t xml:space="preserve"> je zrejmé, že sme dostatočne zachytili výskumnú problematiku (</w:t>
      </w:r>
      <w:r w:rsidR="00766BA0">
        <w:rPr>
          <w:rFonts w:ascii="Times New Roman" w:hAnsi="Times New Roman" w:cs="Times New Roman"/>
          <w:i/>
          <w:iCs/>
          <w:sz w:val="24"/>
          <w:szCs w:val="24"/>
        </w:rPr>
        <w:t>Figure</w:t>
      </w:r>
      <w:r w:rsidRPr="00871211">
        <w:rPr>
          <w:rFonts w:ascii="Times New Roman" w:hAnsi="Times New Roman" w:cs="Times New Roman"/>
          <w:i/>
          <w:iCs/>
          <w:sz w:val="24"/>
          <w:szCs w:val="24"/>
        </w:rPr>
        <w:t xml:space="preserve">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r w:rsidRPr="00766BA0">
        <w:rPr>
          <w:rFonts w:ascii="Times New Roman" w:hAnsi="Times New Roman" w:cs="Times New Roman"/>
          <w:b/>
          <w:bCs/>
          <w:i w:val="0"/>
          <w:iCs w:val="0"/>
          <w:color w:val="000000" w:themeColor="text1"/>
          <w:sz w:val="20"/>
          <w:szCs w:val="20"/>
        </w:rPr>
        <w:t>Fig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VOSviewer.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1B19666C"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r w:rsidR="00766BA0">
        <w:rPr>
          <w:rFonts w:ascii="Times New Roman" w:hAnsi="Times New Roman" w:cs="Times New Roman"/>
          <w:i/>
          <w:iCs/>
          <w:sz w:val="24"/>
          <w:szCs w:val="24"/>
        </w:rPr>
        <w:t>Figure</w:t>
      </w:r>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671C8E" w:rsidRPr="00671C8E">
            <w:rPr>
              <w:rFonts w:ascii="Times New Roman" w:hAnsi="Times New Roman" w:cs="Times New Roman"/>
              <w:color w:val="000000"/>
              <w:sz w:val="24"/>
              <w:szCs w:val="24"/>
            </w:rPr>
            <w:t>(Page et al., 2021; Rethlefsen et al., 2021; Sohrabi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r w:rsidRPr="00766BA0">
        <w:rPr>
          <w:rFonts w:ascii="Times New Roman" w:hAnsi="Times New Roman" w:cs="Times New Roman"/>
          <w:b/>
          <w:bCs/>
          <w:i w:val="0"/>
          <w:iCs w:val="0"/>
          <w:color w:val="000000" w:themeColor="text1"/>
          <w:sz w:val="20"/>
          <w:szCs w:val="20"/>
        </w:rPr>
        <w:t>Fig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me na volatilitu</w:t>
      </w:r>
      <w:r w:rsidRPr="00871211">
        <w:rPr>
          <w:rFonts w:ascii="Times New Roman" w:hAnsi="Times New Roman" w:cs="Times New Roman"/>
          <w:sz w:val="24"/>
          <w:szCs w:val="24"/>
        </w:rPr>
        <w:t xml:space="preserve"> a faktory, ktoré ovplyvňujú volatilitu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obsiahnutosti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Research </w:t>
      </w:r>
      <w:r w:rsidR="005E50F4" w:rsidRPr="00871211">
        <w:rPr>
          <w:rFonts w:ascii="Times New Roman" w:hAnsi="Times New Roman" w:cs="Times New Roman"/>
          <w:b/>
          <w:bCs/>
          <w:color w:val="000000" w:themeColor="text1"/>
        </w:rPr>
        <w:t>Problem</w:t>
      </w:r>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t>Analytical Propositions</w:t>
      </w:r>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613ADDE5"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Dlhodobá analýza správania trhov po pandémií COVID-19 je neprebádaná.</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22D4638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 xml:space="preserve">pre modelovanie volatility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t>ekonometrické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EE3CD61" w:rsidR="009416B8" w:rsidRPr="00871211" w:rsidRDefault="003B1904"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 xml:space="preserve">4. </w:t>
      </w:r>
      <w:r w:rsidR="009416B8" w:rsidRPr="00871211">
        <w:rPr>
          <w:rFonts w:ascii="Times New Roman" w:hAnsi="Times New Roman" w:cs="Times New Roman"/>
          <w:b/>
          <w:bCs/>
          <w:color w:val="auto"/>
        </w:rPr>
        <w:t>Literature Review</w:t>
      </w:r>
    </w:p>
    <w:p w14:paraId="648E033D" w14:textId="77777777"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ekonometrické, tak aj metódy umelej inteligencie pre modelovanie </w:t>
      </w:r>
      <w:r w:rsidR="00AD1C97" w:rsidRPr="00871211">
        <w:rPr>
          <w:rFonts w:ascii="Times New Roman" w:hAnsi="Times New Roman" w:cs="Times New Roman"/>
          <w:sz w:val="24"/>
          <w:szCs w:val="24"/>
        </w:rPr>
        <w:t xml:space="preserve">a predikciu </w:t>
      </w:r>
      <w:r w:rsidRPr="00871211">
        <w:rPr>
          <w:rFonts w:ascii="Times New Roman" w:hAnsi="Times New Roman" w:cs="Times New Roman"/>
          <w:sz w:val="24"/>
          <w:szCs w:val="24"/>
        </w:rPr>
        <w:t>volatility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volatilitu globálnych trhov, ako aj spillover efektami medzi nimi.</w:t>
      </w:r>
      <w:r w:rsidRPr="00871211">
        <w:rPr>
          <w:rFonts w:ascii="Times New Roman" w:hAnsi="Times New Roman" w:cs="Times New Roman"/>
          <w:sz w:val="24"/>
          <w:szCs w:val="24"/>
        </w:rPr>
        <w:t xml:space="preserve"> </w:t>
      </w:r>
    </w:p>
    <w:p w14:paraId="0D396713" w14:textId="155C00C1" w:rsidR="008F0358" w:rsidRPr="000C0763" w:rsidRDefault="00887429" w:rsidP="00871211">
      <w:pPr>
        <w:spacing w:line="360" w:lineRule="auto"/>
        <w:jc w:val="both"/>
        <w:rPr>
          <w:rFonts w:ascii="Times New Roman" w:hAnsi="Times New Roman" w:cs="Times New Roman"/>
          <w:i/>
          <w:iCs/>
          <w:sz w:val="24"/>
          <w:szCs w:val="24"/>
        </w:rPr>
      </w:pPr>
      <w:r w:rsidRPr="000C0763">
        <w:rPr>
          <w:rFonts w:ascii="Times New Roman" w:hAnsi="Times New Roman" w:cs="Times New Roman"/>
          <w:i/>
          <w:iCs/>
          <w:sz w:val="24"/>
          <w:szCs w:val="24"/>
        </w:rPr>
        <w:t xml:space="preserve">Medzi </w:t>
      </w:r>
      <w:r w:rsidR="00DF78FA" w:rsidRPr="000C0763">
        <w:rPr>
          <w:rFonts w:ascii="Times New Roman" w:hAnsi="Times New Roman" w:cs="Times New Roman"/>
          <w:i/>
          <w:iCs/>
          <w:sz w:val="24"/>
          <w:szCs w:val="24"/>
        </w:rPr>
        <w:t>štandardné</w:t>
      </w:r>
      <w:r w:rsidRPr="000C0763">
        <w:rPr>
          <w:rFonts w:ascii="Times New Roman" w:hAnsi="Times New Roman" w:cs="Times New Roman"/>
          <w:i/>
          <w:iCs/>
          <w:sz w:val="24"/>
          <w:szCs w:val="24"/>
        </w:rPr>
        <w:t xml:space="preserve"> ekonometrické metódy patria model</w:t>
      </w:r>
      <w:r w:rsidR="00DF78FA" w:rsidRPr="000C0763">
        <w:rPr>
          <w:rFonts w:ascii="Times New Roman" w:hAnsi="Times New Roman" w:cs="Times New Roman"/>
          <w:i/>
          <w:iCs/>
          <w:sz w:val="24"/>
          <w:szCs w:val="24"/>
        </w:rPr>
        <w:t>y ako</w:t>
      </w:r>
      <w:r w:rsidRPr="000C0763">
        <w:rPr>
          <w:rFonts w:ascii="Times New Roman" w:hAnsi="Times New Roman" w:cs="Times New Roman"/>
          <w:i/>
          <w:iCs/>
          <w:sz w:val="24"/>
          <w:szCs w:val="24"/>
        </w:rPr>
        <w:t xml:space="preserve"> GARCH a jeho rozšírenia, </w:t>
      </w:r>
      <w:r w:rsidR="00AD1C97" w:rsidRPr="000C0763">
        <w:rPr>
          <w:rFonts w:ascii="Times New Roman" w:hAnsi="Times New Roman" w:cs="Times New Roman"/>
          <w:i/>
          <w:iCs/>
          <w:sz w:val="24"/>
          <w:szCs w:val="24"/>
        </w:rPr>
        <w:t>HAR</w:t>
      </w:r>
      <w:r w:rsidR="00FF18DF" w:rsidRPr="000C0763">
        <w:rPr>
          <w:rFonts w:ascii="Times New Roman" w:hAnsi="Times New Roman" w:cs="Times New Roman"/>
          <w:i/>
          <w:iCs/>
          <w:sz w:val="24"/>
          <w:szCs w:val="24"/>
        </w:rPr>
        <w:t>,</w:t>
      </w:r>
      <w:r w:rsidR="00070E55" w:rsidRPr="000C0763">
        <w:rPr>
          <w:rFonts w:ascii="Times New Roman" w:hAnsi="Times New Roman" w:cs="Times New Roman"/>
          <w:i/>
          <w:iCs/>
          <w:sz w:val="24"/>
          <w:szCs w:val="24"/>
        </w:rPr>
        <w:t> VAR, a ďalšie.</w:t>
      </w:r>
      <w:r w:rsidR="008F0358" w:rsidRPr="000C0763">
        <w:rPr>
          <w:i/>
          <w:iCs/>
        </w:rPr>
        <w:tab/>
      </w:r>
    </w:p>
    <w:p w14:paraId="187A742B" w14:textId="77777777" w:rsidR="008F0358" w:rsidRPr="00871211"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Indikátory pandémie a ich vplyv na volatilitu trhov</w:t>
      </w:r>
    </w:p>
    <w:p w14:paraId="1194C27B" w14:textId="1FCEAFAB"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671C8E" w:rsidRPr="00671C8E">
            <w:rPr>
              <w:rFonts w:ascii="Times New Roman" w:hAnsi="Times New Roman" w:cs="Times New Roman"/>
              <w:color w:val="000000"/>
              <w:sz w:val="24"/>
              <w:szCs w:val="24"/>
            </w:rPr>
            <w:t>(Kristjanpoller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r w:rsidR="00870D34" w:rsidRPr="00870D34">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volatilitu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r w:rsidR="00870D34" w:rsidRPr="00870D34">
        <w:rPr>
          <w:rFonts w:ascii="Times New Roman" w:hAnsi="Times New Roman" w:cs="Times New Roman"/>
          <w:i/>
          <w:iCs/>
          <w:color w:val="000000"/>
          <w:sz w:val="24"/>
          <w:szCs w:val="24"/>
        </w:rPr>
        <w:t>Rt</w:t>
      </w:r>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r w:rsidR="00870D34" w:rsidRPr="00CF6A2A">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na dynamiku volatility trhov, pričom predpokladajú pozitívny vzťah (s rastúcou volatilitou </w:t>
      </w:r>
      <w:r w:rsidR="00870D34" w:rsidRPr="00870D34">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rastie volatilita výnosov). Na modelovanie použili niekoľko modelov z rodiny GARCH v rôznych konfiguráciach,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r w:rsidR="00870D34" w:rsidRPr="00CF6A2A">
        <w:rPr>
          <w:rFonts w:ascii="Times New Roman" w:hAnsi="Times New Roman" w:cs="Times New Roman"/>
          <w:i/>
          <w:iCs/>
          <w:color w:val="000000"/>
          <w:sz w:val="24"/>
          <w:szCs w:val="24"/>
        </w:rPr>
        <w:t>Rt</w:t>
      </w:r>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volatilitou </w:t>
      </w:r>
      <w:r w:rsidR="00CF6A2A" w:rsidRPr="00CF6A2A">
        <w:rPr>
          <w:rFonts w:ascii="Times New Roman" w:hAnsi="Times New Roman" w:cs="Times New Roman"/>
          <w:i/>
          <w:iCs/>
          <w:color w:val="000000"/>
          <w:sz w:val="24"/>
          <w:szCs w:val="24"/>
        </w:rPr>
        <w:t>Rt</w:t>
      </w:r>
      <w:r w:rsidR="00CF6A2A">
        <w:rPr>
          <w:rFonts w:ascii="Times New Roman" w:hAnsi="Times New Roman" w:cs="Times New Roman"/>
          <w:color w:val="000000"/>
          <w:sz w:val="24"/>
          <w:szCs w:val="24"/>
        </w:rPr>
        <w:t xml:space="preserve"> a volatilitou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74C0CC7E"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Podobne, miera očkovania má potenciálny vplyv na dynamiku volatility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671C8E" w:rsidRPr="00671C8E">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volatilitu trhov. Na tento účel použili model GJR-GARCH(1,1) s nezávislou premennou VIR (</w:t>
      </w:r>
      <w:r w:rsidRPr="00550434">
        <w:rPr>
          <w:rFonts w:ascii="Times New Roman" w:hAnsi="Times New Roman" w:cs="Times New Roman"/>
          <w:i/>
          <w:iCs/>
          <w:color w:val="000000"/>
          <w:sz w:val="24"/>
          <w:szCs w:val="24"/>
        </w:rPr>
        <w:t>Vaccine Initiation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má štatisticky významný vplyv na volatilitu akciových trhov</w:t>
      </w:r>
      <w:r w:rsidR="00430F43">
        <w:rPr>
          <w:rFonts w:ascii="Times New Roman" w:hAnsi="Times New Roman" w:cs="Times New Roman"/>
          <w:color w:val="000000"/>
          <w:sz w:val="24"/>
          <w:szCs w:val="24"/>
        </w:rPr>
        <w:t>, teda „ukľudňuje“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Nové prípady a úmrtia majú opačný efekt, teda zvyšujú volatilitu. Z porovnania emerging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0BA86BB1"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 xml:space="preserve">vplývajúcu na správanie a volatilitu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naznačuje, že najväčší vplyv na volatilitu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r w:rsidR="002A0553" w:rsidRPr="00D449A2">
        <w:rPr>
          <w:rFonts w:ascii="Times New Roman" w:hAnsi="Times New Roman" w:cs="Times New Roman"/>
          <w:i/>
          <w:iCs/>
          <w:color w:val="000000"/>
          <w:sz w:val="24"/>
          <w:szCs w:val="24"/>
        </w:rPr>
        <w:t>Goverment Response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r w:rsidR="00EC37CE" w:rsidRPr="00550434">
        <w:rPr>
          <w:rFonts w:ascii="Times New Roman" w:hAnsi="Times New Roman" w:cs="Times New Roman"/>
          <w:i/>
          <w:iCs/>
          <w:color w:val="000000"/>
          <w:sz w:val="24"/>
          <w:szCs w:val="24"/>
        </w:rPr>
        <w:t>LightGBM</w:t>
      </w:r>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6A17ED">
        <w:rPr>
          <w:rFonts w:ascii="Times New Roman" w:hAnsi="Times New Roman" w:cs="Times New Roman"/>
          <w:color w:val="000000"/>
          <w:sz w:val="24"/>
          <w:szCs w:val="24"/>
        </w:rPr>
        <w:t xml:space="preserve"> hlavne pre sektor materials</w:t>
      </w:r>
      <w:r w:rsidR="002A0553">
        <w:rPr>
          <w:rFonts w:ascii="Times New Roman" w:hAnsi="Times New Roman" w:cs="Times New Roman"/>
          <w:color w:val="000000"/>
          <w:sz w:val="24"/>
          <w:szCs w:val="24"/>
        </w:rPr>
        <w:t>. 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lastRenderedPageBreak/>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Content>
          <w:r w:rsidR="00671C8E" w:rsidRPr="00671C8E">
            <w:rPr>
              <w:rFonts w:ascii="Times New Roman" w:hAnsi="Times New Roman" w:cs="Times New Roman"/>
              <w:color w:val="000000"/>
              <w:sz w:val="24"/>
              <w:szCs w:val="24"/>
            </w:rPr>
            <w:t>(C. Yang et al., 2023)</w:t>
          </w:r>
        </w:sdtContent>
      </w:sdt>
      <w:r w:rsidR="0051663A">
        <w:rPr>
          <w:rFonts w:ascii="Times New Roman" w:hAnsi="Times New Roman" w:cs="Times New Roman"/>
          <w:color w:val="000000"/>
          <w:sz w:val="24"/>
          <w:szCs w:val="24"/>
        </w:rPr>
        <w:t>.</w:t>
      </w:r>
    </w:p>
    <w:p w14:paraId="3CB7A731" w14:textId="73AE979B"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r w:rsidR="00087123" w:rsidRPr="00D449A2">
        <w:rPr>
          <w:rFonts w:ascii="Times New Roman" w:hAnsi="Times New Roman" w:cs="Times New Roman"/>
          <w:i/>
          <w:iCs/>
          <w:sz w:val="24"/>
          <w:szCs w:val="24"/>
        </w:rPr>
        <w:t>Global Health Security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671C8E" w:rsidRPr="00671C8E">
            <w:rPr>
              <w:rFonts w:ascii="Times New Roman" w:hAnsi="Times New Roman" w:cs="Times New Roman"/>
              <w:color w:val="000000"/>
              <w:sz w:val="24"/>
              <w:szCs w:val="24"/>
            </w:rPr>
            <w:t>(Gheorghe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volatilitu indexov 60tich krajín, pričom použili neurónovú sieť založenú na </w:t>
      </w:r>
      <w:r w:rsidR="00087123" w:rsidRPr="00D449A2">
        <w:rPr>
          <w:rFonts w:ascii="Times New Roman" w:hAnsi="Times New Roman" w:cs="Times New Roman"/>
          <w:i/>
          <w:iCs/>
          <w:color w:val="000000"/>
          <w:sz w:val="24"/>
          <w:szCs w:val="24"/>
        </w:rPr>
        <w:t>Multilayer Perceptron</w:t>
      </w:r>
      <w:r w:rsidR="00087123">
        <w:rPr>
          <w:rFonts w:ascii="Times New Roman" w:hAnsi="Times New Roman" w:cs="Times New Roman"/>
          <w:color w:val="000000"/>
          <w:sz w:val="24"/>
          <w:szCs w:val="24"/>
        </w:rPr>
        <w:t xml:space="preserve"> (MLP). Výsledky poukazujú na fakt, že pred pandémiou GHSI nemá takmer žiadny vplyv na volatilitu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r w:rsidR="00D449A2" w:rsidRPr="00094860">
        <w:rPr>
          <w:rFonts w:ascii="Times New Roman" w:hAnsi="Times New Roman" w:cs="Times New Roman"/>
          <w:i/>
          <w:iCs/>
          <w:color w:val="000000"/>
          <w:sz w:val="24"/>
          <w:szCs w:val="24"/>
        </w:rPr>
        <w:t>Norms</w:t>
      </w:r>
      <w:r w:rsidR="00D449A2">
        <w:rPr>
          <w:rFonts w:ascii="Times New Roman" w:hAnsi="Times New Roman" w:cs="Times New Roman"/>
          <w:color w:val="000000"/>
          <w:sz w:val="24"/>
          <w:szCs w:val="24"/>
        </w:rPr>
        <w:t xml:space="preserve">, </w:t>
      </w:r>
      <w:r w:rsidR="00D449A2" w:rsidRPr="00094860">
        <w:rPr>
          <w:rFonts w:ascii="Times New Roman" w:hAnsi="Times New Roman" w:cs="Times New Roman"/>
          <w:i/>
          <w:iCs/>
          <w:color w:val="000000"/>
          <w:sz w:val="24"/>
          <w:szCs w:val="24"/>
        </w:rPr>
        <w:t>Health</w:t>
      </w:r>
      <w:r w:rsidR="00D449A2">
        <w:rPr>
          <w:rFonts w:ascii="Times New Roman" w:hAnsi="Times New Roman" w:cs="Times New Roman"/>
          <w:color w:val="000000"/>
          <w:sz w:val="24"/>
          <w:szCs w:val="24"/>
        </w:rPr>
        <w:t xml:space="preserve"> a</w:t>
      </w:r>
      <w:r w:rsidR="003D4A45">
        <w:rPr>
          <w:rFonts w:ascii="Times New Roman" w:hAnsi="Times New Roman" w:cs="Times New Roman"/>
          <w:color w:val="000000"/>
          <w:sz w:val="24"/>
          <w:szCs w:val="24"/>
        </w:rPr>
        <w:t> </w:t>
      </w:r>
      <w:r w:rsidR="00D449A2" w:rsidRPr="00094860">
        <w:rPr>
          <w:rFonts w:ascii="Times New Roman" w:hAnsi="Times New Roman" w:cs="Times New Roman"/>
          <w:i/>
          <w:iCs/>
          <w:color w:val="000000"/>
          <w:sz w:val="24"/>
          <w:szCs w:val="24"/>
        </w:rPr>
        <w:t>Prevention</w:t>
      </w:r>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volatilitu trhov počas období zdravotných kríz.</w:t>
      </w:r>
    </w:p>
    <w:p w14:paraId="2D3E05CD" w14:textId="3477C0D5" w:rsidR="00A830AD" w:rsidRDefault="00A830AD"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Content>
          <w:r w:rsidR="00671C8E" w:rsidRPr="00671C8E">
            <w:rPr>
              <w:rFonts w:ascii="Times New Roman" w:hAnsi="Times New Roman" w:cs="Times New Roman"/>
              <w:color w:val="000000"/>
              <w:sz w:val="24"/>
              <w:szCs w:val="24"/>
            </w:rPr>
            <w:t>(Rahman et al., 2022)</w:t>
          </w:r>
        </w:sdtContent>
      </w:sdt>
      <w:r>
        <w:rPr>
          <w:rFonts w:ascii="Times New Roman" w:hAnsi="Times New Roman" w:cs="Times New Roman"/>
          <w:color w:val="000000"/>
          <w:sz w:val="24"/>
          <w:szCs w:val="24"/>
        </w:rPr>
        <w:t xml:space="preserve"> rozšírili analýzu indikátorov pandémie o počet zotavených pacientov. Konkrétne skúmali väzbu nových prípadov, úmrtí a zotavení s implied-volatility indexmi v USA a Európe. Výsledky potvrdili významnú súvislosť s cenami akcií a volatilitou, pričom údaje o zotaveniach poskytujú dodatočnú informáciu</w:t>
      </w:r>
      <w:r w:rsidR="00671C8E">
        <w:rPr>
          <w:rFonts w:ascii="Times New Roman" w:hAnsi="Times New Roman" w:cs="Times New Roman"/>
          <w:color w:val="000000"/>
          <w:sz w:val="24"/>
          <w:szCs w:val="24"/>
        </w:rPr>
        <w:t xml:space="preserve"> o zlepšovaní podmienok trhov. Následne skúmali predikčnú schopnosť týchto indikátorov prostredníctvom modelov PCA, ARIMA, ARIMA-GARCH, ARIMAX a ARIMAX-GARCH. Najnižšiu predikčnú chybu dosahoval prevažne model PCA, pričom pridanie modelu GARCH neviedlo v významnému zlepšeniu predikcií. Táto štúdia poukazuje na to, že okrem nových prípadov a úmrtí, aj počet zotavených pacientov hrá významnú rolu pre vývoj a stabilizáciu trhov.  </w:t>
      </w:r>
    </w:p>
    <w:p w14:paraId="2AE9088F" w14:textId="5EFF1A41"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volatilitu trhov počas pandémie vplývali aj hospodárske opatrenia, ktorých cieľom bolo minimalizovať práve volatilitu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671C8E" w:rsidRPr="00671C8E">
            <w:rPr>
              <w:rFonts w:ascii="Times New Roman" w:eastAsia="Times New Roman" w:hAnsi="Times New Roman" w:cs="Times New Roman"/>
              <w:color w:val="000000"/>
              <w:sz w:val="24"/>
            </w:rPr>
            <w:t>(Deev and Plíhal,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r w:rsidR="002F45A3" w:rsidRPr="002F45A3">
        <w:rPr>
          <w:rFonts w:ascii="Times New Roman" w:hAnsi="Times New Roman" w:cs="Times New Roman"/>
          <w:i/>
          <w:iCs/>
          <w:color w:val="000000"/>
          <w:sz w:val="24"/>
          <w:szCs w:val="24"/>
        </w:rPr>
        <w:t>Realized Variance</w:t>
      </w:r>
      <w:r w:rsidR="002F45A3">
        <w:rPr>
          <w:rFonts w:ascii="Times New Roman" w:hAnsi="Times New Roman" w:cs="Times New Roman"/>
          <w:color w:val="000000"/>
          <w:sz w:val="24"/>
          <w:szCs w:val="24"/>
        </w:rPr>
        <w:t xml:space="preserve"> (RV) z </w:t>
      </w:r>
      <w:r w:rsidR="002F45A3" w:rsidRPr="002F45A3">
        <w:rPr>
          <w:rFonts w:ascii="Times New Roman" w:hAnsi="Times New Roman" w:cs="Times New Roman"/>
          <w:i/>
          <w:iCs/>
          <w:color w:val="000000"/>
          <w:sz w:val="24"/>
          <w:szCs w:val="24"/>
        </w:rPr>
        <w:t>Oxford-Man Institute Library</w:t>
      </w:r>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COVID-19 Financial Response Tracker</w:t>
      </w:r>
      <w:r w:rsidR="00BA7357">
        <w:rPr>
          <w:rFonts w:ascii="Times New Roman" w:hAnsi="Times New Roman" w:cs="Times New Roman"/>
          <w:color w:val="000000"/>
          <w:sz w:val="24"/>
          <w:szCs w:val="24"/>
        </w:rPr>
        <w:t xml:space="preserve"> spolu s dummy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Spomínanú premennú integrovali priamo do modelu HAR-RV. Výsledky ukazujú, že v minimálne 13 krajín v deň oznámenia reagovalo zvýšenou volatilitou. Hlavne trhy USA vykazujú pozitívne reakcie na oznámenia opatrení</w:t>
      </w:r>
      <w:r w:rsidR="006A17ED">
        <w:rPr>
          <w:rFonts w:ascii="Times New Roman" w:hAnsi="Times New Roman" w:cs="Times New Roman"/>
          <w:color w:val="000000"/>
          <w:sz w:val="24"/>
          <w:szCs w:val="24"/>
        </w:rPr>
        <w:t>, konkrétne macroprudential policies</w:t>
      </w:r>
      <w:r w:rsidR="00BA7357">
        <w:rPr>
          <w:rFonts w:ascii="Times New Roman" w:hAnsi="Times New Roman" w:cs="Times New Roman"/>
          <w:color w:val="000000"/>
          <w:sz w:val="24"/>
          <w:szCs w:val="24"/>
        </w:rPr>
        <w:t xml:space="preserve">. V deň vyhlásenia sa volatilita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volatilit</w:t>
      </w:r>
      <w:r w:rsidR="003D4A45">
        <w:rPr>
          <w:rFonts w:ascii="Times New Roman" w:hAnsi="Times New Roman" w:cs="Times New Roman"/>
          <w:color w:val="000000"/>
          <w:sz w:val="24"/>
          <w:szCs w:val="24"/>
        </w:rPr>
        <w:t>u</w:t>
      </w:r>
      <w:r w:rsidR="00BA7357">
        <w:rPr>
          <w:rFonts w:ascii="Times New Roman" w:hAnsi="Times New Roman" w:cs="Times New Roman"/>
          <w:color w:val="000000"/>
          <w:sz w:val="24"/>
          <w:szCs w:val="24"/>
        </w:rPr>
        <w:t xml:space="preserve"> v deň po vyhlásení. Výsledky taktiež poukazujú na to, že opatrenia </w:t>
      </w:r>
      <w:r w:rsidR="006A17ED">
        <w:rPr>
          <w:rFonts w:ascii="Times New Roman" w:hAnsi="Times New Roman" w:cs="Times New Roman"/>
          <w:color w:val="000000"/>
          <w:sz w:val="24"/>
          <w:szCs w:val="24"/>
        </w:rPr>
        <w:t>v USA majú ukľudňujúci efekt aj na väčšinu európskych trhov, čo naznačuje výrazný spillover efekt.</w:t>
      </w:r>
    </w:p>
    <w:p w14:paraId="153FF778" w14:textId="1D78F35A" w:rsidR="00A830AD" w:rsidRDefault="001B4A00"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Pandemická neistota a jej vplyv na volatilitu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Content>
          <w:r w:rsidR="00671C8E" w:rsidRPr="00671C8E">
            <w:rPr>
              <w:rFonts w:ascii="Times New Roman" w:hAnsi="Times New Roman" w:cs="Times New Roman"/>
              <w:color w:val="000000"/>
              <w:sz w:val="24"/>
              <w:szCs w:val="24"/>
            </w:rPr>
            <w:t>(Li et al., 2020)</w:t>
          </w:r>
        </w:sdtContent>
      </w:sdt>
      <w:r>
        <w:rPr>
          <w:rFonts w:ascii="Times New Roman" w:hAnsi="Times New Roman" w:cs="Times New Roman"/>
          <w:color w:val="000000"/>
          <w:sz w:val="24"/>
          <w:szCs w:val="24"/>
        </w:rPr>
        <w:t xml:space="preserve"> analyzovali predikčnú schopnosť neistoty s použitím Infectious Disease Equity Market Volatility indexu (IDEMV) pre európske trhy. </w:t>
      </w:r>
      <w:r>
        <w:rPr>
          <w:rFonts w:ascii="Times New Roman" w:hAnsi="Times New Roman" w:cs="Times New Roman"/>
          <w:color w:val="000000"/>
          <w:sz w:val="24"/>
          <w:szCs w:val="24"/>
        </w:rPr>
        <w:t>Použili realized volatility pre Francúzsko, Nemecko a UK, pričom modelovali predikciu volatility prostrednítvom modelov HAR a HAR-ALL. Výsledky značia, že IDEMV má predikčnú schopnosť pre francuzsky a britský trh, avšak pre nemecký trh nezlepšoval predikčnú schopnosť. 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ukazuje na fakt, že indikátory pandémie majú heterogénnu účinnosť pre predikciu volatility trhov.</w:t>
      </w:r>
    </w:p>
    <w:p w14:paraId="5B7085A6" w14:textId="76E86407" w:rsidR="00A77D42" w:rsidRDefault="00A77D42" w:rsidP="00FE7485">
      <w:pPr>
        <w:spacing w:line="360" w:lineRule="auto"/>
        <w:ind w:firstLine="708"/>
        <w:jc w:val="both"/>
        <w:rPr>
          <w:rFonts w:ascii="Times New Roman" w:hAnsi="Times New Roman" w:cs="Times New Roman"/>
          <w:color w:val="000000"/>
          <w:sz w:val="24"/>
          <w:szCs w:val="24"/>
        </w:rPr>
      </w:pPr>
    </w:p>
    <w:p w14:paraId="5B1225BF" w14:textId="30A75A51"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volatilitu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671C8E" w:rsidRPr="00671C8E">
            <w:rPr>
              <w:rFonts w:ascii="Times New Roman" w:hAnsi="Times New Roman" w:cs="Times New Roman"/>
              <w:color w:val="000000"/>
              <w:sz w:val="24"/>
              <w:szCs w:val="24"/>
            </w:rPr>
            <w:t>(Umar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t>Volatilita akciových trhov počas pandémie COVID-19</w:t>
      </w:r>
    </w:p>
    <w:p w14:paraId="3665D9EE" w14:textId="3AABE748" w:rsidR="00925590" w:rsidRDefault="00925590" w:rsidP="00361AC2">
      <w:pPr>
        <w:spacing w:line="360" w:lineRule="auto"/>
        <w:jc w:val="both"/>
        <w:rPr>
          <w:rFonts w:ascii="Times New Roman" w:hAnsi="Times New Roman" w:cs="Times New Roman"/>
          <w:color w:val="000000"/>
          <w:sz w:val="24"/>
          <w:szCs w:val="24"/>
        </w:rPr>
      </w:pPr>
      <w:r>
        <w:tab/>
      </w:r>
      <w:r w:rsidR="00361AC2" w:rsidRPr="00361AC2">
        <w:rPr>
          <w:rFonts w:ascii="Times New Roman" w:hAnsi="Times New Roman" w:cs="Times New Roman"/>
          <w:sz w:val="24"/>
          <w:szCs w:val="24"/>
        </w:rPr>
        <w:t>Je všeobecne známe, že pandémia COVID-19 výrazne zvýšila volatilitu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Väčšina výskumu identifikuje obdobie pandémie s použitím jednoduchej dummy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671C8E" w:rsidRPr="00671C8E">
            <w:rPr>
              <w:rFonts w:ascii="Times New Roman" w:hAnsi="Times New Roman" w:cs="Times New Roman"/>
              <w:color w:val="000000"/>
              <w:sz w:val="24"/>
              <w:szCs w:val="24"/>
            </w:rPr>
            <w:t>(Zeng et al., 2024)</w:t>
          </w:r>
        </w:sdtContent>
      </w:sdt>
      <w:r w:rsidR="00F9342D">
        <w:rPr>
          <w:rFonts w:ascii="Times New Roman" w:hAnsi="Times New Roman" w:cs="Times New Roman"/>
          <w:sz w:val="24"/>
          <w:szCs w:val="24"/>
        </w:rPr>
        <w:t xml:space="preserve"> </w:t>
      </w:r>
      <w:r w:rsidR="00D9351B">
        <w:rPr>
          <w:rFonts w:ascii="Times New Roman" w:hAnsi="Times New Roman" w:cs="Times New Roman"/>
          <w:color w:val="000000"/>
          <w:sz w:val="24"/>
          <w:szCs w:val="24"/>
        </w:rPr>
        <w:t xml:space="preserve">tvrdia, že volatilita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volatility, ktorý bol spôsobený pandémiou COVID-19. Analyzovali 20 svetových akciových indexov. Graf na obrázku (</w:t>
      </w:r>
      <w:r w:rsidR="00361AC2" w:rsidRPr="004755AA">
        <w:rPr>
          <w:rFonts w:ascii="Times New Roman" w:hAnsi="Times New Roman" w:cs="Times New Roman"/>
          <w:i/>
          <w:iCs/>
          <w:color w:val="000000"/>
          <w:sz w:val="24"/>
          <w:szCs w:val="24"/>
        </w:rPr>
        <w:t xml:space="preserve">Figure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sidR="00D9351B">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volatility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Sup-Wald</w:t>
      </w:r>
      <w:r w:rsidR="00CA2713">
        <w:rPr>
          <w:rFonts w:ascii="Times New Roman" w:hAnsi="Times New Roman" w:cs="Times New Roman"/>
          <w:color w:val="000000"/>
          <w:sz w:val="24"/>
          <w:szCs w:val="24"/>
        </w:rPr>
        <w:t xml:space="preserve"> test, ktorý identifikoval jednotný zlom začiatkom roku 2020 pre všetky indexy okrem </w:t>
      </w:r>
      <w:r w:rsidR="00CA2713" w:rsidRPr="00CA2713">
        <w:rPr>
          <w:rFonts w:ascii="Times New Roman" w:hAnsi="Times New Roman" w:cs="Times New Roman"/>
          <w:i/>
          <w:iCs/>
          <w:color w:val="000000"/>
          <w:sz w:val="24"/>
          <w:szCs w:val="24"/>
        </w:rPr>
        <w:t>Shanghai A Share</w:t>
      </w:r>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r w:rsidR="00CA2713" w:rsidRPr="00E718BA">
        <w:rPr>
          <w:rFonts w:ascii="Times New Roman" w:hAnsi="Times New Roman" w:cs="Times New Roman"/>
          <w:i/>
          <w:iCs/>
          <w:color w:val="000000"/>
          <w:sz w:val="24"/>
          <w:szCs w:val="24"/>
        </w:rPr>
        <w:t>half-life</w:t>
      </w:r>
      <w:r w:rsidR="00CA2713">
        <w:rPr>
          <w:rFonts w:ascii="Times New Roman" w:hAnsi="Times New Roman" w:cs="Times New Roman"/>
          <w:color w:val="000000"/>
          <w:sz w:val="24"/>
          <w:szCs w:val="24"/>
        </w:rPr>
        <w:t xml:space="preserve"> volatility</w:t>
      </w:r>
      <w:r w:rsidR="00D9351B">
        <w:rPr>
          <w:rFonts w:ascii="Times New Roman" w:hAnsi="Times New Roman" w:cs="Times New Roman"/>
          <w:color w:val="000000"/>
          <w:sz w:val="24"/>
          <w:szCs w:val="24"/>
        </w:rPr>
        <w:t>, ktorý v 12 z 19 krajinách dosahuje lepšie výsledky oproti modelu GARCHX spolu s jednoduchou dummy premennou</w:t>
      </w:r>
      <w:r w:rsidR="00CA2713">
        <w:rPr>
          <w:rFonts w:ascii="Times New Roman" w:hAnsi="Times New Roman" w:cs="Times New Roman"/>
          <w:color w:val="000000"/>
          <w:sz w:val="24"/>
          <w:szCs w:val="24"/>
        </w:rPr>
        <w:t xml:space="preserve">. Rozvinuté trhy majú typicky vysoký prvotný šok a krátky </w:t>
      </w:r>
      <w:r w:rsidR="00CA2713" w:rsidRPr="00E718BA">
        <w:rPr>
          <w:rFonts w:ascii="Times New Roman" w:hAnsi="Times New Roman" w:cs="Times New Roman"/>
          <w:i/>
          <w:iCs/>
          <w:color w:val="000000"/>
          <w:sz w:val="24"/>
          <w:szCs w:val="24"/>
        </w:rPr>
        <w:t>half-life</w:t>
      </w:r>
      <w:r w:rsidR="003D4A45">
        <w:rPr>
          <w:rFonts w:ascii="Times New Roman" w:hAnsi="Times New Roman" w:cs="Times New Roman"/>
          <w:color w:val="000000"/>
          <w:sz w:val="24"/>
          <w:szCs w:val="24"/>
        </w:rPr>
        <w:t xml:space="preserve">. </w:t>
      </w:r>
      <w:r w:rsidR="00D9351B">
        <w:rPr>
          <w:rFonts w:ascii="Times New Roman" w:hAnsi="Times New Roman" w:cs="Times New Roman"/>
          <w:color w:val="000000"/>
          <w:sz w:val="24"/>
          <w:szCs w:val="24"/>
        </w:rPr>
        <w:t xml:space="preserve">Emerging trhy majú práve naopak nízky prvotný dopad a dlhý </w:t>
      </w:r>
      <w:r w:rsidR="00D9351B" w:rsidRPr="005479AE">
        <w:rPr>
          <w:rFonts w:ascii="Times New Roman" w:hAnsi="Times New Roman" w:cs="Times New Roman"/>
          <w:i/>
          <w:iCs/>
          <w:color w:val="000000"/>
          <w:sz w:val="24"/>
          <w:szCs w:val="24"/>
        </w:rPr>
        <w:t>half-life</w:t>
      </w:r>
      <w:r w:rsidR="003D4A45">
        <w:rPr>
          <w:rFonts w:ascii="Times New Roman" w:hAnsi="Times New Roman" w:cs="Times New Roman"/>
          <w:color w:val="000000"/>
          <w:sz w:val="24"/>
          <w:szCs w:val="24"/>
        </w:rPr>
        <w:t xml:space="preserve">. </w:t>
      </w:r>
      <w:r w:rsidR="00D9351B">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sidR="00D9351B">
        <w:rPr>
          <w:rFonts w:ascii="Times New Roman" w:hAnsi="Times New Roman" w:cs="Times New Roman"/>
          <w:color w:val="000000"/>
          <w:sz w:val="24"/>
          <w:szCs w:val="24"/>
        </w:rPr>
        <w:t>, že dynamika volatility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sz w:val="24"/>
          <w:szCs w:val="24"/>
        </w:rPr>
        <w:lastRenderedPageBreak/>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6500" cy="3670300"/>
                    </a:xfrm>
                    <a:prstGeom prst="rect">
                      <a:avLst/>
                    </a:prstGeom>
                  </pic:spPr>
                </pic:pic>
              </a:graphicData>
            </a:graphic>
          </wp:inline>
        </w:drawing>
      </w:r>
    </w:p>
    <w:p w14:paraId="6234239C" w14:textId="2A06BB1C" w:rsidR="00361AC2" w:rsidRDefault="00361AC2" w:rsidP="00361AC2">
      <w:pPr>
        <w:pStyle w:val="Popis"/>
        <w:rPr>
          <w:rFonts w:ascii="Times New Roman" w:hAnsi="Times New Roman" w:cs="Times New Roman"/>
          <w:color w:val="000000"/>
          <w:sz w:val="20"/>
          <w:szCs w:val="20"/>
        </w:rPr>
      </w:pPr>
      <w:r w:rsidRPr="00361AC2">
        <w:rPr>
          <w:rFonts w:ascii="Times New Roman" w:hAnsi="Times New Roman" w:cs="Times New Roman"/>
          <w:b/>
          <w:bCs/>
          <w:i w:val="0"/>
          <w:iCs w:val="0"/>
          <w:color w:val="000000" w:themeColor="text1"/>
          <w:sz w:val="20"/>
          <w:szCs w:val="20"/>
        </w:rPr>
        <w:t xml:space="preserve">Fig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Daily returns of 20 different stock market indexes; 11 June 2015 to 10 June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671C8E" w:rsidRPr="00671C8E">
            <w:rPr>
              <w:rFonts w:ascii="Times New Roman" w:hAnsi="Times New Roman" w:cs="Times New Roman"/>
              <w:color w:val="000000"/>
              <w:sz w:val="20"/>
              <w:szCs w:val="20"/>
            </w:rPr>
            <w:t>(Zeng et al., 2024)</w:t>
          </w:r>
        </w:sdtContent>
      </w:sdt>
    </w:p>
    <w:p w14:paraId="2D9BCC3F" w14:textId="0609161A" w:rsidR="00865576" w:rsidRDefault="00865576" w:rsidP="00865576">
      <w:r>
        <w:tab/>
      </w:r>
    </w:p>
    <w:p w14:paraId="25A1A456" w14:textId="7CF1CA1B" w:rsidR="00865576" w:rsidRDefault="00865576" w:rsidP="004D1F84">
      <w:pPr>
        <w:spacing w:line="360" w:lineRule="auto"/>
        <w:jc w:val="both"/>
        <w:rPr>
          <w:rFonts w:ascii="Times New Roman" w:hAnsi="Times New Roman" w:cs="Times New Roman"/>
          <w:color w:val="000000"/>
          <w:sz w:val="24"/>
          <w:szCs w:val="24"/>
        </w:rPr>
      </w:pPr>
      <w:r>
        <w:tab/>
      </w: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volatilitu 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671C8E" w:rsidRPr="00671C8E">
            <w:rPr>
              <w:rFonts w:ascii="Times New Roman" w:hAnsi="Times New Roman" w:cs="Times New Roman"/>
              <w:color w:val="000000"/>
              <w:sz w:val="24"/>
              <w:szCs w:val="24"/>
            </w:rPr>
            <w:t>(Szczygielski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Google Trends</w:t>
      </w:r>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dohľadávaniu informácii, čo následne vedie k</w:t>
      </w:r>
      <w:r w:rsidR="004D1F84" w:rsidRPr="004D1F84">
        <w:rPr>
          <w:rFonts w:ascii="Times New Roman" w:hAnsi="Times New Roman" w:cs="Times New Roman"/>
          <w:color w:val="000000"/>
          <w:sz w:val="24"/>
          <w:szCs w:val="24"/>
        </w:rPr>
        <w:t> nižším výnosom a zvýšenej volatilite. Na modelovanie volatility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 Latin America bola zasiahnutá najviac, zatiaľ čo Ázia bola najodolnejšia. Z hľadiska volatility </w:t>
      </w:r>
      <w:r w:rsidR="008E44FC">
        <w:rPr>
          <w:rFonts w:ascii="Times New Roman" w:hAnsi="Times New Roman" w:cs="Times New Roman"/>
          <w:color w:val="000000"/>
          <w:sz w:val="24"/>
          <w:szCs w:val="24"/>
        </w:rPr>
        <w:t>výsledky potvrdzujú predpoklad, že s rastúcou neistotou rastie volatilita.</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r w:rsidR="008E44FC" w:rsidRPr="000C0763">
        <w:rPr>
          <w:rFonts w:ascii="Times New Roman" w:hAnsi="Times New Roman" w:cs="Times New Roman"/>
          <w:i/>
          <w:iCs/>
          <w:color w:val="000000"/>
          <w:sz w:val="24"/>
          <w:szCs w:val="24"/>
        </w:rPr>
        <w:t>Granger-Causality</w:t>
      </w:r>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Google Trends</w:t>
      </w:r>
      <w:r w:rsidR="008E44FC">
        <w:rPr>
          <w:rFonts w:ascii="Times New Roman" w:hAnsi="Times New Roman" w:cs="Times New Roman"/>
          <w:color w:val="000000"/>
          <w:sz w:val="24"/>
          <w:szCs w:val="24"/>
        </w:rPr>
        <w:t xml:space="preserve"> nesú informáciu, ktorá predchádza reakciám akciových trhov. Táto štúdia poukazuje na fakt, že volatilitu trhov ovplyvňuje vnímaná neistota a opatrnosť investorov.  </w:t>
      </w:r>
    </w:p>
    <w:p w14:paraId="6C72A988" w14:textId="67CA4D19" w:rsidR="00C91825" w:rsidRDefault="00AD671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Vzhľadom k tomu, že pandémia spôsobila výraznú asymetriu volatility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671C8E" w:rsidRPr="00671C8E">
            <w:rPr>
              <w:rFonts w:ascii="Times New Roman" w:hAnsi="Times New Roman" w:cs="Times New Roman"/>
              <w:color w:val="000000"/>
              <w:sz w:val="24"/>
              <w:szCs w:val="24"/>
            </w:rPr>
            <w:t>(Kayani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w:t>
      </w:r>
      <w:r w:rsidR="00B40177">
        <w:rPr>
          <w:rFonts w:ascii="Times New Roman" w:hAnsi="Times New Roman" w:cs="Times New Roman"/>
          <w:color w:val="000000"/>
          <w:sz w:val="24"/>
          <w:szCs w:val="24"/>
        </w:rPr>
        <w:lastRenderedPageBreak/>
        <w:t>trhy vykazujú pozitívne výnosy pred pandémiou a negatívne výnosy počas nej. Okrem iného vykazujú výrazné zhlukovanie volatility a </w:t>
      </w:r>
      <w:r w:rsidR="00B40177" w:rsidRPr="00C91825">
        <w:rPr>
          <w:rFonts w:ascii="Times New Roman" w:hAnsi="Times New Roman" w:cs="Times New Roman"/>
          <w:i/>
          <w:iCs/>
          <w:color w:val="000000"/>
          <w:sz w:val="24"/>
          <w:szCs w:val="24"/>
        </w:rPr>
        <w:t>leverage effect</w:t>
      </w:r>
      <w:r w:rsidR="0094446D">
        <w:rPr>
          <w:rFonts w:ascii="Times New Roman" w:hAnsi="Times New Roman" w:cs="Times New Roman"/>
          <w:color w:val="000000"/>
          <w:sz w:val="24"/>
          <w:szCs w:val="24"/>
        </w:rPr>
        <w:t xml:space="preserve"> (</w:t>
      </w:r>
      <w:r w:rsidR="0094446D">
        <w:rPr>
          <w:rFonts w:ascii="Times New Roman" w:hAnsi="Times New Roman" w:cs="Times New Roman"/>
          <w:color w:val="000000"/>
          <w:sz w:val="24"/>
          <w:szCs w:val="24"/>
        </w:rPr>
        <w:t>negatívne správy ovplyvňujú volatilitu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39006FD9" w14:textId="44498FF9" w:rsidR="00BB7060"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0A0199BF" w14:textId="77777777" w:rsidR="00FE4E6C" w:rsidRDefault="00FE4E6C" w:rsidP="004D1F84">
      <w:pPr>
        <w:spacing w:line="360" w:lineRule="auto"/>
        <w:jc w:val="both"/>
        <w:rPr>
          <w:rFonts w:ascii="Times New Roman" w:hAnsi="Times New Roman" w:cs="Times New Roman"/>
          <w:color w:val="000000"/>
          <w:sz w:val="24"/>
          <w:szCs w:val="24"/>
        </w:rPr>
      </w:pP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000A6563">
        <w:rPr>
          <w:rFonts w:ascii="Times New Roman" w:hAnsi="Times New Roman" w:cs="Times New Roman"/>
          <w:b/>
          <w:bCs/>
          <w:color w:val="000000" w:themeColor="text1"/>
        </w:rPr>
        <w:t xml:space="preserve">Volatility spillover </w:t>
      </w:r>
      <w:r w:rsidR="0090369D">
        <w:rPr>
          <w:rFonts w:ascii="Times New Roman" w:hAnsi="Times New Roman" w:cs="Times New Roman"/>
          <w:b/>
          <w:bCs/>
          <w:color w:val="000000" w:themeColor="text1"/>
        </w:rPr>
        <w:t>a prepojenosť trhov počas pandémie COVID-19</w:t>
      </w:r>
    </w:p>
    <w:p w14:paraId="24F5B5BF" w14:textId="14768DA8"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volatility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671C8E" w:rsidRPr="00671C8E">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spillover efekt medzi USA a Čínou počas pandémie. Na analýzu použili model EGARCH, ktorý zaznamenal obojstranný asymetrický spillover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 čo značí, že</w:t>
      </w:r>
      <w:r w:rsidR="00C74B67">
        <w:rPr>
          <w:rFonts w:ascii="Times New Roman" w:hAnsi="Times New Roman" w:cs="Times New Roman"/>
          <w:color w:val="000000"/>
          <w:sz w:val="24"/>
          <w:szCs w:val="24"/>
        </w:rPr>
        <w:t xml:space="preserve"> napriek tomu, že trhy boli prepojené pred pandémiou, ich </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4E24075A" w14:textId="7B3BA634"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671C8E" w:rsidRPr="00671C8E">
            <w:rPr>
              <w:rFonts w:ascii="Times New Roman" w:hAnsi="Times New Roman" w:cs="Times New Roman"/>
              <w:color w:val="000000"/>
              <w:sz w:val="24"/>
              <w:szCs w:val="24"/>
            </w:rPr>
            <w:t>(Li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Ensemble Empirical Mode Decomposition</w:t>
      </w:r>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r w:rsidRPr="00E4093F">
        <w:rPr>
          <w:rFonts w:ascii="Times New Roman" w:hAnsi="Times New Roman" w:cs="Times New Roman"/>
          <w:i/>
          <w:iCs/>
          <w:color w:val="000000"/>
          <w:sz w:val="24"/>
          <w:szCs w:val="24"/>
        </w:rPr>
        <w:t>low-freq</w:t>
      </w:r>
      <w:r>
        <w:rPr>
          <w:rFonts w:ascii="Times New Roman" w:hAnsi="Times New Roman" w:cs="Times New Roman"/>
          <w:color w:val="000000"/>
          <w:sz w:val="24"/>
          <w:szCs w:val="24"/>
        </w:rPr>
        <w:t xml:space="preserve"> a </w:t>
      </w:r>
      <w:r w:rsidRPr="00E4093F">
        <w:rPr>
          <w:rFonts w:ascii="Times New Roman" w:hAnsi="Times New Roman" w:cs="Times New Roman"/>
          <w:i/>
          <w:iCs/>
          <w:color w:val="000000"/>
          <w:sz w:val="24"/>
          <w:szCs w:val="24"/>
        </w:rPr>
        <w:t>high-freq</w:t>
      </w:r>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r w:rsidR="00067865" w:rsidRPr="00E4093F">
        <w:rPr>
          <w:rFonts w:ascii="Times New Roman" w:hAnsi="Times New Roman" w:cs="Times New Roman"/>
          <w:i/>
          <w:iCs/>
          <w:color w:val="000000"/>
          <w:sz w:val="24"/>
          <w:szCs w:val="24"/>
        </w:rPr>
        <w:t>high-freq</w:t>
      </w:r>
      <w:r w:rsidR="00067865">
        <w:rPr>
          <w:rFonts w:ascii="Times New Roman" w:hAnsi="Times New Roman" w:cs="Times New Roman"/>
          <w:color w:val="000000"/>
          <w:sz w:val="24"/>
          <w:szCs w:val="24"/>
        </w:rPr>
        <w:t xml:space="preserve"> je použitý na analýzu spillover efektov prostredníctvom modelu BEKK-GARCH. Na vyhodnotenie spillover efektov autori použili Wald test, ktorý potvrdzuje obojsmerný asymetrický spillover efekt medzi trhmi USA, Číny a Honk Kongu, ale spillover efekt z Hong Kongu do USA úplne zanikol.  </w:t>
      </w:r>
    </w:p>
    <w:p w14:paraId="10B51BED" w14:textId="5C740DAD"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volatility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Content>
          <w:r w:rsidR="00671C8E" w:rsidRPr="00671C8E">
            <w:rPr>
              <w:rFonts w:ascii="Times New Roman" w:hAnsi="Times New Roman" w:cs="Times New Roman"/>
              <w:color w:val="000000"/>
              <w:sz w:val="24"/>
              <w:szCs w:val="24"/>
            </w:rPr>
            <w:t>(Zhang et al., 2022)</w:t>
          </w:r>
        </w:sdtContent>
      </w:sdt>
      <w:r w:rsidR="00BB7060">
        <w:rPr>
          <w:rFonts w:ascii="Times New Roman" w:hAnsi="Times New Roman" w:cs="Times New Roman"/>
          <w:color w:val="000000"/>
          <w:sz w:val="24"/>
          <w:szCs w:val="24"/>
        </w:rPr>
        <w:t>, pričom použili asymetrický model TGARCH. Zistili, že počas pandémie mali výnosy čínskeho trhu významný vplyv na trhy Švajčiarska, Švédska, Holandska a UK. USA vykazuje vplyv na čínske trhy pred pandémiou, ale počas nej sa tento efekt stráca. USA taktiež vykazuje silný leverage efekt počas pandémie.</w:t>
      </w:r>
    </w:p>
    <w:p w14:paraId="7737973D" w14:textId="045A60AD" w:rsidR="00864573" w:rsidRDefault="00E4093F" w:rsidP="00E4093F">
      <w:pPr>
        <w:spacing w:line="360" w:lineRule="auto"/>
        <w:jc w:val="both"/>
        <w:rPr>
          <w:rFonts w:ascii="Times New Roman" w:hAnsi="Times New Roman" w:cs="Times New Roman"/>
          <w:color w:val="000000"/>
          <w:sz w:val="24"/>
          <w:szCs w:val="24"/>
        </w:rPr>
      </w:pPr>
      <w:r>
        <w:lastRenderedPageBreak/>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671C8E" w:rsidRPr="00671C8E">
            <w:rPr>
              <w:rFonts w:ascii="Times New Roman" w:hAnsi="Times New Roman" w:cs="Times New Roman"/>
              <w:color w:val="000000"/>
              <w:sz w:val="24"/>
              <w:szCs w:val="24"/>
            </w:rPr>
            <w:t>(Aslam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volatilitu 12tich európskych krajín</w:t>
      </w:r>
      <w:r>
        <w:rPr>
          <w:rFonts w:ascii="Times New Roman" w:hAnsi="Times New Roman" w:cs="Times New Roman"/>
          <w:color w:val="000000"/>
          <w:sz w:val="24"/>
          <w:szCs w:val="24"/>
        </w:rPr>
        <w:t xml:space="preserve"> s použitím </w:t>
      </w:r>
      <w:r w:rsidRPr="0040065C">
        <w:rPr>
          <w:rFonts w:ascii="Times New Roman" w:hAnsi="Times New Roman" w:cs="Times New Roman"/>
          <w:i/>
          <w:iCs/>
          <w:color w:val="000000"/>
          <w:sz w:val="24"/>
          <w:szCs w:val="24"/>
        </w:rPr>
        <w:t>Diebold-Yilmaz</w:t>
      </w:r>
      <w:r>
        <w:rPr>
          <w:rFonts w:ascii="Times New Roman" w:hAnsi="Times New Roman" w:cs="Times New Roman"/>
          <w:color w:val="000000"/>
          <w:sz w:val="24"/>
          <w:szCs w:val="24"/>
        </w:rPr>
        <w:t xml:space="preserve"> spillover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77,8% predikčnej chyby intradennej volatility bolo spôsobené spillover efektom z iných trhov. Najväčšími prenášačmi volatility boli Nemecko a Holandsko, zatiaľ čo Poľsko a Írsko prenášajú najmenej volatility. Po vyhlásení pandémie zostala prepojenosť vysoká, avšak</w:t>
      </w:r>
      <w:r w:rsidR="0040065C">
        <w:rPr>
          <w:rFonts w:ascii="Times New Roman" w:hAnsi="Times New Roman" w:cs="Times New Roman"/>
          <w:color w:val="000000"/>
          <w:sz w:val="24"/>
          <w:szCs w:val="24"/>
        </w:rPr>
        <w:t xml:space="preserve"> jej variabilita sa znížila.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17C0C79F"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Dynamiku prenosu volatility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671C8E" w:rsidRPr="00671C8E">
            <w:rPr>
              <w:rFonts w:ascii="Times New Roman" w:eastAsia="Times New Roman" w:hAnsi="Times New Roman" w:cs="Times New Roman"/>
              <w:color w:val="000000"/>
              <w:sz w:val="24"/>
            </w:rPr>
            <w:t>(Chirilǎ Viorica and Chirilǎ Ciprian, 2022)</w:t>
          </w:r>
        </w:sdtContent>
      </w:sdt>
      <w:r w:rsidR="00A80926">
        <w:rPr>
          <w:rFonts w:ascii="Times New Roman" w:hAnsi="Times New Roman" w:cs="Times New Roman"/>
          <w:color w:val="000000"/>
          <w:sz w:val="24"/>
          <w:szCs w:val="24"/>
        </w:rPr>
        <w:t>. Konkrétne skúmali prenos volatility medzi krajinami strednej a východnej európy (CEE),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kom a Nemeckom prostredníctvom modelu TVP-VAR. Pandémia COVID-19 viedla k zvýšeniu prenosu volatility, ktoré zostávali na vysokej úrovni aj po prvotnom šoku. Výsledky zároveň poukazujú, že Česká Republika a Maďarsko patrili medzi prenášačov volatility,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volatility. </w:t>
      </w:r>
    </w:p>
    <w:p w14:paraId="119A37D9" w14:textId="0036BDDC"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Content>
          <w:r w:rsidR="00671C8E" w:rsidRPr="00671C8E">
            <w:rPr>
              <w:rFonts w:ascii="Times New Roman" w:hAnsi="Times New Roman" w:cs="Times New Roman"/>
              <w:color w:val="000000"/>
              <w:sz w:val="24"/>
              <w:szCs w:val="24"/>
            </w:rPr>
            <w:t>(Tiwari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volatility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 xml:space="preserve">Markov-Switching Multifractality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r w:rsidR="00F12C57" w:rsidRPr="00F12C57">
        <w:rPr>
          <w:rFonts w:ascii="Times New Roman" w:hAnsi="Times New Roman" w:cs="Times New Roman"/>
          <w:i/>
          <w:iCs/>
          <w:color w:val="000000"/>
          <w:sz w:val="24"/>
          <w:szCs w:val="24"/>
        </w:rPr>
        <w:t>forecast error variance decomposition</w:t>
      </w:r>
      <w:r w:rsidR="00F12C57">
        <w:rPr>
          <w:rFonts w:ascii="Times New Roman" w:hAnsi="Times New Roman" w:cs="Times New Roman"/>
          <w:color w:val="000000"/>
          <w:sz w:val="24"/>
          <w:szCs w:val="24"/>
        </w:rPr>
        <w:t xml:space="preserve"> (FEVD) následne odvodili spillover a prepojenosť trhov. Výsledky značia výrazne vyššiu prepojenosť počas obdobia pandémie s prepojenosťou 88,52%, oproti Rusko-Ukrajinskej vojne. Počas obdobia zvýšenej volatility boli najväčšími prenášačmi šoku Fínsko, Dánsko a Island. Táto štúdia dokazuje fakt, že volatilita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Správanie investorov, sentiment a volatilita počas COVID-19</w:t>
      </w:r>
    </w:p>
    <w:p w14:paraId="44F21EA3" w14:textId="645288D2"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Content>
          <w:r w:rsidR="00671C8E" w:rsidRPr="00671C8E">
            <w:rPr>
              <w:rFonts w:ascii="Times New Roman" w:hAnsi="Times New Roman" w:cs="Times New Roman"/>
              <w:color w:val="000000"/>
              <w:sz w:val="24"/>
              <w:szCs w:val="24"/>
            </w:rPr>
            <w:t>(Fei and Zhang, 2023)</w:t>
          </w:r>
        </w:sdtContent>
      </w:sdt>
      <w:r w:rsidR="00685F82" w:rsidRPr="00685F82">
        <w:rPr>
          <w:rFonts w:ascii="Times New Roman" w:hAnsi="Times New Roman" w:cs="Times New Roman"/>
          <w:color w:val="000000"/>
          <w:sz w:val="24"/>
          <w:szCs w:val="24"/>
        </w:rPr>
        <w:t xml:space="preserve"> skúmali stádové správanie na čínskom trhu CSI-300 a B-shares indexe s použitím modelu CSAD. Zistili, že stádové správanie sa na trhu CSI-300 objavilo až po vypuknutí pandémie, zatiaľ čo B-shares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realized volatility zistili negatívny vzťah medzi volatilitou a stádovým správaním. Pandémia zvýšila stádové </w:t>
      </w:r>
      <w:r w:rsidR="00685F82" w:rsidRPr="00685F82">
        <w:rPr>
          <w:rFonts w:ascii="Times New Roman" w:hAnsi="Times New Roman" w:cs="Times New Roman"/>
          <w:color w:val="000000"/>
          <w:sz w:val="24"/>
          <w:szCs w:val="24"/>
        </w:rPr>
        <w:lastRenderedPageBreak/>
        <w:t xml:space="preserve">správanie, ale zároveň znížila vplyv tohto správania na volatilitu trhov. </w:t>
      </w:r>
      <w:r w:rsidR="00685F82">
        <w:rPr>
          <w:rFonts w:ascii="Times New Roman" w:hAnsi="Times New Roman" w:cs="Times New Roman"/>
          <w:color w:val="000000"/>
          <w:sz w:val="24"/>
          <w:szCs w:val="24"/>
        </w:rPr>
        <w:t>Analýza EGARCH navyše identifikovala asymetriu reakcií, pričom negatívne správy mali väčší vplyv na B-shares.</w:t>
      </w:r>
    </w:p>
    <w:p w14:paraId="2B816807" w14:textId="11F1F331" w:rsidR="00847B67"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volatilitu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Content>
          <w:r w:rsidR="00671C8E" w:rsidRPr="00671C8E">
            <w:rPr>
              <w:rFonts w:ascii="Times New Roman" w:hAnsi="Times New Roman" w:cs="Times New Roman"/>
              <w:color w:val="000000"/>
              <w:sz w:val="24"/>
              <w:szCs w:val="24"/>
            </w:rPr>
            <w:t>(T. Yang et al., 2023)</w:t>
          </w:r>
        </w:sdtContent>
      </w:sdt>
      <w:r w:rsidR="00A77D42">
        <w:rPr>
          <w:rFonts w:ascii="Times New Roman" w:hAnsi="Times New Roman" w:cs="Times New Roman"/>
          <w:color w:val="000000"/>
          <w:sz w:val="24"/>
          <w:szCs w:val="24"/>
        </w:rPr>
        <w:t xml:space="preserve"> skúmali pozornosť investorov na základe </w:t>
      </w:r>
      <w:r w:rsidR="00A77D42" w:rsidRPr="00A77D42">
        <w:rPr>
          <w:rFonts w:ascii="Times New Roman" w:hAnsi="Times New Roman" w:cs="Times New Roman"/>
          <w:i/>
          <w:iCs/>
          <w:color w:val="000000"/>
          <w:sz w:val="24"/>
          <w:szCs w:val="24"/>
        </w:rPr>
        <w:t>Baidu Search Volume</w:t>
      </w:r>
      <w:r w:rsidR="00A77D42">
        <w:rPr>
          <w:rFonts w:ascii="Times New Roman" w:hAnsi="Times New Roman" w:cs="Times New Roman"/>
          <w:color w:val="000000"/>
          <w:sz w:val="24"/>
          <w:szCs w:val="24"/>
        </w:rPr>
        <w:t>, ktorú integrovali do modelu HAR. Samotná fluktuácia pozornosti investorov bola vypočítaná ako priemerný rozdiel za predchádzajúcich 20 dní. Pred pandémiou mala fluktuácia pozornosti ukľudňujúci efekt na volatilitu, zatiaľ čo po vypuknutí pandémie nárasty fluktuácie nad 7% hrali významnú rolu pre zvyšovanie volatility.</w:t>
      </w:r>
    </w:p>
    <w:p w14:paraId="56A488D4" w14:textId="77777777" w:rsidR="00A77D42" w:rsidRPr="00A77D42" w:rsidRDefault="00A77D42" w:rsidP="00E4093F">
      <w:pPr>
        <w:spacing w:line="360" w:lineRule="auto"/>
        <w:jc w:val="both"/>
        <w:rPr>
          <w:rFonts w:ascii="Times New Roman" w:hAnsi="Times New Roman" w:cs="Times New Roman"/>
          <w:sz w:val="24"/>
          <w:szCs w:val="24"/>
        </w:rPr>
      </w:pP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volatility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XGBoost,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723D4AC1" w14:textId="548BBAFF" w:rsidR="00FF5F97" w:rsidRDefault="00256B18" w:rsidP="00DF78FA">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Napríklad pri analýze prediktívnej schopnosti vládnych nariadení na volatilitu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Content>
          <w:r w:rsidR="00671C8E" w:rsidRPr="00671C8E">
            <w:rPr>
              <w:rFonts w:ascii="Times New Roman" w:hAnsi="Times New Roman" w:cs="Times New Roman"/>
              <w:color w:val="000000"/>
              <w:sz w:val="24"/>
              <w:szCs w:val="24"/>
            </w:rPr>
            <w:t>(C. Yang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hyperparametrov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train/test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r w:rsidR="005479AE" w:rsidRPr="005479AE">
        <w:rPr>
          <w:rFonts w:ascii="Times New Roman" w:hAnsi="Times New Roman" w:cs="Times New Roman"/>
          <w:i/>
          <w:iCs/>
          <w:color w:val="000000"/>
          <w:sz w:val="24"/>
          <w:szCs w:val="24"/>
        </w:rPr>
        <w:t>LightGBM</w:t>
      </w:r>
      <w:r w:rsidR="005479AE">
        <w:rPr>
          <w:rFonts w:ascii="Times New Roman" w:hAnsi="Times New Roman" w:cs="Times New Roman"/>
          <w:color w:val="000000"/>
          <w:sz w:val="24"/>
          <w:szCs w:val="24"/>
        </w:rPr>
        <w:t xml:space="preserve"> (</w:t>
      </w:r>
      <w:r w:rsidR="005479AE" w:rsidRPr="005479AE">
        <w:rPr>
          <w:rFonts w:ascii="Times New Roman" w:hAnsi="Times New Roman" w:cs="Times New Roman"/>
          <w:i/>
          <w:iCs/>
          <w:color w:val="000000"/>
          <w:sz w:val="24"/>
          <w:szCs w:val="24"/>
        </w:rPr>
        <w:t>Figure 4</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pričom m</w:t>
      </w:r>
      <w:r w:rsidR="00550D81">
        <w:rPr>
          <w:rFonts w:ascii="Times New Roman" w:hAnsi="Times New Roman" w:cs="Times New Roman"/>
          <w:color w:val="000000"/>
          <w:sz w:val="24"/>
          <w:szCs w:val="24"/>
        </w:rPr>
        <w:t>odel LSTM prekonal iba referenčnú lineárnu regresiu, čo môže byť spôsobené malým množstvom dát</w:t>
      </w:r>
      <w:r w:rsidR="00550D81">
        <w:rPr>
          <w:rFonts w:ascii="Times New Roman" w:hAnsi="Times New Roman" w:cs="Times New Roman"/>
          <w:color w:val="000000"/>
          <w:sz w:val="24"/>
          <w:szCs w:val="24"/>
        </w:rPr>
        <w:t xml:space="preserve"> (419 denných pozorovaní)</w:t>
      </w:r>
      <w:r w:rsidR="00550D81">
        <w:rPr>
          <w:rFonts w:ascii="Times New Roman" w:hAnsi="Times New Roman" w:cs="Times New Roman"/>
          <w:color w:val="000000"/>
          <w:sz w:val="24"/>
          <w:szCs w:val="24"/>
        </w:rPr>
        <w:t xml:space="preserve">. </w:t>
      </w:r>
      <w:r w:rsidR="005479AE">
        <w:rPr>
          <w:rFonts w:ascii="Times New Roman" w:hAnsi="Times New Roman" w:cs="Times New Roman"/>
          <w:color w:val="000000"/>
          <w:sz w:val="24"/>
          <w:szCs w:val="24"/>
        </w:rPr>
        <w:t xml:space="preserve">Autori neskôr použili metódu </w:t>
      </w:r>
      <w:r w:rsidR="005479AE" w:rsidRPr="005479AE">
        <w:rPr>
          <w:rFonts w:ascii="Times New Roman" w:hAnsi="Times New Roman" w:cs="Times New Roman"/>
          <w:i/>
          <w:iCs/>
          <w:color w:val="000000"/>
          <w:sz w:val="24"/>
          <w:szCs w:val="24"/>
        </w:rPr>
        <w:t>Shapley 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 Explanations</w:t>
      </w:r>
      <w:r w:rsidR="005479AE">
        <w:rPr>
          <w:rFonts w:ascii="Times New Roman" w:hAnsi="Times New Roman" w:cs="Times New Roman"/>
          <w:color w:val="000000"/>
          <w:sz w:val="24"/>
          <w:szCs w:val="24"/>
        </w:rPr>
        <w:t xml:space="preserve"> (SHAP) na identifikáciu najdôl</w:t>
      </w:r>
      <w:bookmarkStart w:id="0" w:name="_GoBack"/>
      <w:bookmarkEnd w:id="0"/>
      <w:r w:rsidR="005479AE">
        <w:rPr>
          <w:rFonts w:ascii="Times New Roman" w:hAnsi="Times New Roman" w:cs="Times New Roman"/>
          <w:color w:val="000000"/>
          <w:sz w:val="24"/>
          <w:szCs w:val="24"/>
        </w:rPr>
        <w:t>ežitejších premenných pre predikciu.</w:t>
      </w:r>
    </w:p>
    <w:p w14:paraId="744AF5F2" w14:textId="59EF541C" w:rsidR="00671C8E" w:rsidRDefault="00671C8E" w:rsidP="00DF78FA">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Content>
          <w:r w:rsidRPr="00671C8E">
            <w:rPr>
              <w:rFonts w:ascii="Times New Roman" w:hAnsi="Times New Roman" w:cs="Times New Roman"/>
              <w:color w:val="000000"/>
              <w:sz w:val="24"/>
              <w:szCs w:val="24"/>
            </w:rPr>
            <w:t>(Das et al., 2022)</w:t>
          </w:r>
        </w:sdtContent>
      </w:sdt>
      <w:r>
        <w:rPr>
          <w:rFonts w:ascii="Times New Roman" w:hAnsi="Times New Roman" w:cs="Times New Roman"/>
          <w:color w:val="000000"/>
          <w:sz w:val="24"/>
          <w:szCs w:val="24"/>
        </w:rPr>
        <w:t xml:space="preserve"> </w:t>
      </w:r>
      <w:r w:rsidR="00CF615D">
        <w:rPr>
          <w:rFonts w:ascii="Times New Roman" w:hAnsi="Times New Roman" w:cs="Times New Roman"/>
          <w:color w:val="000000"/>
          <w:sz w:val="24"/>
          <w:szCs w:val="24"/>
        </w:rPr>
        <w:t>analyzovali predikčnú schopnosť modelu LSTM, pričom použili dáta Nifty50 spolu so sentimentom z Twitteru. Zahrnutie sentimentových dát zvýšilo presnosť predikcií modelu z 95,22% na 98,32%. Výsledky teda naznačujú predikčnú hodnotu sentimentových dát pre modely ako LSTM.</w:t>
      </w:r>
    </w:p>
    <w:p w14:paraId="7B84B7FC" w14:textId="77777777" w:rsidR="005479AE" w:rsidRDefault="00C54CA5" w:rsidP="005479AE">
      <w:pPr>
        <w:keepNext/>
        <w:spacing w:line="360" w:lineRule="auto"/>
        <w:jc w:val="center"/>
      </w:pPr>
      <w:r w:rsidRPr="00C54CA5">
        <w:rPr>
          <w:rFonts w:ascii="Times New Roman" w:hAnsi="Times New Roman" w:cs="Times New Roman"/>
          <w:color w:val="000000"/>
          <w:sz w:val="24"/>
          <w:szCs w:val="24"/>
        </w:rPr>
        <w:lastRenderedPageBreak/>
        <w:drawing>
          <wp:inline distT="0" distB="0" distL="0" distR="0" wp14:anchorId="190DBA72" wp14:editId="0D777BE6">
            <wp:extent cx="5324034" cy="2026763"/>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0566" cy="2036863"/>
                    </a:xfrm>
                    <a:prstGeom prst="rect">
                      <a:avLst/>
                    </a:prstGeom>
                  </pic:spPr>
                </pic:pic>
              </a:graphicData>
            </a:graphic>
          </wp:inline>
        </w:drawing>
      </w:r>
    </w:p>
    <w:p w14:paraId="61DA5E0A" w14:textId="578E6C77" w:rsidR="00C54CA5" w:rsidRDefault="005479AE" w:rsidP="005479AE">
      <w:pPr>
        <w:pStyle w:val="Popis"/>
        <w:rPr>
          <w:rFonts w:ascii="Calibri" w:hAnsi="Calibri"/>
          <w:i w:val="0"/>
          <w:iCs w:val="0"/>
          <w:color w:val="000000"/>
          <w:sz w:val="20"/>
          <w:szCs w:val="20"/>
        </w:rPr>
      </w:pPr>
      <w:r w:rsidRPr="005479AE">
        <w:rPr>
          <w:b/>
          <w:bCs/>
          <w:i w:val="0"/>
          <w:iCs w:val="0"/>
          <w:color w:val="000000" w:themeColor="text1"/>
          <w:sz w:val="20"/>
          <w:szCs w:val="20"/>
        </w:rPr>
        <w:t>Fig 4</w:t>
      </w:r>
      <w:r w:rsidRPr="005479AE">
        <w:rPr>
          <w:i w:val="0"/>
          <w:iCs w:val="0"/>
          <w:color w:val="000000" w:themeColor="text1"/>
          <w:sz w:val="20"/>
          <w:szCs w:val="20"/>
        </w:rPr>
        <w:t xml:space="preserve">: Volatility forecasting: overall performance of different regression models. </w:t>
      </w:r>
      <w:sdt>
        <w:sdtPr>
          <w:rPr>
            <w:rFonts w:ascii="Calibri" w:hAnsi="Calibri"/>
            <w:i w:val="0"/>
            <w:iCs w:val="0"/>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DefaultPlaceholder_-1854013440"/>
          </w:placeholder>
        </w:sdtPr>
        <w:sdtContent>
          <w:r w:rsidR="00671C8E" w:rsidRPr="00671C8E">
            <w:rPr>
              <w:rFonts w:ascii="Calibri" w:hAnsi="Calibri"/>
              <w:i w:val="0"/>
              <w:iCs w:val="0"/>
              <w:color w:val="000000"/>
              <w:sz w:val="20"/>
              <w:szCs w:val="20"/>
            </w:rPr>
            <w:t>(C. Yang et al., 2023)</w:t>
          </w:r>
        </w:sdtContent>
      </w:sdt>
    </w:p>
    <w:p w14:paraId="3D416683" w14:textId="77777777" w:rsidR="005479AE" w:rsidRPr="005479AE" w:rsidRDefault="005479AE" w:rsidP="005479AE"/>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Discussion</w:t>
      </w:r>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(placeholder)</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Conclusion</w:t>
      </w:r>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(placeholder)</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588A7B31" w14:textId="77777777" w:rsidR="00487687" w:rsidRPr="00871211" w:rsidRDefault="00487687" w:rsidP="00DF78FA">
      <w:pPr>
        <w:spacing w:line="360" w:lineRule="auto"/>
        <w:jc w:val="both"/>
        <w:rPr>
          <w:rFonts w:ascii="Times New Roman" w:hAnsi="Times New Roman" w:cs="Times New Roman"/>
          <w:i/>
          <w:iCs/>
          <w:sz w:val="24"/>
          <w:szCs w:val="24"/>
        </w:rPr>
      </w:pPr>
    </w:p>
    <w:p w14:paraId="795E8D52" w14:textId="77777777" w:rsidR="00487687" w:rsidRPr="00871211" w:rsidRDefault="00487687" w:rsidP="00DF78FA">
      <w:pPr>
        <w:spacing w:line="360" w:lineRule="auto"/>
        <w:jc w:val="both"/>
        <w:rPr>
          <w:rFonts w:ascii="Times New Roman" w:hAnsi="Times New Roman" w:cs="Times New Roman"/>
          <w:i/>
          <w:iCs/>
          <w:sz w:val="24"/>
          <w:szCs w:val="24"/>
        </w:rPr>
      </w:pPr>
    </w:p>
    <w:p w14:paraId="0137B478" w14:textId="77777777" w:rsidR="00487687" w:rsidRPr="00871211" w:rsidRDefault="00487687" w:rsidP="00DF78FA">
      <w:pPr>
        <w:spacing w:line="360" w:lineRule="auto"/>
        <w:jc w:val="both"/>
        <w:rPr>
          <w:rFonts w:ascii="Times New Roman" w:hAnsi="Times New Roman" w:cs="Times New Roman"/>
          <w:i/>
          <w:iCs/>
          <w:sz w:val="24"/>
          <w:szCs w:val="24"/>
        </w:rPr>
      </w:pPr>
    </w:p>
    <w:p w14:paraId="63E38A4E" w14:textId="77777777" w:rsidR="00487687" w:rsidRPr="00871211" w:rsidRDefault="00487687" w:rsidP="00DF78FA">
      <w:pPr>
        <w:spacing w:line="360" w:lineRule="auto"/>
        <w:jc w:val="both"/>
        <w:rPr>
          <w:rFonts w:ascii="Times New Roman" w:hAnsi="Times New Roman" w:cs="Times New Roman"/>
          <w:i/>
          <w:iCs/>
          <w:sz w:val="24"/>
          <w:szCs w:val="24"/>
        </w:rPr>
      </w:pPr>
    </w:p>
    <w:p w14:paraId="7B16A895" w14:textId="77777777" w:rsidR="00487687" w:rsidRPr="00871211" w:rsidRDefault="00487687" w:rsidP="00DF78FA">
      <w:pPr>
        <w:spacing w:line="360" w:lineRule="auto"/>
        <w:jc w:val="both"/>
        <w:rPr>
          <w:rFonts w:ascii="Times New Roman" w:hAnsi="Times New Roman" w:cs="Times New Roman"/>
          <w:i/>
          <w:iCs/>
          <w:sz w:val="24"/>
          <w:szCs w:val="24"/>
        </w:rPr>
      </w:pPr>
    </w:p>
    <w:p w14:paraId="69A9981C" w14:textId="77777777" w:rsidR="00487687" w:rsidRPr="00871211" w:rsidRDefault="00487687" w:rsidP="00DF78FA">
      <w:pPr>
        <w:spacing w:line="360" w:lineRule="auto"/>
        <w:jc w:val="both"/>
        <w:rPr>
          <w:rFonts w:ascii="Times New Roman" w:hAnsi="Times New Roman" w:cs="Times New Roman"/>
          <w:i/>
          <w:iCs/>
          <w:sz w:val="24"/>
          <w:szCs w:val="24"/>
        </w:rPr>
      </w:pPr>
    </w:p>
    <w:p w14:paraId="0F356CEC" w14:textId="77777777" w:rsidR="00487687" w:rsidRPr="00871211" w:rsidRDefault="00487687" w:rsidP="00DF78FA">
      <w:pPr>
        <w:spacing w:line="360" w:lineRule="auto"/>
        <w:jc w:val="both"/>
        <w:rPr>
          <w:rFonts w:ascii="Times New Roman" w:hAnsi="Times New Roman" w:cs="Times New Roman"/>
          <w:i/>
          <w:iCs/>
          <w:sz w:val="24"/>
          <w:szCs w:val="24"/>
        </w:rPr>
      </w:pPr>
    </w:p>
    <w:p w14:paraId="17091C66" w14:textId="77777777" w:rsidR="00487687" w:rsidRPr="00871211" w:rsidRDefault="00487687" w:rsidP="00DF78FA">
      <w:pPr>
        <w:spacing w:line="360" w:lineRule="auto"/>
        <w:jc w:val="both"/>
        <w:rPr>
          <w:rFonts w:ascii="Times New Roman" w:hAnsi="Times New Roman" w:cs="Times New Roman"/>
          <w:i/>
          <w:iCs/>
          <w:sz w:val="24"/>
          <w:szCs w:val="24"/>
        </w:rPr>
      </w:pPr>
    </w:p>
    <w:p w14:paraId="527AB911" w14:textId="77777777" w:rsidR="00487687" w:rsidRPr="00871211" w:rsidRDefault="00487687" w:rsidP="00DF78FA">
      <w:pPr>
        <w:spacing w:line="360" w:lineRule="auto"/>
        <w:jc w:val="both"/>
        <w:rPr>
          <w:rFonts w:ascii="Times New Roman" w:hAnsi="Times New Roman" w:cs="Times New Roman"/>
          <w:i/>
          <w:iCs/>
          <w:sz w:val="24"/>
          <w:szCs w:val="24"/>
        </w:rPr>
      </w:pPr>
    </w:p>
    <w:p w14:paraId="1B35AB96" w14:textId="77777777" w:rsidR="00487687" w:rsidRPr="00871211" w:rsidRDefault="00487687" w:rsidP="00DF78FA">
      <w:pPr>
        <w:spacing w:line="360" w:lineRule="auto"/>
        <w:jc w:val="both"/>
        <w:rPr>
          <w:rFonts w:ascii="Times New Roman" w:hAnsi="Times New Roman" w:cs="Times New Roman"/>
          <w:i/>
          <w:iCs/>
          <w:sz w:val="24"/>
          <w:szCs w:val="24"/>
        </w:rPr>
      </w:pPr>
    </w:p>
    <w:p w14:paraId="43EBC69E" w14:textId="77777777" w:rsidR="007C657C" w:rsidRPr="00871211" w:rsidRDefault="007C657C" w:rsidP="00DF78FA">
      <w:pPr>
        <w:spacing w:line="360" w:lineRule="auto"/>
        <w:jc w:val="both"/>
        <w:rPr>
          <w:rFonts w:ascii="Times New Roman" w:hAnsi="Times New Roman" w:cs="Times New Roman"/>
          <w:i/>
          <w:iCs/>
          <w:sz w:val="24"/>
          <w:szCs w:val="24"/>
        </w:rPr>
      </w:pPr>
    </w:p>
    <w:p w14:paraId="0036336B" w14:textId="77777777" w:rsidR="007C657C" w:rsidRPr="00871211" w:rsidRDefault="007C657C" w:rsidP="00DF78FA">
      <w:pPr>
        <w:spacing w:line="360" w:lineRule="auto"/>
        <w:jc w:val="both"/>
        <w:rPr>
          <w:rFonts w:ascii="Times New Roman" w:hAnsi="Times New Roman" w:cs="Times New Roman"/>
          <w:i/>
          <w:iCs/>
          <w:sz w:val="24"/>
          <w:szCs w:val="24"/>
        </w:rPr>
      </w:pPr>
    </w:p>
    <w:p w14:paraId="7217F0FB" w14:textId="77777777" w:rsidR="007C657C" w:rsidRPr="00871211" w:rsidRDefault="007C657C" w:rsidP="00DF78FA">
      <w:pPr>
        <w:spacing w:line="360" w:lineRule="auto"/>
        <w:jc w:val="both"/>
        <w:rPr>
          <w:rFonts w:ascii="Times New Roman" w:hAnsi="Times New Roman" w:cs="Times New Roman"/>
          <w:i/>
          <w:iCs/>
          <w:sz w:val="24"/>
          <w:szCs w:val="24"/>
        </w:rPr>
      </w:pPr>
    </w:p>
    <w:p w14:paraId="4CBA6F79" w14:textId="77777777" w:rsidR="007C657C" w:rsidRPr="00871211" w:rsidRDefault="007C657C" w:rsidP="00DF78FA">
      <w:pPr>
        <w:spacing w:line="360" w:lineRule="auto"/>
        <w:jc w:val="both"/>
        <w:rPr>
          <w:rFonts w:ascii="Times New Roman" w:hAnsi="Times New Roman" w:cs="Times New Roman"/>
          <w:i/>
          <w:iCs/>
          <w:sz w:val="24"/>
          <w:szCs w:val="24"/>
        </w:rPr>
      </w:pPr>
    </w:p>
    <w:p w14:paraId="42C3511E" w14:textId="77777777" w:rsidR="007C657C" w:rsidRPr="00871211" w:rsidRDefault="007C657C" w:rsidP="00DF78FA">
      <w:pPr>
        <w:spacing w:line="360" w:lineRule="auto"/>
        <w:jc w:val="both"/>
        <w:rPr>
          <w:rFonts w:ascii="Times New Roman" w:hAnsi="Times New Roman" w:cs="Times New Roman"/>
          <w:i/>
          <w:iCs/>
          <w:sz w:val="24"/>
          <w:szCs w:val="24"/>
        </w:rPr>
      </w:pPr>
    </w:p>
    <w:p w14:paraId="0F7A232C" w14:textId="77777777" w:rsidR="007C657C" w:rsidRPr="00871211" w:rsidRDefault="007C657C" w:rsidP="00DF78FA">
      <w:pPr>
        <w:spacing w:line="360" w:lineRule="auto"/>
        <w:jc w:val="both"/>
        <w:rPr>
          <w:rFonts w:ascii="Times New Roman" w:hAnsi="Times New Roman" w:cs="Times New Roman"/>
          <w:i/>
          <w:iCs/>
          <w:sz w:val="24"/>
          <w:szCs w:val="24"/>
        </w:rPr>
      </w:pPr>
    </w:p>
    <w:p w14:paraId="40C53A99" w14:textId="77777777" w:rsidR="007C657C" w:rsidRPr="00871211" w:rsidRDefault="007C657C" w:rsidP="00DF78FA">
      <w:pPr>
        <w:spacing w:line="360" w:lineRule="auto"/>
        <w:jc w:val="both"/>
        <w:rPr>
          <w:rFonts w:ascii="Times New Roman" w:hAnsi="Times New Roman" w:cs="Times New Roman"/>
          <w:i/>
          <w:iCs/>
          <w:sz w:val="24"/>
          <w:szCs w:val="24"/>
        </w:rPr>
      </w:pPr>
    </w:p>
    <w:p w14:paraId="0030D9FE" w14:textId="77777777" w:rsidR="007C657C" w:rsidRPr="00871211" w:rsidRDefault="007C657C" w:rsidP="00DF78FA">
      <w:pPr>
        <w:spacing w:line="360" w:lineRule="auto"/>
        <w:jc w:val="both"/>
        <w:rPr>
          <w:rFonts w:ascii="Times New Roman" w:hAnsi="Times New Roman" w:cs="Times New Roman"/>
          <w:i/>
          <w:iCs/>
          <w:sz w:val="24"/>
          <w:szCs w:val="24"/>
        </w:rPr>
      </w:pPr>
    </w:p>
    <w:p w14:paraId="22DF7224" w14:textId="77777777" w:rsidR="007C657C" w:rsidRPr="00871211" w:rsidRDefault="007C657C" w:rsidP="00DF78FA">
      <w:pPr>
        <w:spacing w:line="360" w:lineRule="auto"/>
        <w:jc w:val="both"/>
        <w:rPr>
          <w:rFonts w:ascii="Times New Roman" w:hAnsi="Times New Roman" w:cs="Times New Roman"/>
          <w:i/>
          <w:iCs/>
          <w:sz w:val="24"/>
          <w:szCs w:val="24"/>
        </w:rPr>
      </w:pPr>
    </w:p>
    <w:p w14:paraId="0A716A23" w14:textId="33F59581" w:rsidR="007C657C" w:rsidRDefault="007C657C" w:rsidP="00DF78FA">
      <w:pPr>
        <w:spacing w:line="360" w:lineRule="auto"/>
        <w:jc w:val="both"/>
        <w:rPr>
          <w:rFonts w:ascii="Times New Roman" w:hAnsi="Times New Roman" w:cs="Times New Roman"/>
          <w:i/>
          <w:iCs/>
          <w:sz w:val="24"/>
          <w:szCs w:val="24"/>
        </w:rPr>
      </w:pPr>
    </w:p>
    <w:p w14:paraId="6F755266" w14:textId="41D97129" w:rsidR="00493B22" w:rsidRDefault="00493B22" w:rsidP="00DF78FA">
      <w:pPr>
        <w:spacing w:line="360" w:lineRule="auto"/>
        <w:jc w:val="both"/>
        <w:rPr>
          <w:rFonts w:ascii="Times New Roman" w:hAnsi="Times New Roman" w:cs="Times New Roman"/>
          <w:i/>
          <w:iCs/>
          <w:sz w:val="24"/>
          <w:szCs w:val="24"/>
        </w:rPr>
      </w:pPr>
    </w:p>
    <w:p w14:paraId="4DD700CB" w14:textId="4C464FDA" w:rsidR="00493B22" w:rsidRDefault="00493B22" w:rsidP="00DF78FA">
      <w:pPr>
        <w:spacing w:line="360" w:lineRule="auto"/>
        <w:jc w:val="both"/>
        <w:rPr>
          <w:rFonts w:ascii="Times New Roman" w:hAnsi="Times New Roman" w:cs="Times New Roman"/>
          <w:i/>
          <w:iCs/>
          <w:sz w:val="24"/>
          <w:szCs w:val="24"/>
        </w:rPr>
      </w:pPr>
    </w:p>
    <w:p w14:paraId="40722B72" w14:textId="76F998AA" w:rsidR="00493B22" w:rsidRDefault="00493B22" w:rsidP="00DF78FA">
      <w:pPr>
        <w:spacing w:line="360" w:lineRule="auto"/>
        <w:jc w:val="both"/>
        <w:rPr>
          <w:rFonts w:ascii="Times New Roman" w:hAnsi="Times New Roman" w:cs="Times New Roman"/>
          <w:i/>
          <w:iCs/>
          <w:sz w:val="24"/>
          <w:szCs w:val="24"/>
        </w:rPr>
      </w:pPr>
    </w:p>
    <w:p w14:paraId="6062B34F" w14:textId="4585B9C9" w:rsidR="00493B22" w:rsidRDefault="00493B22" w:rsidP="00DF78FA">
      <w:pPr>
        <w:spacing w:line="360" w:lineRule="auto"/>
        <w:jc w:val="both"/>
        <w:rPr>
          <w:rFonts w:ascii="Times New Roman" w:hAnsi="Times New Roman" w:cs="Times New Roman"/>
          <w:i/>
          <w:iCs/>
          <w:sz w:val="24"/>
          <w:szCs w:val="24"/>
        </w:rPr>
      </w:pPr>
    </w:p>
    <w:p w14:paraId="363536ED" w14:textId="77777777" w:rsidR="00493B22" w:rsidRPr="00871211" w:rsidRDefault="00493B22"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References</w:t>
      </w:r>
    </w:p>
    <w:sdt>
      <w:sdtPr>
        <w:rPr>
          <w:rFonts w:ascii="Calibri" w:hAnsi="Calibri" w:cs="Times New Roman"/>
          <w:color w:val="000000"/>
        </w:rPr>
        <w:tag w:val="MENDELEY_BIBLIOGRAPHY"/>
        <w:id w:val="372123619"/>
        <w:placeholder>
          <w:docPart w:val="7FC6CC3BF5F4456297C11DB1A27F949C"/>
        </w:placeholder>
      </w:sdtPr>
      <w:sdtContent>
        <w:p w14:paraId="046D7C56" w14:textId="77777777" w:rsidR="00671C8E" w:rsidRPr="00671C8E" w:rsidRDefault="00671C8E">
          <w:pPr>
            <w:autoSpaceDE w:val="0"/>
            <w:autoSpaceDN w:val="0"/>
            <w:ind w:hanging="480"/>
            <w:divId w:val="293681636"/>
            <w:rPr>
              <w:rFonts w:ascii="Calibri" w:eastAsia="Times New Roman" w:hAnsi="Calibri"/>
              <w:color w:val="000000"/>
              <w:szCs w:val="24"/>
            </w:rPr>
          </w:pPr>
          <w:r w:rsidRPr="00671C8E">
            <w:rPr>
              <w:rFonts w:ascii="Calibri" w:eastAsia="Times New Roman" w:hAnsi="Calibri"/>
              <w:color w:val="000000"/>
            </w:rPr>
            <w:t>Aslam, F., Ferreira, P., Mughal, K.S., Bashir, B., 2021. International Journal of Financial Studies 2021, Vol. 9, Page 5 9, 5.</w:t>
          </w:r>
        </w:p>
        <w:p w14:paraId="77479CF2" w14:textId="77777777" w:rsidR="00671C8E" w:rsidRPr="00671C8E" w:rsidRDefault="00671C8E">
          <w:pPr>
            <w:autoSpaceDE w:val="0"/>
            <w:autoSpaceDN w:val="0"/>
            <w:ind w:hanging="480"/>
            <w:divId w:val="1813794805"/>
            <w:rPr>
              <w:rFonts w:ascii="Calibri" w:eastAsia="Times New Roman" w:hAnsi="Calibri"/>
              <w:color w:val="000000"/>
            </w:rPr>
          </w:pPr>
          <w:r w:rsidRPr="00671C8E">
            <w:rPr>
              <w:rFonts w:ascii="Calibri" w:eastAsia="Times New Roman" w:hAnsi="Calibri"/>
              <w:color w:val="000000"/>
            </w:rPr>
            <w:lastRenderedPageBreak/>
            <w:t>Baek, S., Mohanty, S.K., Glambosky, M., 2020. Financ. Res. Lett. 37, 101748.</w:t>
          </w:r>
        </w:p>
        <w:p w14:paraId="115CE87A" w14:textId="77777777" w:rsidR="00671C8E" w:rsidRPr="00671C8E" w:rsidRDefault="00671C8E">
          <w:pPr>
            <w:autoSpaceDE w:val="0"/>
            <w:autoSpaceDN w:val="0"/>
            <w:ind w:hanging="480"/>
            <w:divId w:val="112948219"/>
            <w:rPr>
              <w:rFonts w:ascii="Calibri" w:eastAsia="Times New Roman" w:hAnsi="Calibri"/>
              <w:color w:val="000000"/>
            </w:rPr>
          </w:pPr>
          <w:r w:rsidRPr="00671C8E">
            <w:rPr>
              <w:rFonts w:ascii="Calibri" w:eastAsia="Times New Roman" w:hAnsi="Calibri"/>
              <w:color w:val="000000"/>
            </w:rPr>
            <w:t>Bouteska, A., Harasheh, M., Abedin, M.Z., 2023. Res. Int. Bus. Finance 66, 102028.</w:t>
          </w:r>
        </w:p>
        <w:p w14:paraId="344F4DD6" w14:textId="77777777" w:rsidR="00671C8E" w:rsidRPr="00671C8E" w:rsidRDefault="00671C8E">
          <w:pPr>
            <w:autoSpaceDE w:val="0"/>
            <w:autoSpaceDN w:val="0"/>
            <w:ind w:hanging="480"/>
            <w:divId w:val="467473351"/>
            <w:rPr>
              <w:rFonts w:ascii="Calibri" w:eastAsia="Times New Roman" w:hAnsi="Calibri"/>
              <w:color w:val="000000"/>
            </w:rPr>
          </w:pPr>
          <w:r w:rsidRPr="00671C8E">
            <w:rPr>
              <w:rFonts w:ascii="Calibri" w:eastAsia="Times New Roman" w:hAnsi="Calibri"/>
              <w:color w:val="000000"/>
            </w:rPr>
            <w:t>Caiado, J., Lúcio, F., 2023. The North American Journal of Economics and Finance 68, 101971.</w:t>
          </w:r>
        </w:p>
        <w:p w14:paraId="6169E973" w14:textId="77777777" w:rsidR="00671C8E" w:rsidRPr="00671C8E" w:rsidRDefault="00671C8E">
          <w:pPr>
            <w:autoSpaceDE w:val="0"/>
            <w:autoSpaceDN w:val="0"/>
            <w:ind w:hanging="480"/>
            <w:divId w:val="950862615"/>
            <w:rPr>
              <w:rFonts w:ascii="Calibri" w:eastAsia="Times New Roman" w:hAnsi="Calibri"/>
              <w:color w:val="000000"/>
            </w:rPr>
          </w:pPr>
          <w:r w:rsidRPr="00671C8E">
            <w:rPr>
              <w:rFonts w:ascii="Calibri" w:eastAsia="Times New Roman" w:hAnsi="Calibri"/>
              <w:color w:val="000000"/>
            </w:rPr>
            <w:t>Chandra, R., He, Y., 2021. PLoS One 16, e0253217.</w:t>
          </w:r>
        </w:p>
        <w:p w14:paraId="372DD165" w14:textId="77777777" w:rsidR="00671C8E" w:rsidRPr="00671C8E" w:rsidRDefault="00671C8E">
          <w:pPr>
            <w:autoSpaceDE w:val="0"/>
            <w:autoSpaceDN w:val="0"/>
            <w:ind w:hanging="480"/>
            <w:divId w:val="211426292"/>
            <w:rPr>
              <w:rFonts w:ascii="Calibri" w:eastAsia="Times New Roman" w:hAnsi="Calibri"/>
              <w:color w:val="000000"/>
            </w:rPr>
          </w:pPr>
          <w:r w:rsidRPr="00671C8E">
            <w:rPr>
              <w:rFonts w:ascii="Calibri" w:eastAsia="Times New Roman" w:hAnsi="Calibri"/>
              <w:color w:val="000000"/>
            </w:rPr>
            <w:t>Chaudhary, R., Bakhshi, P., Gupta, H., 2020. Journal of Risk and Financial Management 2020, Vol. 13, Page 208 13, 208.</w:t>
          </w:r>
        </w:p>
        <w:p w14:paraId="73C6E9C1" w14:textId="77777777" w:rsidR="00671C8E" w:rsidRPr="00671C8E" w:rsidRDefault="00671C8E">
          <w:pPr>
            <w:autoSpaceDE w:val="0"/>
            <w:autoSpaceDN w:val="0"/>
            <w:ind w:hanging="480"/>
            <w:divId w:val="2020037325"/>
            <w:rPr>
              <w:rFonts w:ascii="Calibri" w:eastAsia="Times New Roman" w:hAnsi="Calibri"/>
              <w:color w:val="000000"/>
            </w:rPr>
          </w:pPr>
          <w:r w:rsidRPr="00671C8E">
            <w:rPr>
              <w:rFonts w:ascii="Calibri" w:eastAsia="Times New Roman" w:hAnsi="Calibri"/>
              <w:color w:val="000000"/>
            </w:rPr>
            <w:t>Chirilǎ Viorica, Chirilǎ Ciprian, 2022. Journal of Business Economics and Management 19.</w:t>
          </w:r>
        </w:p>
        <w:p w14:paraId="310277B1" w14:textId="77777777" w:rsidR="00671C8E" w:rsidRPr="00671C8E" w:rsidRDefault="00671C8E">
          <w:pPr>
            <w:autoSpaceDE w:val="0"/>
            <w:autoSpaceDN w:val="0"/>
            <w:ind w:hanging="480"/>
            <w:divId w:val="342325379"/>
            <w:rPr>
              <w:rFonts w:ascii="Calibri" w:eastAsia="Times New Roman" w:hAnsi="Calibri"/>
              <w:color w:val="000000"/>
            </w:rPr>
          </w:pPr>
          <w:r w:rsidRPr="00671C8E">
            <w:rPr>
              <w:rFonts w:ascii="Calibri" w:eastAsia="Times New Roman" w:hAnsi="Calibri"/>
              <w:color w:val="000000"/>
            </w:rPr>
            <w:t>Covid, M., De la Torre-Torres, O. V, de la Cruz del Río-Rama, M., Antonio Núñez-Mora, J., Joaquín Santillán-Salgado, R., Iván Contreras-Valdez, M., America Canada, N., America Brazil, S., Japan, A., Korea, S., Kong, H., 2022. Mathematics 2022, Vol. 10, Page 1353 10, 1353.</w:t>
          </w:r>
        </w:p>
        <w:p w14:paraId="46B68E67" w14:textId="77777777" w:rsidR="00671C8E" w:rsidRPr="00671C8E" w:rsidRDefault="00671C8E">
          <w:pPr>
            <w:autoSpaceDE w:val="0"/>
            <w:autoSpaceDN w:val="0"/>
            <w:ind w:hanging="480"/>
            <w:divId w:val="1690522379"/>
            <w:rPr>
              <w:rFonts w:ascii="Calibri" w:eastAsia="Times New Roman" w:hAnsi="Calibri"/>
              <w:color w:val="000000"/>
            </w:rPr>
          </w:pPr>
          <w:r w:rsidRPr="00671C8E">
            <w:rPr>
              <w:rFonts w:ascii="Calibri" w:eastAsia="Times New Roman" w:hAnsi="Calibri"/>
              <w:color w:val="000000"/>
            </w:rPr>
            <w:t>Das, N., Sadhukhan, B., Chatterjee, T., Chakrabarti, S., 2022. Social Network Analysis and Mining 2022 12:1 12, 92-.</w:t>
          </w:r>
        </w:p>
        <w:p w14:paraId="6481DBBC" w14:textId="77777777" w:rsidR="00671C8E" w:rsidRPr="00671C8E" w:rsidRDefault="00671C8E">
          <w:pPr>
            <w:autoSpaceDE w:val="0"/>
            <w:autoSpaceDN w:val="0"/>
            <w:ind w:hanging="480"/>
            <w:divId w:val="1577662163"/>
            <w:rPr>
              <w:rFonts w:ascii="Calibri" w:eastAsia="Times New Roman" w:hAnsi="Calibri"/>
              <w:color w:val="000000"/>
            </w:rPr>
          </w:pPr>
          <w:r w:rsidRPr="00671C8E">
            <w:rPr>
              <w:rFonts w:ascii="Calibri" w:eastAsia="Times New Roman" w:hAnsi="Calibri"/>
              <w:color w:val="000000"/>
            </w:rPr>
            <w:t>Deev, O., Plíhal, T., 2022. Res. Int. Bus. Finance 60, 101613.</w:t>
          </w:r>
        </w:p>
        <w:p w14:paraId="64D79EBA" w14:textId="77777777" w:rsidR="00671C8E" w:rsidRPr="00671C8E" w:rsidRDefault="00671C8E">
          <w:pPr>
            <w:autoSpaceDE w:val="0"/>
            <w:autoSpaceDN w:val="0"/>
            <w:ind w:hanging="480"/>
            <w:divId w:val="1105468585"/>
            <w:rPr>
              <w:rFonts w:ascii="Calibri" w:eastAsia="Times New Roman" w:hAnsi="Calibri"/>
              <w:color w:val="000000"/>
            </w:rPr>
          </w:pPr>
          <w:r w:rsidRPr="00671C8E">
            <w:rPr>
              <w:rFonts w:ascii="Calibri" w:eastAsia="Times New Roman" w:hAnsi="Calibri"/>
              <w:color w:val="000000"/>
            </w:rPr>
            <w:t>Duttilo, P., Antonio Gattone, S., Di Battista, T., Alberto Ferreira, M.M., Carfì, D., 2021. Mathematics 2021, Vol. 9, Page 1212 9, 1212.</w:t>
          </w:r>
        </w:p>
        <w:p w14:paraId="3EF120D5" w14:textId="77777777" w:rsidR="00671C8E" w:rsidRPr="00671C8E" w:rsidRDefault="00671C8E">
          <w:pPr>
            <w:autoSpaceDE w:val="0"/>
            <w:autoSpaceDN w:val="0"/>
            <w:ind w:hanging="480"/>
            <w:divId w:val="505483455"/>
            <w:rPr>
              <w:rFonts w:ascii="Calibri" w:eastAsia="Times New Roman" w:hAnsi="Calibri"/>
              <w:color w:val="000000"/>
            </w:rPr>
          </w:pPr>
          <w:r w:rsidRPr="00671C8E">
            <w:rPr>
              <w:rFonts w:ascii="Calibri" w:eastAsia="Times New Roman" w:hAnsi="Calibri"/>
              <w:color w:val="000000"/>
            </w:rPr>
            <w:t>Fei, F., Zhang, J., 2023. Cogent Economics and Finance 11.</w:t>
          </w:r>
        </w:p>
        <w:p w14:paraId="43856E5C" w14:textId="77777777" w:rsidR="00671C8E" w:rsidRPr="00671C8E" w:rsidRDefault="00671C8E">
          <w:pPr>
            <w:autoSpaceDE w:val="0"/>
            <w:autoSpaceDN w:val="0"/>
            <w:ind w:hanging="480"/>
            <w:divId w:val="2025085721"/>
            <w:rPr>
              <w:rFonts w:ascii="Calibri" w:eastAsia="Times New Roman" w:hAnsi="Calibri"/>
              <w:color w:val="000000"/>
            </w:rPr>
          </w:pPr>
          <w:r w:rsidRPr="00671C8E">
            <w:rPr>
              <w:rFonts w:ascii="Calibri" w:eastAsia="Times New Roman" w:hAnsi="Calibri"/>
              <w:color w:val="000000"/>
            </w:rPr>
            <w:t>Ge, Q., 2025. Expert Syst. Appl. 260, 125380.</w:t>
          </w:r>
        </w:p>
        <w:p w14:paraId="70E7973C" w14:textId="77777777" w:rsidR="00671C8E" w:rsidRPr="00671C8E" w:rsidRDefault="00671C8E">
          <w:pPr>
            <w:autoSpaceDE w:val="0"/>
            <w:autoSpaceDN w:val="0"/>
            <w:ind w:hanging="480"/>
            <w:divId w:val="1865098458"/>
            <w:rPr>
              <w:rFonts w:ascii="Calibri" w:eastAsia="Times New Roman" w:hAnsi="Calibri"/>
              <w:color w:val="000000"/>
            </w:rPr>
          </w:pPr>
          <w:r w:rsidRPr="00671C8E">
            <w:rPr>
              <w:rFonts w:ascii="Calibri" w:eastAsia="Times New Roman" w:hAnsi="Calibri"/>
              <w:color w:val="000000"/>
            </w:rPr>
            <w:t>Gheorghe, C., Panazan, O., Gheorghe, C., Panazan, O., 2024. Journal of Business Economics and Management 25, 129–152.</w:t>
          </w:r>
        </w:p>
        <w:p w14:paraId="7FA1D480" w14:textId="77777777" w:rsidR="00671C8E" w:rsidRPr="00671C8E" w:rsidRDefault="00671C8E">
          <w:pPr>
            <w:autoSpaceDE w:val="0"/>
            <w:autoSpaceDN w:val="0"/>
            <w:ind w:hanging="480"/>
            <w:divId w:val="1570456364"/>
            <w:rPr>
              <w:rFonts w:ascii="Calibri" w:eastAsia="Times New Roman" w:hAnsi="Calibri"/>
              <w:color w:val="000000"/>
            </w:rPr>
          </w:pPr>
          <w:r w:rsidRPr="00671C8E">
            <w:rPr>
              <w:rFonts w:ascii="Calibri" w:eastAsia="Times New Roman" w:hAnsi="Calibri"/>
              <w:color w:val="000000"/>
            </w:rPr>
            <w:t>Hong, H., Bian, Z., Lee, C.C., 2021. Financial Innovation 2021 7:1 7, 12-.</w:t>
          </w:r>
        </w:p>
        <w:p w14:paraId="7E622E81" w14:textId="77777777" w:rsidR="00671C8E" w:rsidRPr="00671C8E" w:rsidRDefault="00671C8E">
          <w:pPr>
            <w:autoSpaceDE w:val="0"/>
            <w:autoSpaceDN w:val="0"/>
            <w:ind w:hanging="480"/>
            <w:divId w:val="2058814858"/>
            <w:rPr>
              <w:rFonts w:ascii="Calibri" w:eastAsia="Times New Roman" w:hAnsi="Calibri"/>
              <w:color w:val="000000"/>
            </w:rPr>
          </w:pPr>
          <w:r w:rsidRPr="00671C8E">
            <w:rPr>
              <w:rFonts w:ascii="Calibri" w:eastAsia="Times New Roman" w:hAnsi="Calibri"/>
              <w:color w:val="000000"/>
            </w:rPr>
            <w:t>Kayani, U.N., Aysan, A.F., Khan, Mrestyal, Khan, Maaz, Mumtaz, R., Irfan, M., 2024. Heliyon 10, e25202.</w:t>
          </w:r>
        </w:p>
        <w:p w14:paraId="179EFC62" w14:textId="77777777" w:rsidR="00671C8E" w:rsidRPr="00671C8E" w:rsidRDefault="00671C8E">
          <w:pPr>
            <w:autoSpaceDE w:val="0"/>
            <w:autoSpaceDN w:val="0"/>
            <w:ind w:hanging="480"/>
            <w:divId w:val="269777117"/>
            <w:rPr>
              <w:rFonts w:ascii="Calibri" w:eastAsia="Times New Roman" w:hAnsi="Calibri"/>
              <w:color w:val="000000"/>
            </w:rPr>
          </w:pPr>
          <w:r w:rsidRPr="00671C8E">
            <w:rPr>
              <w:rFonts w:ascii="Calibri" w:eastAsia="Times New Roman" w:hAnsi="Calibri"/>
              <w:color w:val="000000"/>
            </w:rPr>
            <w:t>Kristjanpoller, W., Michell, K., Minutolo, M.C., 2024. International Journal of Finance &amp; Economics 29, 1972–1987.</w:t>
          </w:r>
        </w:p>
        <w:p w14:paraId="4944F645" w14:textId="77777777" w:rsidR="00671C8E" w:rsidRPr="00671C8E" w:rsidRDefault="00671C8E">
          <w:pPr>
            <w:autoSpaceDE w:val="0"/>
            <w:autoSpaceDN w:val="0"/>
            <w:ind w:hanging="480"/>
            <w:divId w:val="1755973198"/>
            <w:rPr>
              <w:rFonts w:ascii="Calibri" w:eastAsia="Times New Roman" w:hAnsi="Calibri"/>
              <w:color w:val="000000"/>
            </w:rPr>
          </w:pPr>
          <w:r w:rsidRPr="00671C8E">
            <w:rPr>
              <w:rFonts w:ascii="Calibri" w:eastAsia="Times New Roman" w:hAnsi="Calibri"/>
              <w:color w:val="000000"/>
            </w:rPr>
            <w:t>Li, H., Xu, G., Huang, Q., Ruan, R., Zhang, W., 2023. Computational Economics 2023 63:3 63, 1191–1212.</w:t>
          </w:r>
        </w:p>
        <w:p w14:paraId="75A89785" w14:textId="77777777" w:rsidR="00671C8E" w:rsidRPr="00671C8E" w:rsidRDefault="00671C8E">
          <w:pPr>
            <w:autoSpaceDE w:val="0"/>
            <w:autoSpaceDN w:val="0"/>
            <w:ind w:hanging="480"/>
            <w:divId w:val="1619603995"/>
            <w:rPr>
              <w:rFonts w:ascii="Calibri" w:eastAsia="Times New Roman" w:hAnsi="Calibri"/>
              <w:color w:val="000000"/>
            </w:rPr>
          </w:pPr>
          <w:r w:rsidRPr="00671C8E">
            <w:rPr>
              <w:rFonts w:ascii="Calibri" w:eastAsia="Times New Roman" w:hAnsi="Calibri"/>
              <w:color w:val="000000"/>
            </w:rPr>
            <w:t>Li, Y., Liang, C., Ma, F., Wang, J., 2020. Financ. Res. Lett. 36, 101749.</w:t>
          </w:r>
        </w:p>
        <w:p w14:paraId="5FC9BD14" w14:textId="77777777" w:rsidR="00671C8E" w:rsidRPr="00671C8E" w:rsidRDefault="00671C8E">
          <w:pPr>
            <w:autoSpaceDE w:val="0"/>
            <w:autoSpaceDN w:val="0"/>
            <w:ind w:hanging="480"/>
            <w:divId w:val="1126653838"/>
            <w:rPr>
              <w:rFonts w:ascii="Calibri" w:eastAsia="Times New Roman" w:hAnsi="Calibri"/>
              <w:color w:val="000000"/>
            </w:rPr>
          </w:pPr>
          <w:r w:rsidRPr="00671C8E">
            <w:rPr>
              <w:rFonts w:ascii="Calibri" w:eastAsia="Times New Roman" w:hAnsi="Calibri"/>
              <w:color w:val="000000"/>
            </w:rPr>
            <w:t>Lúcio, F., Caiado, J., 2022. Financ. Res. Lett. 49, 103141.</w:t>
          </w:r>
        </w:p>
        <w:p w14:paraId="59679A88" w14:textId="77777777" w:rsidR="00671C8E" w:rsidRPr="00671C8E" w:rsidRDefault="00671C8E">
          <w:pPr>
            <w:autoSpaceDE w:val="0"/>
            <w:autoSpaceDN w:val="0"/>
            <w:ind w:hanging="480"/>
            <w:divId w:val="1895307833"/>
            <w:rPr>
              <w:rFonts w:ascii="Calibri" w:eastAsia="Times New Roman" w:hAnsi="Calibri"/>
              <w:color w:val="000000"/>
            </w:rPr>
          </w:pPr>
          <w:r w:rsidRPr="00671C8E">
            <w:rPr>
              <w:rFonts w:ascii="Calibri" w:eastAsia="Times New Roman" w:hAnsi="Calibri"/>
              <w:color w:val="000000"/>
            </w:rPr>
            <w:t>Ma, J., Li, X., Liu, J., Cui, J., Zhang, M., Sriboonchitta, S., 2022. Axioms 2022, Vol. 11, Page 669 11, 669.</w:t>
          </w:r>
        </w:p>
        <w:p w14:paraId="76A02D51" w14:textId="77777777" w:rsidR="00671C8E" w:rsidRPr="00671C8E" w:rsidRDefault="00671C8E">
          <w:pPr>
            <w:autoSpaceDE w:val="0"/>
            <w:autoSpaceDN w:val="0"/>
            <w:ind w:hanging="480"/>
            <w:divId w:val="210196309"/>
            <w:rPr>
              <w:rFonts w:ascii="Calibri" w:eastAsia="Times New Roman" w:hAnsi="Calibri"/>
              <w:color w:val="000000"/>
            </w:rPr>
          </w:pPr>
          <w:r w:rsidRPr="00671C8E">
            <w:rPr>
              <w:rFonts w:ascii="Calibri" w:eastAsia="Times New Roman" w:hAnsi="Calibri"/>
              <w:color w:val="000000"/>
            </w:rPr>
            <w:t>Melina, Sukono, Napitupulu, H., Mohamed, N., 2023. Risks 2023, Vol. 11, Page 60 11, 60.</w:t>
          </w:r>
        </w:p>
        <w:p w14:paraId="79F77B6D" w14:textId="77777777" w:rsidR="00671C8E" w:rsidRPr="00671C8E" w:rsidRDefault="00671C8E">
          <w:pPr>
            <w:autoSpaceDE w:val="0"/>
            <w:autoSpaceDN w:val="0"/>
            <w:ind w:hanging="480"/>
            <w:divId w:val="214436117"/>
            <w:rPr>
              <w:rFonts w:ascii="Calibri" w:eastAsia="Times New Roman" w:hAnsi="Calibri"/>
              <w:color w:val="000000"/>
            </w:rPr>
          </w:pPr>
          <w:r w:rsidRPr="00671C8E">
            <w:rPr>
              <w:rFonts w:ascii="Calibri" w:eastAsia="Times New Roman" w:hAnsi="Calibri"/>
              <w:color w:val="000000"/>
            </w:rPr>
            <w:t>Mishra, A.K., Renganathan, J., Gupta, A., 2024. Eng. Appl. Artif. Intell. 133, 108223.</w:t>
          </w:r>
        </w:p>
        <w:p w14:paraId="2647004E" w14:textId="77777777" w:rsidR="00671C8E" w:rsidRPr="00671C8E" w:rsidRDefault="00671C8E">
          <w:pPr>
            <w:autoSpaceDE w:val="0"/>
            <w:autoSpaceDN w:val="0"/>
            <w:ind w:hanging="480"/>
            <w:divId w:val="1653439676"/>
            <w:rPr>
              <w:rFonts w:ascii="Calibri" w:eastAsia="Times New Roman" w:hAnsi="Calibri"/>
              <w:color w:val="000000"/>
            </w:rPr>
          </w:pPr>
          <w:r w:rsidRPr="00671C8E">
            <w:rPr>
              <w:rFonts w:ascii="Calibri" w:eastAsia="Times New Roman" w:hAnsi="Calibri"/>
              <w:color w:val="000000"/>
            </w:rPr>
            <w:t>Mora-Valencia, A., Ñíguez, T.-M., Ömer Ersin, Ö., Bildirici, M., 2023. Mathematics 2023, Vol. 11, Page 1785 11, 1785.</w:t>
          </w:r>
        </w:p>
        <w:p w14:paraId="0CE385FB" w14:textId="77777777" w:rsidR="00671C8E" w:rsidRPr="00671C8E" w:rsidRDefault="00671C8E">
          <w:pPr>
            <w:autoSpaceDE w:val="0"/>
            <w:autoSpaceDN w:val="0"/>
            <w:ind w:hanging="480"/>
            <w:divId w:val="1886260038"/>
            <w:rPr>
              <w:rFonts w:ascii="Calibri" w:eastAsia="Times New Roman" w:hAnsi="Calibri"/>
              <w:color w:val="000000"/>
            </w:rPr>
          </w:pPr>
          <w:r w:rsidRPr="00671C8E">
            <w:rPr>
              <w:rFonts w:ascii="Calibri" w:eastAsia="Times New Roman" w:hAnsi="Calibri"/>
              <w:color w:val="000000"/>
            </w:rPr>
            <w:lastRenderedPageBreak/>
            <w:t>Page, M.J., McKenzie, J.E., Bossuyt, P.M., Boutron, I., Hoffmann, T.C., Mulrow, C.D., Shamseer, L., Tetzlaff, J.M., Akl, E.A., Brennan, S.E., Chou, R., Glanville, J., Grimshaw, J.M., Hróbjartsson, A., Lalu, M.M., Li, T., Loder, E.W., Mayo-Wilson, E., McDonald, S., McGuinness, L.A., Stewart, L.A., Thomas, J., Tricco, A.C., Welch, V.A., Whiting, P., Moher, D., 2021. BMJ 372.</w:t>
          </w:r>
        </w:p>
        <w:p w14:paraId="0F97B944" w14:textId="77777777" w:rsidR="00671C8E" w:rsidRPr="00671C8E" w:rsidRDefault="00671C8E">
          <w:pPr>
            <w:autoSpaceDE w:val="0"/>
            <w:autoSpaceDN w:val="0"/>
            <w:ind w:hanging="480"/>
            <w:divId w:val="2063168089"/>
            <w:rPr>
              <w:rFonts w:ascii="Calibri" w:eastAsia="Times New Roman" w:hAnsi="Calibri"/>
              <w:color w:val="000000"/>
            </w:rPr>
          </w:pPr>
          <w:r w:rsidRPr="00671C8E">
            <w:rPr>
              <w:rFonts w:ascii="Calibri" w:eastAsia="Times New Roman" w:hAnsi="Calibri"/>
              <w:color w:val="000000"/>
            </w:rPr>
            <w:t>Rahman, M.M., Guotai, C., Das Gupta, A., Hossain, M., Abedin, M.Z., 2022. Economic Research-Ekonomska Istrazivanja 35, 3591–3608.</w:t>
          </w:r>
        </w:p>
        <w:p w14:paraId="4AAB1954" w14:textId="77777777" w:rsidR="00671C8E" w:rsidRPr="00671C8E" w:rsidRDefault="00671C8E">
          <w:pPr>
            <w:autoSpaceDE w:val="0"/>
            <w:autoSpaceDN w:val="0"/>
            <w:ind w:hanging="480"/>
            <w:divId w:val="1725786908"/>
            <w:rPr>
              <w:rFonts w:ascii="Calibri" w:eastAsia="Times New Roman" w:hAnsi="Calibri"/>
              <w:color w:val="000000"/>
            </w:rPr>
          </w:pPr>
          <w:r w:rsidRPr="00671C8E">
            <w:rPr>
              <w:rFonts w:ascii="Calibri" w:eastAsia="Times New Roman" w:hAnsi="Calibri"/>
              <w:color w:val="000000"/>
            </w:rPr>
            <w:t>Rashmi, C., Priti, B., 2022. The Journal of Asian Finance, Economics and Business 9, 217–227.</w:t>
          </w:r>
        </w:p>
        <w:p w14:paraId="20F78B20" w14:textId="77777777" w:rsidR="00671C8E" w:rsidRPr="00671C8E" w:rsidRDefault="00671C8E">
          <w:pPr>
            <w:autoSpaceDE w:val="0"/>
            <w:autoSpaceDN w:val="0"/>
            <w:ind w:hanging="480"/>
            <w:divId w:val="1258909495"/>
            <w:rPr>
              <w:rFonts w:ascii="Calibri" w:eastAsia="Times New Roman" w:hAnsi="Calibri"/>
              <w:color w:val="000000"/>
            </w:rPr>
          </w:pPr>
          <w:r w:rsidRPr="00671C8E">
            <w:rPr>
              <w:rFonts w:ascii="Calibri" w:eastAsia="Times New Roman" w:hAnsi="Calibri"/>
              <w:color w:val="000000"/>
            </w:rPr>
            <w:t>Rethlefsen, M.L., Kirtley, S., Waffenschmidt, S., Ayala, A.P., Moher, D., Page, M.J., Koffel, J.B., Blunt, H., Brigham, T., Chang, S., Clark, J., Conway, A., Couban, R., de Kock, S., Farrah, K., Fehrmann, P., Foster, M., Fowler, S.A., Glanville, J., Harris, E., Hoffecker, L., Isojarvi, J., Kaunelis, D., Ket, H., Levay, P., Lyon, J., McGowan, J., Murad, M.H., Nicholson, J., Pannabecker, V., Paynter, R., Pinotti, R., Ross-White, A., Sampson, M., Shields, T., Stevens, A., Sutton, A., Weinfurter, E., Wright, K., Young, S., 2021. Systematic Reviews 2021 10:1 10, 39-.</w:t>
          </w:r>
        </w:p>
        <w:p w14:paraId="53A11BC5" w14:textId="77777777" w:rsidR="00671C8E" w:rsidRPr="00671C8E" w:rsidRDefault="00671C8E">
          <w:pPr>
            <w:autoSpaceDE w:val="0"/>
            <w:autoSpaceDN w:val="0"/>
            <w:ind w:hanging="480"/>
            <w:divId w:val="669675144"/>
            <w:rPr>
              <w:rFonts w:ascii="Calibri" w:eastAsia="Times New Roman" w:hAnsi="Calibri"/>
              <w:color w:val="000000"/>
            </w:rPr>
          </w:pPr>
          <w:r w:rsidRPr="00671C8E">
            <w:rPr>
              <w:rFonts w:ascii="Calibri" w:eastAsia="Times New Roman" w:hAnsi="Calibri"/>
              <w:color w:val="000000"/>
            </w:rPr>
            <w:t>Sanz-Martín, L., Parra-Domínguez, J., Corchado, J.M., 2025.</w:t>
          </w:r>
        </w:p>
        <w:p w14:paraId="66B349E7" w14:textId="77777777" w:rsidR="00671C8E" w:rsidRPr="00671C8E" w:rsidRDefault="00671C8E">
          <w:pPr>
            <w:autoSpaceDE w:val="0"/>
            <w:autoSpaceDN w:val="0"/>
            <w:ind w:hanging="480"/>
            <w:divId w:val="1843931814"/>
            <w:rPr>
              <w:rFonts w:ascii="Calibri" w:eastAsia="Times New Roman" w:hAnsi="Calibri"/>
              <w:color w:val="000000"/>
            </w:rPr>
          </w:pPr>
          <w:r w:rsidRPr="00671C8E">
            <w:rPr>
              <w:rFonts w:ascii="Calibri" w:eastAsia="Times New Roman" w:hAnsi="Calibri"/>
              <w:color w:val="000000"/>
            </w:rPr>
            <w:t>Sodnomdavaa, T., 2026. Journal of Advances in Information Technology 17, 569–582.</w:t>
          </w:r>
        </w:p>
        <w:p w14:paraId="07270DFF" w14:textId="77777777" w:rsidR="00671C8E" w:rsidRPr="00671C8E" w:rsidRDefault="00671C8E">
          <w:pPr>
            <w:autoSpaceDE w:val="0"/>
            <w:autoSpaceDN w:val="0"/>
            <w:ind w:hanging="480"/>
            <w:divId w:val="874390441"/>
            <w:rPr>
              <w:rFonts w:ascii="Calibri" w:eastAsia="Times New Roman" w:hAnsi="Calibri"/>
              <w:color w:val="000000"/>
            </w:rPr>
          </w:pPr>
          <w:r w:rsidRPr="00671C8E">
            <w:rPr>
              <w:rFonts w:ascii="Calibri" w:eastAsia="Times New Roman" w:hAnsi="Calibri"/>
              <w:color w:val="000000"/>
            </w:rPr>
            <w:t>Sohrabi, C., Franchi, T., Mathew, G., Kerwan, A., Nicola, M., Griffin, M., Agha, M., Agha, R., 2021. International Journal of Surgery 88, 105918.</w:t>
          </w:r>
        </w:p>
        <w:p w14:paraId="00509268" w14:textId="77777777" w:rsidR="00671C8E" w:rsidRPr="00671C8E" w:rsidRDefault="00671C8E">
          <w:pPr>
            <w:autoSpaceDE w:val="0"/>
            <w:autoSpaceDN w:val="0"/>
            <w:ind w:hanging="480"/>
            <w:divId w:val="560750747"/>
            <w:rPr>
              <w:rFonts w:ascii="Calibri" w:eastAsia="Times New Roman" w:hAnsi="Calibri"/>
              <w:color w:val="000000"/>
            </w:rPr>
          </w:pPr>
          <w:r w:rsidRPr="00671C8E">
            <w:rPr>
              <w:rFonts w:ascii="Calibri" w:eastAsia="Times New Roman" w:hAnsi="Calibri"/>
              <w:color w:val="000000"/>
            </w:rPr>
            <w:t>Song, G., Xia, Z., Basheer, M.F., Shah, S.M.A., 2022. Economic Research-Ekonomska Istrazivanja 35, 2460–2476.</w:t>
          </w:r>
        </w:p>
        <w:p w14:paraId="2E0D5E0C" w14:textId="77777777" w:rsidR="00671C8E" w:rsidRPr="00671C8E" w:rsidRDefault="00671C8E">
          <w:pPr>
            <w:autoSpaceDE w:val="0"/>
            <w:autoSpaceDN w:val="0"/>
            <w:ind w:hanging="480"/>
            <w:divId w:val="894436060"/>
            <w:rPr>
              <w:rFonts w:ascii="Calibri" w:eastAsia="Times New Roman" w:hAnsi="Calibri"/>
              <w:color w:val="000000"/>
            </w:rPr>
          </w:pPr>
          <w:r w:rsidRPr="00671C8E">
            <w:rPr>
              <w:rFonts w:ascii="Calibri" w:eastAsia="Times New Roman" w:hAnsi="Calibri"/>
              <w:color w:val="000000"/>
            </w:rPr>
            <w:t>Szczygielski, J.J., Bwanya, P.R., Charteris, A., Brzeszczyński, J., 2021. Financ. Res. Lett. 43, 101945.</w:t>
          </w:r>
        </w:p>
        <w:p w14:paraId="51DDCA07" w14:textId="77777777" w:rsidR="00671C8E" w:rsidRPr="00671C8E" w:rsidRDefault="00671C8E">
          <w:pPr>
            <w:autoSpaceDE w:val="0"/>
            <w:autoSpaceDN w:val="0"/>
            <w:ind w:hanging="480"/>
            <w:divId w:val="1256981934"/>
            <w:rPr>
              <w:rFonts w:ascii="Calibri" w:eastAsia="Times New Roman" w:hAnsi="Calibri"/>
              <w:color w:val="000000"/>
            </w:rPr>
          </w:pPr>
          <w:r w:rsidRPr="00671C8E">
            <w:rPr>
              <w:rFonts w:ascii="Calibri" w:eastAsia="Times New Roman" w:hAnsi="Calibri"/>
              <w:color w:val="000000"/>
            </w:rPr>
            <w:t>Tiwari, A.K., Abakah, E.J.A., Dwumfour, R.A., Lee, C.C., 2025. Appl. Econ. 57, 2389–2406.</w:t>
          </w:r>
        </w:p>
        <w:p w14:paraId="449C4456" w14:textId="77777777" w:rsidR="00671C8E" w:rsidRPr="00671C8E" w:rsidRDefault="00671C8E">
          <w:pPr>
            <w:autoSpaceDE w:val="0"/>
            <w:autoSpaceDN w:val="0"/>
            <w:ind w:hanging="480"/>
            <w:divId w:val="1543397648"/>
            <w:rPr>
              <w:rFonts w:ascii="Calibri" w:eastAsia="Times New Roman" w:hAnsi="Calibri"/>
              <w:color w:val="000000"/>
            </w:rPr>
          </w:pPr>
          <w:r w:rsidRPr="00671C8E">
            <w:rPr>
              <w:rFonts w:ascii="Calibri" w:eastAsia="Times New Roman" w:hAnsi="Calibri"/>
              <w:color w:val="000000"/>
            </w:rPr>
            <w:t>To, B.C.N., Nguyen, B.K.Q., Nguyen, T.V.T., 2023. Heliyon 9, e12809.</w:t>
          </w:r>
        </w:p>
        <w:p w14:paraId="39F67042" w14:textId="77777777" w:rsidR="00671C8E" w:rsidRPr="00671C8E" w:rsidRDefault="00671C8E">
          <w:pPr>
            <w:autoSpaceDE w:val="0"/>
            <w:autoSpaceDN w:val="0"/>
            <w:ind w:hanging="480"/>
            <w:divId w:val="1363937812"/>
            <w:rPr>
              <w:rFonts w:ascii="Calibri" w:eastAsia="Times New Roman" w:hAnsi="Calibri"/>
              <w:color w:val="000000"/>
            </w:rPr>
          </w:pPr>
          <w:r w:rsidRPr="00671C8E">
            <w:rPr>
              <w:rFonts w:ascii="Calibri" w:eastAsia="Times New Roman" w:hAnsi="Calibri"/>
              <w:color w:val="000000"/>
            </w:rPr>
            <w:t>Umar, M., Rubbaniy, G., Iqbal, A., Rizvi, S.K.A., Xu, Y., 2023. Economic Research-Ekonomska Istrazivanja 36.</w:t>
          </w:r>
        </w:p>
        <w:p w14:paraId="3E3D65B9" w14:textId="77777777" w:rsidR="00671C8E" w:rsidRPr="00671C8E" w:rsidRDefault="00671C8E">
          <w:pPr>
            <w:autoSpaceDE w:val="0"/>
            <w:autoSpaceDN w:val="0"/>
            <w:ind w:hanging="480"/>
            <w:divId w:val="878474343"/>
            <w:rPr>
              <w:rFonts w:ascii="Calibri" w:eastAsia="Times New Roman" w:hAnsi="Calibri"/>
              <w:color w:val="000000"/>
            </w:rPr>
          </w:pPr>
          <w:r w:rsidRPr="00671C8E">
            <w:rPr>
              <w:rFonts w:ascii="Calibri" w:eastAsia="Times New Roman" w:hAnsi="Calibri"/>
              <w:color w:val="000000"/>
            </w:rPr>
            <w:t>Vancsura, L., Bareith, T., 2023. Public Finan. Q. 69, 123–138.</w:t>
          </w:r>
        </w:p>
        <w:p w14:paraId="54744A90" w14:textId="77777777" w:rsidR="00671C8E" w:rsidRPr="00671C8E" w:rsidRDefault="00671C8E">
          <w:pPr>
            <w:autoSpaceDE w:val="0"/>
            <w:autoSpaceDN w:val="0"/>
            <w:ind w:hanging="480"/>
            <w:divId w:val="1174613116"/>
            <w:rPr>
              <w:rFonts w:ascii="Calibri" w:eastAsia="Times New Roman" w:hAnsi="Calibri"/>
              <w:color w:val="000000"/>
            </w:rPr>
          </w:pPr>
          <w:r w:rsidRPr="00671C8E">
            <w:rPr>
              <w:rFonts w:ascii="Calibri" w:eastAsia="Times New Roman" w:hAnsi="Calibri"/>
              <w:color w:val="000000"/>
            </w:rPr>
            <w:t>Yang, C., Abedin, M.Z., Zhang, H., Weng, F., Hajek, P., 2023. Annals of Operations Research 2023 347:2 347, 1031–1058.</w:t>
          </w:r>
        </w:p>
        <w:p w14:paraId="0C5D66C9" w14:textId="77777777" w:rsidR="00671C8E" w:rsidRPr="00671C8E" w:rsidRDefault="00671C8E">
          <w:pPr>
            <w:autoSpaceDE w:val="0"/>
            <w:autoSpaceDN w:val="0"/>
            <w:ind w:hanging="480"/>
            <w:divId w:val="571895033"/>
            <w:rPr>
              <w:rFonts w:ascii="Calibri" w:eastAsia="Times New Roman" w:hAnsi="Calibri"/>
              <w:color w:val="000000"/>
            </w:rPr>
          </w:pPr>
          <w:r w:rsidRPr="00671C8E">
            <w:rPr>
              <w:rFonts w:ascii="Calibri" w:eastAsia="Times New Roman" w:hAnsi="Calibri"/>
              <w:color w:val="000000"/>
            </w:rPr>
            <w:t>Yang, Q., Yu, Y., Dai, D., He, Q., Lin, Y., 2024. The North American Journal of Economics and Finance 74, 102252.</w:t>
          </w:r>
        </w:p>
        <w:p w14:paraId="763CD2C8" w14:textId="77777777" w:rsidR="00671C8E" w:rsidRPr="00671C8E" w:rsidRDefault="00671C8E">
          <w:pPr>
            <w:autoSpaceDE w:val="0"/>
            <w:autoSpaceDN w:val="0"/>
            <w:ind w:hanging="480"/>
            <w:divId w:val="654724224"/>
            <w:rPr>
              <w:rFonts w:ascii="Calibri" w:eastAsia="Times New Roman" w:hAnsi="Calibri"/>
              <w:color w:val="000000"/>
            </w:rPr>
          </w:pPr>
          <w:r w:rsidRPr="00671C8E">
            <w:rPr>
              <w:rFonts w:ascii="Calibri" w:eastAsia="Times New Roman" w:hAnsi="Calibri"/>
              <w:color w:val="000000"/>
            </w:rPr>
            <w:t>Yang, T., Zhuo, S., Yang, Y., 2023. PLoS One 18, e0293825.</w:t>
          </w:r>
        </w:p>
        <w:p w14:paraId="166F317A" w14:textId="77777777" w:rsidR="00671C8E" w:rsidRPr="00671C8E" w:rsidRDefault="00671C8E">
          <w:pPr>
            <w:autoSpaceDE w:val="0"/>
            <w:autoSpaceDN w:val="0"/>
            <w:ind w:hanging="480"/>
            <w:divId w:val="2063675811"/>
            <w:rPr>
              <w:rFonts w:ascii="Calibri" w:eastAsia="Times New Roman" w:hAnsi="Calibri"/>
              <w:color w:val="000000"/>
            </w:rPr>
          </w:pPr>
          <w:r w:rsidRPr="00671C8E">
            <w:rPr>
              <w:rFonts w:ascii="Calibri" w:eastAsia="Times New Roman" w:hAnsi="Calibri"/>
              <w:color w:val="000000"/>
            </w:rPr>
            <w:t>Zeng, J., Zhang, Y., Yin, Y., Moffatt, P.G., Zeng, J., Zhang, Y., Yin, Y., Moffatt, P.G., 2024. Data Science in Finance and Economics 2024 4:531 4, 531–547.</w:t>
          </w:r>
        </w:p>
        <w:p w14:paraId="42C9E1AC" w14:textId="77777777" w:rsidR="00671C8E" w:rsidRPr="00671C8E" w:rsidRDefault="00671C8E">
          <w:pPr>
            <w:autoSpaceDE w:val="0"/>
            <w:autoSpaceDN w:val="0"/>
            <w:ind w:hanging="480"/>
            <w:divId w:val="1196970319"/>
            <w:rPr>
              <w:rFonts w:ascii="Calibri" w:eastAsia="Times New Roman" w:hAnsi="Calibri"/>
              <w:color w:val="000000"/>
            </w:rPr>
          </w:pPr>
          <w:r w:rsidRPr="00671C8E">
            <w:rPr>
              <w:rFonts w:ascii="Calibri" w:eastAsia="Times New Roman" w:hAnsi="Calibri"/>
              <w:color w:val="000000"/>
            </w:rPr>
            <w:t>Zhang, N., Wang, A., Haq, N.U., Nosheen, S., 2022. Economic Research-Ekonomska Istrazivanja 35, 2191–2216.</w:t>
          </w:r>
        </w:p>
        <w:p w14:paraId="55E360D8" w14:textId="77777777" w:rsidR="00671C8E" w:rsidRPr="00671C8E" w:rsidRDefault="00671C8E">
          <w:pPr>
            <w:autoSpaceDE w:val="0"/>
            <w:autoSpaceDN w:val="0"/>
            <w:ind w:hanging="480"/>
            <w:divId w:val="1681395760"/>
            <w:rPr>
              <w:rFonts w:ascii="Calibri" w:eastAsia="Times New Roman" w:hAnsi="Calibri"/>
              <w:color w:val="000000"/>
            </w:rPr>
          </w:pPr>
          <w:r w:rsidRPr="00671C8E">
            <w:rPr>
              <w:rFonts w:ascii="Calibri" w:eastAsia="Times New Roman" w:hAnsi="Calibri"/>
              <w:color w:val="000000"/>
            </w:rPr>
            <w:t>Zhang, S., Fang, W., 2021. Entropy 2021, Vol. 23, Page 1018 23, 1018.</w:t>
          </w:r>
        </w:p>
        <w:p w14:paraId="3D576768" w14:textId="0F0724C0" w:rsidR="009416B8" w:rsidRPr="00871211" w:rsidRDefault="00671C8E" w:rsidP="00DF78FA">
          <w:pPr>
            <w:autoSpaceDE w:val="0"/>
            <w:autoSpaceDN w:val="0"/>
            <w:spacing w:line="360" w:lineRule="auto"/>
            <w:ind w:left="1440" w:hanging="480"/>
            <w:jc w:val="both"/>
            <w:divId w:val="547837260"/>
            <w:rPr>
              <w:rFonts w:ascii="Times New Roman" w:hAnsi="Times New Roman" w:cs="Times New Roman"/>
              <w:color w:val="000000"/>
            </w:rPr>
          </w:pPr>
          <w:r w:rsidRPr="00671C8E">
            <w:rPr>
              <w:rFonts w:ascii="Calibri" w:eastAsia="Times New Roman" w:hAnsi="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179061" w14:textId="77777777" w:rsidR="00D554B6" w:rsidRPr="00811E61" w:rsidRDefault="00D554B6" w:rsidP="007222BC">
      <w:pPr>
        <w:spacing w:after="0" w:line="240" w:lineRule="auto"/>
      </w:pPr>
      <w:r w:rsidRPr="00811E61">
        <w:separator/>
      </w:r>
    </w:p>
  </w:endnote>
  <w:endnote w:type="continuationSeparator" w:id="0">
    <w:p w14:paraId="67187667" w14:textId="77777777" w:rsidR="00D554B6" w:rsidRPr="00811E61" w:rsidRDefault="00D554B6"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380D43" w14:textId="77777777" w:rsidR="00D554B6" w:rsidRPr="00811E61" w:rsidRDefault="00D554B6" w:rsidP="007222BC">
      <w:pPr>
        <w:spacing w:after="0" w:line="240" w:lineRule="auto"/>
      </w:pPr>
      <w:r w:rsidRPr="00811E61">
        <w:separator/>
      </w:r>
    </w:p>
  </w:footnote>
  <w:footnote w:type="continuationSeparator" w:id="0">
    <w:p w14:paraId="2374547C" w14:textId="77777777" w:rsidR="00D554B6" w:rsidRPr="00811E61" w:rsidRDefault="00D554B6" w:rsidP="007222BC">
      <w:pPr>
        <w:spacing w:after="0" w:line="240" w:lineRule="auto"/>
      </w:pPr>
      <w:r w:rsidRPr="00811E61">
        <w:continuationSeparator/>
      </w:r>
    </w:p>
  </w:footnote>
  <w:footnote w:id="1">
    <w:p w14:paraId="11896696" w14:textId="5502A08F" w:rsidR="004837C4" w:rsidRDefault="004837C4">
      <w:pPr>
        <w:pStyle w:val="Textpoznmkypodiarou"/>
      </w:pPr>
      <w:r>
        <w:rPr>
          <w:rStyle w:val="Odkaznapoznmkupodiarou"/>
        </w:rPr>
        <w:footnoteRef/>
      </w:r>
      <w:r>
        <w:t xml:space="preserve"> Zdroj Figure 1: Autori.</w:t>
      </w:r>
    </w:p>
  </w:footnote>
  <w:footnote w:id="2">
    <w:p w14:paraId="4633D1C7" w14:textId="73288554" w:rsidR="004837C4" w:rsidRPr="00811E61" w:rsidRDefault="004837C4" w:rsidP="007222BC">
      <w:pPr>
        <w:pStyle w:val="Textpoznmkypodiarou"/>
      </w:pPr>
      <w:r w:rsidRPr="00811E61">
        <w:rPr>
          <w:rStyle w:val="Odkaznapoznmkupodiarou"/>
        </w:rPr>
        <w:footnoteRef/>
      </w:r>
      <w:r w:rsidRPr="00811E61">
        <w:t xml:space="preserve"> Zdroj </w:t>
      </w:r>
      <w:r>
        <w:t>Figure</w:t>
      </w:r>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25DDC"/>
    <w:rsid w:val="000277AF"/>
    <w:rsid w:val="00031C40"/>
    <w:rsid w:val="00043D43"/>
    <w:rsid w:val="00067865"/>
    <w:rsid w:val="00070E55"/>
    <w:rsid w:val="00074CCA"/>
    <w:rsid w:val="00087123"/>
    <w:rsid w:val="000900D3"/>
    <w:rsid w:val="00092D0F"/>
    <w:rsid w:val="00094860"/>
    <w:rsid w:val="000A6563"/>
    <w:rsid w:val="000B1B18"/>
    <w:rsid w:val="000C0763"/>
    <w:rsid w:val="000F26DA"/>
    <w:rsid w:val="0010606A"/>
    <w:rsid w:val="0012285F"/>
    <w:rsid w:val="0012585F"/>
    <w:rsid w:val="00151594"/>
    <w:rsid w:val="00160617"/>
    <w:rsid w:val="00165919"/>
    <w:rsid w:val="00185DAC"/>
    <w:rsid w:val="00193D28"/>
    <w:rsid w:val="001B4A00"/>
    <w:rsid w:val="001D3D4C"/>
    <w:rsid w:val="001E3537"/>
    <w:rsid w:val="001F632A"/>
    <w:rsid w:val="00210F20"/>
    <w:rsid w:val="0022058B"/>
    <w:rsid w:val="00247909"/>
    <w:rsid w:val="002550F0"/>
    <w:rsid w:val="00256B18"/>
    <w:rsid w:val="0027540D"/>
    <w:rsid w:val="0027604B"/>
    <w:rsid w:val="002A0091"/>
    <w:rsid w:val="002A0553"/>
    <w:rsid w:val="002A441F"/>
    <w:rsid w:val="002B22C7"/>
    <w:rsid w:val="002D0CDB"/>
    <w:rsid w:val="002D67EE"/>
    <w:rsid w:val="002F45A3"/>
    <w:rsid w:val="00317941"/>
    <w:rsid w:val="00330B01"/>
    <w:rsid w:val="00337550"/>
    <w:rsid w:val="003442D6"/>
    <w:rsid w:val="003465A4"/>
    <w:rsid w:val="00361AC2"/>
    <w:rsid w:val="0037270B"/>
    <w:rsid w:val="003B1904"/>
    <w:rsid w:val="003B2283"/>
    <w:rsid w:val="003B432D"/>
    <w:rsid w:val="003B7EC9"/>
    <w:rsid w:val="003C4FAF"/>
    <w:rsid w:val="003D4A45"/>
    <w:rsid w:val="0040065C"/>
    <w:rsid w:val="0040558E"/>
    <w:rsid w:val="00415D2D"/>
    <w:rsid w:val="004271C2"/>
    <w:rsid w:val="00430F43"/>
    <w:rsid w:val="0044178A"/>
    <w:rsid w:val="00455EF7"/>
    <w:rsid w:val="00463726"/>
    <w:rsid w:val="004755AA"/>
    <w:rsid w:val="00482C2F"/>
    <w:rsid w:val="004837C4"/>
    <w:rsid w:val="00487687"/>
    <w:rsid w:val="00493B22"/>
    <w:rsid w:val="004A0FF1"/>
    <w:rsid w:val="004B0A37"/>
    <w:rsid w:val="004B3660"/>
    <w:rsid w:val="004D1F84"/>
    <w:rsid w:val="004F6F15"/>
    <w:rsid w:val="00501F2D"/>
    <w:rsid w:val="00515277"/>
    <w:rsid w:val="00515DF5"/>
    <w:rsid w:val="0051663A"/>
    <w:rsid w:val="0052297A"/>
    <w:rsid w:val="005261C4"/>
    <w:rsid w:val="0052715F"/>
    <w:rsid w:val="00534578"/>
    <w:rsid w:val="005440A7"/>
    <w:rsid w:val="00544A19"/>
    <w:rsid w:val="005479AE"/>
    <w:rsid w:val="00550434"/>
    <w:rsid w:val="00550D81"/>
    <w:rsid w:val="005541FE"/>
    <w:rsid w:val="0056785B"/>
    <w:rsid w:val="00575C22"/>
    <w:rsid w:val="005809DA"/>
    <w:rsid w:val="00585B71"/>
    <w:rsid w:val="00594F91"/>
    <w:rsid w:val="005967E5"/>
    <w:rsid w:val="0059706C"/>
    <w:rsid w:val="005B2180"/>
    <w:rsid w:val="005B760D"/>
    <w:rsid w:val="005C0986"/>
    <w:rsid w:val="005D55C7"/>
    <w:rsid w:val="005D6F53"/>
    <w:rsid w:val="005E4132"/>
    <w:rsid w:val="005E50F4"/>
    <w:rsid w:val="005F3AC5"/>
    <w:rsid w:val="00626137"/>
    <w:rsid w:val="00641889"/>
    <w:rsid w:val="00671C8E"/>
    <w:rsid w:val="00685F82"/>
    <w:rsid w:val="006860A7"/>
    <w:rsid w:val="006A17ED"/>
    <w:rsid w:val="006A57B2"/>
    <w:rsid w:val="00705757"/>
    <w:rsid w:val="00720589"/>
    <w:rsid w:val="007222BC"/>
    <w:rsid w:val="00725C66"/>
    <w:rsid w:val="00736E19"/>
    <w:rsid w:val="00744B23"/>
    <w:rsid w:val="00745E2B"/>
    <w:rsid w:val="00766BA0"/>
    <w:rsid w:val="00773DFD"/>
    <w:rsid w:val="00781BCD"/>
    <w:rsid w:val="007B10BC"/>
    <w:rsid w:val="007C657C"/>
    <w:rsid w:val="007E1A82"/>
    <w:rsid w:val="007F3100"/>
    <w:rsid w:val="00811E61"/>
    <w:rsid w:val="008157D9"/>
    <w:rsid w:val="00836F4B"/>
    <w:rsid w:val="00847B67"/>
    <w:rsid w:val="00864573"/>
    <w:rsid w:val="00865576"/>
    <w:rsid w:val="00870D34"/>
    <w:rsid w:val="00871211"/>
    <w:rsid w:val="00872A83"/>
    <w:rsid w:val="00875FEA"/>
    <w:rsid w:val="00887429"/>
    <w:rsid w:val="008B159D"/>
    <w:rsid w:val="008B75D8"/>
    <w:rsid w:val="008E190B"/>
    <w:rsid w:val="008E2691"/>
    <w:rsid w:val="008E44FC"/>
    <w:rsid w:val="008E50A2"/>
    <w:rsid w:val="008F0358"/>
    <w:rsid w:val="008F6CDB"/>
    <w:rsid w:val="0090369D"/>
    <w:rsid w:val="0091073A"/>
    <w:rsid w:val="00916B09"/>
    <w:rsid w:val="00925590"/>
    <w:rsid w:val="009337B2"/>
    <w:rsid w:val="00937DF8"/>
    <w:rsid w:val="009416B8"/>
    <w:rsid w:val="0094446D"/>
    <w:rsid w:val="00965013"/>
    <w:rsid w:val="00973952"/>
    <w:rsid w:val="0097554A"/>
    <w:rsid w:val="00975ECA"/>
    <w:rsid w:val="00977F5A"/>
    <w:rsid w:val="00987DFE"/>
    <w:rsid w:val="009917DB"/>
    <w:rsid w:val="009C3274"/>
    <w:rsid w:val="009F40EA"/>
    <w:rsid w:val="00A03CED"/>
    <w:rsid w:val="00A11461"/>
    <w:rsid w:val="00A14CCB"/>
    <w:rsid w:val="00A72B89"/>
    <w:rsid w:val="00A75483"/>
    <w:rsid w:val="00A77D42"/>
    <w:rsid w:val="00A80926"/>
    <w:rsid w:val="00A830AD"/>
    <w:rsid w:val="00A961F5"/>
    <w:rsid w:val="00AA7629"/>
    <w:rsid w:val="00AD1C97"/>
    <w:rsid w:val="00AD1F45"/>
    <w:rsid w:val="00AD671D"/>
    <w:rsid w:val="00AE3C0C"/>
    <w:rsid w:val="00AE6E4C"/>
    <w:rsid w:val="00AF17A5"/>
    <w:rsid w:val="00B279FD"/>
    <w:rsid w:val="00B40177"/>
    <w:rsid w:val="00B4186E"/>
    <w:rsid w:val="00B57273"/>
    <w:rsid w:val="00B756F3"/>
    <w:rsid w:val="00B93E67"/>
    <w:rsid w:val="00B97633"/>
    <w:rsid w:val="00BA7357"/>
    <w:rsid w:val="00BB7060"/>
    <w:rsid w:val="00BC4C81"/>
    <w:rsid w:val="00C1356F"/>
    <w:rsid w:val="00C15621"/>
    <w:rsid w:val="00C3567A"/>
    <w:rsid w:val="00C35A6F"/>
    <w:rsid w:val="00C5399D"/>
    <w:rsid w:val="00C54CA5"/>
    <w:rsid w:val="00C63E61"/>
    <w:rsid w:val="00C66203"/>
    <w:rsid w:val="00C74B67"/>
    <w:rsid w:val="00C777BA"/>
    <w:rsid w:val="00C87F54"/>
    <w:rsid w:val="00C91825"/>
    <w:rsid w:val="00C94F8E"/>
    <w:rsid w:val="00CA2713"/>
    <w:rsid w:val="00CB00E1"/>
    <w:rsid w:val="00CB4A07"/>
    <w:rsid w:val="00CC2DA5"/>
    <w:rsid w:val="00CC3F75"/>
    <w:rsid w:val="00CC7938"/>
    <w:rsid w:val="00CF615D"/>
    <w:rsid w:val="00CF6A2A"/>
    <w:rsid w:val="00CF7699"/>
    <w:rsid w:val="00D01D37"/>
    <w:rsid w:val="00D117D0"/>
    <w:rsid w:val="00D43700"/>
    <w:rsid w:val="00D449A2"/>
    <w:rsid w:val="00D4685A"/>
    <w:rsid w:val="00D554B6"/>
    <w:rsid w:val="00D65BC1"/>
    <w:rsid w:val="00D66433"/>
    <w:rsid w:val="00D9351B"/>
    <w:rsid w:val="00D97D30"/>
    <w:rsid w:val="00DA1C81"/>
    <w:rsid w:val="00DB0AB2"/>
    <w:rsid w:val="00DE5F76"/>
    <w:rsid w:val="00DF281E"/>
    <w:rsid w:val="00DF78FA"/>
    <w:rsid w:val="00E03E0D"/>
    <w:rsid w:val="00E16FFE"/>
    <w:rsid w:val="00E4093F"/>
    <w:rsid w:val="00E437B2"/>
    <w:rsid w:val="00E43883"/>
    <w:rsid w:val="00E60245"/>
    <w:rsid w:val="00E718BA"/>
    <w:rsid w:val="00E9129C"/>
    <w:rsid w:val="00EB0189"/>
    <w:rsid w:val="00EC016F"/>
    <w:rsid w:val="00EC37CE"/>
    <w:rsid w:val="00ED5EDE"/>
    <w:rsid w:val="00EE59CE"/>
    <w:rsid w:val="00EF7E32"/>
    <w:rsid w:val="00F07E31"/>
    <w:rsid w:val="00F12B59"/>
    <w:rsid w:val="00F12C57"/>
    <w:rsid w:val="00F33321"/>
    <w:rsid w:val="00F46E96"/>
    <w:rsid w:val="00F51CD9"/>
    <w:rsid w:val="00F5535D"/>
    <w:rsid w:val="00F63028"/>
    <w:rsid w:val="00F73FF8"/>
    <w:rsid w:val="00F9342D"/>
    <w:rsid w:val="00FA0663"/>
    <w:rsid w:val="00FB71A1"/>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1B6988"/>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AE3C0C"/>
    <w:rsid w:val="00AE6E4C"/>
    <w:rsid w:val="00B61BC8"/>
    <w:rsid w:val="00B756F3"/>
    <w:rsid w:val="00BD2FA3"/>
    <w:rsid w:val="00C94F8E"/>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70022A"/>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144334485"/>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Lúcio and Caiado, 2022;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Mw7pjaW8gYW5kIENhaWFkbywgMjAyMjsgTWEgZXQgYWwuLCAyMDIyOyBNaXNocmEgZXQgYWwuLCAyMDI0OyBTb25nIGV0IGFsLiwgMjAyMikiLCJtYW51YWxPdmVycmlkZVRleHQiOiIifSwiY2l0YXRpb25JdGVtcyI6W3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I2MzA5ZTllZS0yNDk0LTM1ZGEtODkxMi0yOGY5OGNiN2NjYTAiLCJpdGVtRGF0YSI6eyJ0eXBlIjoiYXJ0aWNsZS1qb3VybmFsIiwiaWQiOiI2MzA5ZTllZS0yNDk0LTM1ZGEtODkxMi0yOGY5OGNiN2NjYTAiLCJ0aXRsZSI6IkNPVklELTE5IGFuZCBpbnN0YWJpbGl0eSBvZiBzdG9jayBtYXJrZXQgcGVyZm9ybWFuY2U6IGV2aWRlbmNlIGZyb20gdGhlIFUuUy4iLCJncm91cElkIjoiNmIwZjZjNGMtYWYxNS0zYzJmLWFlM2QtM2Q2NjUyYjhmZTI5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Y0ZjM3ZGE0LTQ1ZmEtMzFhNC04OTk5LTY4MjczODFmYjZiYyIsIml0ZW1EYXRhIjp7InR5cGUiOiJhcnRpY2xlLWpvdXJuYWwiLCJpZCI6IjY0ZjM3ZGE0LTQ1ZmEtMzFhNC04OTk5LTY4MjczODFmYjZiYyIsInRpdGxlIjoiQ09WSUQtMTkgSW1wYWN0IG9uIFN0b2NrIE1hcmtldHM6IEEgTXVsdGlzY2FsZSBFdmVudCBBbmFseXNpcyBQZXJzcGVjdGl2Z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id&quot;:&quot;6309e9ee-2494-35da-8912-28f98cb7cca0&quot;,&quot;itemData&quot;:{&quot;type&quot;:&quot;article-journal&quot;,&quot;id&quot;:&quot;6309e9ee-2494-35da-8912-28f98cb7cca0&quot;,&quot;title&quot;:&quot;COVID-19 and instability of stock market performance: evidence from the U.S.&quot;,&quot;groupId&quot;:&quot;6b0f6c4c-af15-3c2f-ae3d-3d6652b8fe29&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isTemporary&quot;:false},{&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iwiY29udGFpbmVyLXRpdGxlLXNob3J0IjoiRXhwZXJ0IFN5c3QuIEFwcGwu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Rashmi and Priti, 2022;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hMTBiNmM3Yi1hNjk1LTNlNWMtYTVkNS0wYmYyNmQ0MTc4ZTMiLCJpdGVtRGF0YSI6eyJ0eXBlIjoiYXJ0aWNsZS1qb3VybmFsIiwiaWQiOiJhMTBiNmM3Yi1hNjk1LTNlNWMtYTVkNS0wYmYyNmQ0MTc4ZTMiLCJ0aXRsZSI6IkJheWVzaWFuIG5ldXJhbCBuZXR3b3JrcyBmb3Igc3RvY2sgcHJpY2UgZm9yZWNhc3RpbmcgYmVmb3JlIGFuZCBkdXJpbmcgQ09WSUQtMTkgcGFuZGVtaWMiLCJncm91cElkIjoiNmIwZjZjNGMtYWYxNS0zYzJmLWFlM2QtM2Q2NjUyYjhmZTI5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IsImNvbnRhaW5lci10aXRsZS1zaG9ydCI6IlBMb1MgT25l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NDcwZDhhNGEtMzJiNS0zYTdkLWEzYTItMTIwMzdmOTVhMTg4IiwiaXRlbURhdGEiOnsidHlwZSI6ImFydGljbGUtam91cm5hbCIsImlkIjoiNDcwZDhhNGEtMzJiNS0zYTdkLWEzYTItMTIwMzdmOTVhMTg4IiwidGl0bGUiOiJWb2xhdGlsaXR5IE1vZGVsaW5nOiBBbiBPdmVydmlldyBvZiBFcXVpdHkgTWFya2V0cyBpbiB0aGUgRXVybyBBcmVhIGR1cmluZyBDT1ZJRC0xOSBQYW5kZW1pYyIsImdyb3VwSWQiOiI2YjBmNmM0Yy1hZjE1LTNjMmYtYWUzZC0zZDY2NTJiOGZlMjk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1dfQ==&quot;,&quot;citationItems&quot;:[{&quot;id&quot;:&quot;a10b6c7b-a695-3e5c-a5d5-0bf26d4178e3&quot;,&quot;itemData&quot;:{&quot;type&quot;:&quot;article-journal&quot;,&quot;id&quot;:&quot;a10b6c7b-a695-3e5c-a5d5-0bf26d4178e3&quot;,&quot;title&quot;:&quot;Bayesian neural networks for stock price forecasting before and during COVID-19 pandemic&quot;,&quot;groupId&quot;:&quot;6b0f6c4c-af15-3c2f-ae3d-3d6652b8fe29&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b3fd8edc-0219-495d-b44a-f1f336c9efb5&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quot;,&quot;citationItems&quot;:[{&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Mishra et al., 2024;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TWlzaHJhIGV0IGFsLiwgMjAyND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V19&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66a3c4bd-27aa-3984-b382-881ec794101c&quot;,&quot;itemData&quot;:{&quot;type&quot;:&quot;article-journal&quot;,&quot;id&quot;:&quot;66a3c4bd-27aa-3984-b382-881ec794101c&quot;,&quot;title&quot;:&quot;COVID-19 and stock market volatility: An industry level analysis&quot;,&quot;groupId&quot;:&quot;6b0f6c4c-af15-3c2f-ae3d-3d6652b8fe29&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isTemporary&quot;:false}]},{&quot;citationID&quot;:&quot;MENDELEY_CITATION_ee0b5d56-48b4-4ba3-81a4-b4d941558b61&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WUwYjVkNTYtNDhiNC00YmEzLTgxYTQtYjRkOTQxNTU4YjYxIiwicHJvcGVydGllcyI6eyJub3RlSW5kZXgiOjB9LCJpc0VkaXRlZCI6ZmFsc2UsIm1hbnVhbE92ZXJyaWRlIjp7ImlzTWFudWFsbHlPdmVycmlkZGVuIjpmYWxzZSwiY2l0ZXByb2NUZXh0IjoiKEzDumNpbyBhbmQgQ2FpYWRvLCAyMDIyKSIsIm1hbnVhbE92ZXJyaWRlVGV4dCI6IiJ9LCJjaXRhdGlvbkl0ZW1zIjpb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V19&quot;,&quot;citationItems&quot;:[{&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25c8b48e-7a51-434e-91e2-7b706fb08633&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Lúcio and Caiado, 2022;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Mw7pjaW8gYW5kIENhaWFkbywgMjAyMjsgTWVsaW5hIGV0IGFsLiwgMjAyMzsgTWlzaHJhIGV0IGFsLiwgMjAyNDsgWmhhbmcgZXQgYWwuLCAyMDIyKSIsIm1hbnVhbE92ZXJyaWRlVGV4dCI6IiJ9LCJjaXRhdGlvbkl0ZW1zIjpb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LCJjb250YWluZXItdGl0bGUtc2hvcnQiOiIifSwiaXNUZW1wb3JhcnkiOmZhbHNlfSx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LH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Sodnomdavaa, 2026;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218473e9-f87a-37e1-8544-a9996d0e019b&quot;,&quot;itemData&quot;:{&quot;type&quot;:&quot;article-journal&quot;,&quot;id&quot;:&quot;218473e9-f87a-37e1-8544-a9996d0e019b&quot;,&quot;title&quot;:&quot;Can hybrid model improve the forecasting performance of stock price index amid COVID-19? Contextual evidence from the MEEMD-LSTM-MLP approach&quot;,&quot;groupId&quot;:&quot;6b0f6c4c-af15-3c2f-ae3d-3d6652b8fe29&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isTemporary&quot;:false},{&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isTemporary&quot;:false}]},{&quot;citationID&quot;:&quot;MENDELEY_CITATION_058d6254-57ae-4f27-98fb-ae90819cd240&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49bd272c-151f-454d-af54-2b810713c6d8&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E4AC1-3E9D-2B46-8DBF-4FE614325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1299</TotalTime>
  <Pages>18</Pages>
  <Words>5092</Words>
  <Characters>29029</Characters>
  <Application>Microsoft Office Word</Application>
  <DocSecurity>0</DocSecurity>
  <Lines>241</Lines>
  <Paragraphs>68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34053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152</cp:revision>
  <dcterms:created xsi:type="dcterms:W3CDTF">2026-07-04T17:45:00Z</dcterms:created>
  <dcterms:modified xsi:type="dcterms:W3CDTF">2026-08-19T13:03:00Z</dcterms:modified>
</cp:coreProperties>
</file>