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2B39" w:rsidRDefault="002C7078">
      <w:pPr>
        <w:pStyle w:val="Nzov"/>
        <w:jc w:val="center"/>
      </w:pPr>
      <w:r>
        <w:t>Literature Search and Selection Protocol</w:t>
      </w:r>
    </w:p>
    <w:p w:rsidR="00432B39" w:rsidRDefault="002C7078">
      <w:pPr>
        <w:jc w:val="center"/>
        <w:rPr>
          <w:rFonts w:hint="eastAsia"/>
        </w:rPr>
      </w:pPr>
      <w:r>
        <w:rPr>
          <w:b/>
          <w:color w:val="2F5597"/>
          <w:sz w:val="26"/>
        </w:rPr>
        <w:t>Stock Market Volatility, COVID-19, and Modelling Using Econometric and AI Methods</w:t>
      </w:r>
      <w:r w:rsidR="00A60EAD">
        <w:rPr>
          <w:b/>
          <w:color w:val="2F5597"/>
          <w:sz w:val="26"/>
        </w:rPr>
        <w:t>: Literature Review</w:t>
      </w:r>
    </w:p>
    <w:p w:rsidR="00432B39" w:rsidRDefault="002C7078">
      <w:pPr>
        <w:jc w:val="center"/>
        <w:rPr>
          <w:rFonts w:hint="eastAsia"/>
        </w:rPr>
      </w:pPr>
      <w:r>
        <w:rPr>
          <w:i/>
        </w:rPr>
        <w:t>Supplementary methodological documentation for the article</w:t>
      </w:r>
    </w:p>
    <w:p w:rsidR="00432B39" w:rsidRDefault="00432B39">
      <w:pPr>
        <w:rPr>
          <w:rFonts w:hint="eastAsia"/>
        </w:rPr>
      </w:pPr>
    </w:p>
    <w:p w:rsidR="00432B39" w:rsidRDefault="002C7078">
      <w:pPr>
        <w:pStyle w:val="Nadpis1"/>
      </w:pPr>
      <w:r>
        <w:t>S1. Purpose and status of the protocol</w:t>
      </w:r>
    </w:p>
    <w:p w:rsidR="00432B39" w:rsidRDefault="002C7078">
      <w:pPr>
        <w:rPr>
          <w:rFonts w:hint="eastAsia"/>
        </w:rPr>
      </w:pPr>
      <w:r>
        <w:t xml:space="preserve">This document </w:t>
      </w:r>
      <w:r>
        <w:t xml:space="preserve">transparently records the information sources, search strategies, eligibility criteria, deduplication, screening, and final literature selection for an article on modelling stock market volatility during the COVID-19 pandemic. The protocol </w:t>
      </w:r>
      <w:r>
        <w:t>provides a reproducible description of the literature collection and selection process.</w:t>
      </w:r>
    </w:p>
    <w:p w:rsidR="00432B39" w:rsidRDefault="002C7078">
      <w:pPr>
        <w:pStyle w:val="Nadpis1"/>
      </w:pPr>
      <w:r>
        <w:t>S2. Research focus and information sources</w:t>
      </w:r>
    </w:p>
    <w:p w:rsidR="00432B39" w:rsidRDefault="002C7078">
      <w:pPr>
        <w:rPr>
          <w:rFonts w:hint="eastAsia"/>
        </w:rPr>
      </w:pPr>
      <w:r>
        <w:t>Review objective. To provide a coherent and up-to-date synthesis of research on stock-mark</w:t>
      </w:r>
      <w:r>
        <w:t>et volatility during COVID-19, identify gaps in the evidence, and assess econometric, machine-learning, deep-learning, and hybrid modelling approaches, with particular attention to the United States, China, and Europe and to the periods before, during, and</w:t>
      </w:r>
      <w:r>
        <w:t xml:space="preserve"> after the pandemic.</w:t>
      </w:r>
    </w:p>
    <w:tbl>
      <w:tblPr>
        <w:tblStyle w:val="Mriekatabuky"/>
        <w:tblW w:w="0" w:type="auto"/>
        <w:jc w:val="center"/>
        <w:tblLayout w:type="fixed"/>
        <w:tblLook w:val="04A0" w:firstRow="1" w:lastRow="0" w:firstColumn="1" w:lastColumn="0" w:noHBand="0" w:noVBand="1"/>
      </w:tblPr>
      <w:tblGrid>
        <w:gridCol w:w="2376"/>
        <w:gridCol w:w="7848"/>
      </w:tblGrid>
      <w:tr w:rsidR="00432B39">
        <w:trPr>
          <w:jc w:val="center"/>
        </w:trPr>
        <w:tc>
          <w:tcPr>
            <w:tcW w:w="2376" w:type="dxa"/>
            <w:shd w:val="clear" w:color="auto" w:fill="D9EAF7"/>
            <w:vAlign w:val="center"/>
          </w:tcPr>
          <w:p w:rsidR="00432B39" w:rsidRDefault="002C7078">
            <w:pPr>
              <w:rPr>
                <w:rFonts w:hint="eastAsia"/>
              </w:rPr>
            </w:pPr>
            <w:r>
              <w:rPr>
                <w:b/>
                <w:sz w:val="18"/>
              </w:rPr>
              <w:t>Item</w:t>
            </w:r>
          </w:p>
        </w:tc>
        <w:tc>
          <w:tcPr>
            <w:tcW w:w="7848" w:type="dxa"/>
            <w:shd w:val="clear" w:color="auto" w:fill="D9EAF7"/>
            <w:vAlign w:val="center"/>
          </w:tcPr>
          <w:p w:rsidR="00432B39" w:rsidRDefault="002C7078">
            <w:pPr>
              <w:rPr>
                <w:rFonts w:hint="eastAsia"/>
              </w:rPr>
            </w:pPr>
            <w:r>
              <w:rPr>
                <w:b/>
                <w:sz w:val="18"/>
              </w:rPr>
              <w:t>Specification</w:t>
            </w:r>
          </w:p>
        </w:tc>
      </w:tr>
      <w:tr w:rsidR="00432B39">
        <w:trPr>
          <w:jc w:val="center"/>
        </w:trPr>
        <w:tc>
          <w:tcPr>
            <w:tcW w:w="2376" w:type="dxa"/>
            <w:vAlign w:val="center"/>
          </w:tcPr>
          <w:p w:rsidR="00432B39" w:rsidRDefault="002C7078">
            <w:pPr>
              <w:spacing w:after="40"/>
              <w:rPr>
                <w:rFonts w:hint="eastAsia"/>
              </w:rPr>
            </w:pPr>
            <w:r>
              <w:rPr>
                <w:sz w:val="18"/>
              </w:rPr>
              <w:t>Topic</w:t>
            </w:r>
          </w:p>
        </w:tc>
        <w:tc>
          <w:tcPr>
            <w:tcW w:w="7848" w:type="dxa"/>
            <w:vAlign w:val="center"/>
          </w:tcPr>
          <w:p w:rsidR="00432B39" w:rsidRDefault="002C7078">
            <w:pPr>
              <w:spacing w:after="40"/>
              <w:rPr>
                <w:rFonts w:hint="eastAsia"/>
              </w:rPr>
            </w:pPr>
            <w:r>
              <w:rPr>
                <w:sz w:val="18"/>
              </w:rPr>
              <w:t>Stock/financial market volatility during COVID-19; econometric and AI/ML/DL models.</w:t>
            </w:r>
          </w:p>
        </w:tc>
      </w:tr>
      <w:tr w:rsidR="00432B39">
        <w:trPr>
          <w:jc w:val="center"/>
        </w:trPr>
        <w:tc>
          <w:tcPr>
            <w:tcW w:w="2376" w:type="dxa"/>
            <w:vAlign w:val="center"/>
          </w:tcPr>
          <w:p w:rsidR="00432B39" w:rsidRDefault="002C7078">
            <w:pPr>
              <w:spacing w:after="40"/>
              <w:rPr>
                <w:rFonts w:hint="eastAsia"/>
              </w:rPr>
            </w:pPr>
            <w:r>
              <w:rPr>
                <w:sz w:val="18"/>
              </w:rPr>
              <w:t>Primary database</w:t>
            </w:r>
          </w:p>
        </w:tc>
        <w:tc>
          <w:tcPr>
            <w:tcW w:w="7848" w:type="dxa"/>
            <w:vAlign w:val="center"/>
          </w:tcPr>
          <w:p w:rsidR="00432B39" w:rsidRDefault="002C7078">
            <w:pPr>
              <w:spacing w:after="40"/>
              <w:rPr>
                <w:rFonts w:hint="eastAsia"/>
              </w:rPr>
            </w:pPr>
            <w:r>
              <w:rPr>
                <w:sz w:val="18"/>
              </w:rPr>
              <w:t>Web of Science Core Collection.</w:t>
            </w:r>
          </w:p>
        </w:tc>
      </w:tr>
      <w:tr w:rsidR="00432B39">
        <w:trPr>
          <w:jc w:val="center"/>
        </w:trPr>
        <w:tc>
          <w:tcPr>
            <w:tcW w:w="2376" w:type="dxa"/>
            <w:vAlign w:val="center"/>
          </w:tcPr>
          <w:p w:rsidR="00432B39" w:rsidRDefault="002C7078">
            <w:pPr>
              <w:spacing w:after="40"/>
              <w:rPr>
                <w:rFonts w:hint="eastAsia"/>
              </w:rPr>
            </w:pPr>
            <w:r>
              <w:rPr>
                <w:sz w:val="18"/>
              </w:rPr>
              <w:t>Indexes</w:t>
            </w:r>
          </w:p>
        </w:tc>
        <w:tc>
          <w:tcPr>
            <w:tcW w:w="7848" w:type="dxa"/>
            <w:vAlign w:val="center"/>
          </w:tcPr>
          <w:p w:rsidR="00432B39" w:rsidRDefault="002C7078">
            <w:pPr>
              <w:spacing w:after="40"/>
              <w:rPr>
                <w:rFonts w:hint="eastAsia"/>
              </w:rPr>
            </w:pPr>
            <w:r>
              <w:rPr>
                <w:sz w:val="18"/>
              </w:rPr>
              <w:t>SCIE, SSCI, ESCI.</w:t>
            </w:r>
          </w:p>
        </w:tc>
      </w:tr>
      <w:tr w:rsidR="00432B39">
        <w:trPr>
          <w:jc w:val="center"/>
        </w:trPr>
        <w:tc>
          <w:tcPr>
            <w:tcW w:w="2376" w:type="dxa"/>
            <w:vAlign w:val="center"/>
          </w:tcPr>
          <w:p w:rsidR="00432B39" w:rsidRDefault="002C7078">
            <w:pPr>
              <w:spacing w:after="40"/>
              <w:rPr>
                <w:rFonts w:hint="eastAsia"/>
              </w:rPr>
            </w:pPr>
            <w:r>
              <w:rPr>
                <w:sz w:val="18"/>
              </w:rPr>
              <w:t>Supplementary database</w:t>
            </w:r>
          </w:p>
        </w:tc>
        <w:tc>
          <w:tcPr>
            <w:tcW w:w="7848" w:type="dxa"/>
            <w:vAlign w:val="center"/>
          </w:tcPr>
          <w:p w:rsidR="00432B39" w:rsidRDefault="002C7078">
            <w:pPr>
              <w:spacing w:after="40"/>
              <w:rPr>
                <w:rFonts w:hint="eastAsia"/>
              </w:rPr>
            </w:pPr>
            <w:r>
              <w:rPr>
                <w:sz w:val="18"/>
              </w:rPr>
              <w:t xml:space="preserve">Scopus – a </w:t>
            </w:r>
            <w:r>
              <w:rPr>
                <w:sz w:val="18"/>
              </w:rPr>
              <w:t>separate search focused on European markets.</w:t>
            </w:r>
          </w:p>
        </w:tc>
      </w:tr>
      <w:tr w:rsidR="00432B39">
        <w:trPr>
          <w:jc w:val="center"/>
        </w:trPr>
        <w:tc>
          <w:tcPr>
            <w:tcW w:w="2376" w:type="dxa"/>
            <w:vAlign w:val="center"/>
          </w:tcPr>
          <w:p w:rsidR="00432B39" w:rsidRDefault="002C7078">
            <w:pPr>
              <w:spacing w:after="40"/>
              <w:rPr>
                <w:rFonts w:hint="eastAsia"/>
              </w:rPr>
            </w:pPr>
            <w:r>
              <w:rPr>
                <w:sz w:val="18"/>
              </w:rPr>
              <w:t>Publication years</w:t>
            </w:r>
          </w:p>
        </w:tc>
        <w:tc>
          <w:tcPr>
            <w:tcW w:w="7848" w:type="dxa"/>
            <w:vAlign w:val="center"/>
          </w:tcPr>
          <w:p w:rsidR="00432B39" w:rsidRDefault="002C7078">
            <w:pPr>
              <w:spacing w:after="40"/>
              <w:rPr>
                <w:rFonts w:hint="eastAsia"/>
              </w:rPr>
            </w:pPr>
            <w:r>
              <w:rPr>
                <w:sz w:val="18"/>
              </w:rPr>
              <w:t>Web of Science: 2020–2026; Scopus: 2020–2025.</w:t>
            </w:r>
          </w:p>
        </w:tc>
      </w:tr>
      <w:tr w:rsidR="00432B39">
        <w:trPr>
          <w:jc w:val="center"/>
        </w:trPr>
        <w:tc>
          <w:tcPr>
            <w:tcW w:w="2376" w:type="dxa"/>
            <w:vAlign w:val="center"/>
          </w:tcPr>
          <w:p w:rsidR="00432B39" w:rsidRDefault="002C7078">
            <w:pPr>
              <w:spacing w:after="40"/>
              <w:rPr>
                <w:rFonts w:hint="eastAsia"/>
              </w:rPr>
            </w:pPr>
            <w:r>
              <w:rPr>
                <w:sz w:val="18"/>
              </w:rPr>
              <w:t>Language</w:t>
            </w:r>
          </w:p>
        </w:tc>
        <w:tc>
          <w:tcPr>
            <w:tcW w:w="7848" w:type="dxa"/>
            <w:vAlign w:val="center"/>
          </w:tcPr>
          <w:p w:rsidR="00432B39" w:rsidRDefault="002C7078">
            <w:pPr>
              <w:spacing w:after="40"/>
              <w:rPr>
                <w:rFonts w:hint="eastAsia"/>
              </w:rPr>
            </w:pPr>
            <w:r>
              <w:rPr>
                <w:sz w:val="18"/>
              </w:rPr>
              <w:t>English.</w:t>
            </w:r>
          </w:p>
        </w:tc>
      </w:tr>
      <w:tr w:rsidR="00432B39">
        <w:trPr>
          <w:jc w:val="center"/>
        </w:trPr>
        <w:tc>
          <w:tcPr>
            <w:tcW w:w="2376" w:type="dxa"/>
            <w:vAlign w:val="center"/>
          </w:tcPr>
          <w:p w:rsidR="00432B39" w:rsidRDefault="002C7078">
            <w:pPr>
              <w:spacing w:after="40"/>
              <w:rPr>
                <w:rFonts w:hint="eastAsia"/>
              </w:rPr>
            </w:pPr>
            <w:r>
              <w:rPr>
                <w:sz w:val="18"/>
              </w:rPr>
              <w:t>Document types</w:t>
            </w:r>
          </w:p>
        </w:tc>
        <w:tc>
          <w:tcPr>
            <w:tcW w:w="7848" w:type="dxa"/>
            <w:vAlign w:val="center"/>
          </w:tcPr>
          <w:p w:rsidR="00432B39" w:rsidRDefault="002C7078">
            <w:pPr>
              <w:spacing w:after="40"/>
              <w:rPr>
                <w:rFonts w:hint="eastAsia"/>
              </w:rPr>
            </w:pPr>
            <w:r>
              <w:rPr>
                <w:sz w:val="18"/>
              </w:rPr>
              <w:t>Article, Review Article; the WoS export also included Early Access records.</w:t>
            </w:r>
          </w:p>
        </w:tc>
      </w:tr>
      <w:tr w:rsidR="00432B39">
        <w:trPr>
          <w:jc w:val="center"/>
        </w:trPr>
        <w:tc>
          <w:tcPr>
            <w:tcW w:w="2376" w:type="dxa"/>
            <w:vAlign w:val="center"/>
          </w:tcPr>
          <w:p w:rsidR="00432B39" w:rsidRDefault="002C7078">
            <w:pPr>
              <w:spacing w:after="40"/>
              <w:rPr>
                <w:rFonts w:hint="eastAsia"/>
              </w:rPr>
            </w:pPr>
            <w:r>
              <w:rPr>
                <w:sz w:val="18"/>
              </w:rPr>
              <w:t>Screening unit</w:t>
            </w:r>
          </w:p>
        </w:tc>
        <w:tc>
          <w:tcPr>
            <w:tcW w:w="7848" w:type="dxa"/>
            <w:vAlign w:val="center"/>
          </w:tcPr>
          <w:p w:rsidR="00432B39" w:rsidRDefault="002C7078">
            <w:pPr>
              <w:spacing w:after="40"/>
              <w:rPr>
                <w:rFonts w:hint="eastAsia"/>
              </w:rPr>
            </w:pPr>
            <w:r>
              <w:rPr>
                <w:sz w:val="18"/>
              </w:rPr>
              <w:t>Title, abstract, au</w:t>
            </w:r>
            <w:r>
              <w:rPr>
                <w:sz w:val="18"/>
              </w:rPr>
              <w:t>thor keywords, and Keywords Plus.</w:t>
            </w:r>
          </w:p>
        </w:tc>
      </w:tr>
    </w:tbl>
    <w:p w:rsidR="00432B39" w:rsidRDefault="00432B39">
      <w:pPr>
        <w:spacing w:after="0"/>
        <w:rPr>
          <w:rFonts w:hint="eastAsia"/>
        </w:rPr>
      </w:pPr>
    </w:p>
    <w:p w:rsidR="00432B39" w:rsidRDefault="002C7078">
      <w:pPr>
        <w:pStyle w:val="Nadpis1"/>
      </w:pPr>
      <w:r>
        <w:t>S3. Inclusion and exclusion criteria</w:t>
      </w:r>
    </w:p>
    <w:p w:rsidR="00432B39" w:rsidRDefault="002C7078">
      <w:pPr>
        <w:pStyle w:val="Nadpis2"/>
      </w:pPr>
      <w:r>
        <w:t>Inclusion criteria</w:t>
      </w:r>
    </w:p>
    <w:p w:rsidR="00432B39" w:rsidRDefault="002C7078">
      <w:pPr>
        <w:pStyle w:val="Zoznamsodrkami"/>
        <w:rPr>
          <w:rFonts w:hint="eastAsia"/>
        </w:rPr>
      </w:pPr>
      <w:r>
        <w:t>The study concerns a stock or financial market and volatility.</w:t>
      </w:r>
    </w:p>
    <w:p w:rsidR="00432B39" w:rsidRDefault="002C7078">
      <w:pPr>
        <w:pStyle w:val="Zoznamsodrkami"/>
        <w:rPr>
          <w:rFonts w:hint="eastAsia"/>
        </w:rPr>
      </w:pPr>
      <w:r>
        <w:t>The study examines the COVID-19 period or its consequences.</w:t>
      </w:r>
    </w:p>
    <w:p w:rsidR="00432B39" w:rsidRDefault="002C7078">
      <w:pPr>
        <w:pStyle w:val="Zoznamsodrkami"/>
        <w:rPr>
          <w:rFonts w:hint="eastAsia"/>
        </w:rPr>
      </w:pPr>
      <w:r>
        <w:t xml:space="preserve">It uses an econometric model or a </w:t>
      </w:r>
      <w:r>
        <w:t>machine learning, deep learning, or artificial intelligence method.</w:t>
      </w:r>
    </w:p>
    <w:p w:rsidR="00432B39" w:rsidRDefault="002C7078">
      <w:pPr>
        <w:pStyle w:val="Zoznamsodrkami"/>
        <w:rPr>
          <w:rFonts w:hint="eastAsia"/>
        </w:rPr>
      </w:pPr>
      <w:r>
        <w:t>It is thematically relevant to the United States, Europe, China, or global markets.</w:t>
      </w:r>
    </w:p>
    <w:p w:rsidR="00432B39" w:rsidRDefault="002C7078">
      <w:pPr>
        <w:pStyle w:val="Zoznamsodrkami"/>
        <w:rPr>
          <w:rFonts w:hint="eastAsia"/>
        </w:rPr>
      </w:pPr>
      <w:r>
        <w:t>It was published within the specified period, in English, and as an eligible document type.</w:t>
      </w:r>
    </w:p>
    <w:p w:rsidR="00432B39" w:rsidRDefault="002C7078">
      <w:pPr>
        <w:pStyle w:val="Nadpis2"/>
      </w:pPr>
      <w:r>
        <w:t>Exclusion cr</w:t>
      </w:r>
      <w:r>
        <w:t>iteria</w:t>
      </w:r>
    </w:p>
    <w:p w:rsidR="00432B39" w:rsidRDefault="002C7078">
      <w:pPr>
        <w:pStyle w:val="Zoznamsodrkami"/>
        <w:rPr>
          <w:rFonts w:hint="eastAsia"/>
        </w:rPr>
      </w:pPr>
      <w:r>
        <w:t>Primary focus on commodities, gold, oil, energy, cryptocurrencies, or other non-equity assets without a direct contribution to the article’s objective.</w:t>
      </w:r>
    </w:p>
    <w:p w:rsidR="00432B39" w:rsidRDefault="002C7078">
      <w:pPr>
        <w:pStyle w:val="Zoznamsodrkami"/>
        <w:rPr>
          <w:rFonts w:hint="eastAsia"/>
        </w:rPr>
      </w:pPr>
      <w:r>
        <w:lastRenderedPageBreak/>
        <w:t>Regional studies with low relevance to the target areas, particularly India, the Middle East, and</w:t>
      </w:r>
      <w:r>
        <w:t xml:space="preserve"> parts of Asia.</w:t>
      </w:r>
    </w:p>
    <w:p w:rsidR="00432B39" w:rsidRDefault="002C7078">
      <w:pPr>
        <w:pStyle w:val="Zoznamsodrkami"/>
        <w:rPr>
          <w:rFonts w:hint="eastAsia"/>
        </w:rPr>
      </w:pPr>
      <w:r>
        <w:t>Review papers that do not use econometric or AI modelling.</w:t>
      </w:r>
    </w:p>
    <w:p w:rsidR="00432B39" w:rsidRDefault="002C7078">
      <w:pPr>
        <w:pStyle w:val="Zoznamsodrkami"/>
        <w:rPr>
          <w:rFonts w:hint="eastAsia"/>
        </w:rPr>
      </w:pPr>
      <w:r>
        <w:t>Studies focused mainly on trader sentiment, general finance, or economics without a sufficient link to IT or modelling.</w:t>
      </w:r>
    </w:p>
    <w:p w:rsidR="00432B39" w:rsidRDefault="002C7078">
      <w:pPr>
        <w:pStyle w:val="Zoznamsodrkami"/>
        <w:rPr>
          <w:rFonts w:hint="eastAsia"/>
        </w:rPr>
      </w:pPr>
      <w:r>
        <w:t>Unclear regional coverage, vague model specification, or insu</w:t>
      </w:r>
      <w:r>
        <w:t>fficient methodological relevance.</w:t>
      </w:r>
    </w:p>
    <w:p w:rsidR="00432B39" w:rsidRDefault="002C7078">
      <w:pPr>
        <w:pStyle w:val="Zoznamsodrkami"/>
        <w:rPr>
          <w:rFonts w:hint="eastAsia"/>
        </w:rPr>
      </w:pPr>
      <w:r>
        <w:t>Studies that compared COVID-19 with the global financial crisis or another crisis period without separately evaluating stock-market behaviour during the pandemic.</w:t>
      </w:r>
    </w:p>
    <w:p w:rsidR="00432B39" w:rsidRDefault="002C7078">
      <w:pPr>
        <w:rPr>
          <w:rFonts w:hint="eastAsia"/>
        </w:rPr>
      </w:pPr>
      <w:r>
        <w:t>Publisher assessment</w:t>
      </w:r>
      <w:r w:rsidR="009E4CB7">
        <w:t>:</w:t>
      </w:r>
      <w:r>
        <w:t xml:space="preserve"> Papers published by MDPI were not ex</w:t>
      </w:r>
      <w:r>
        <w:t>cluded automatically. Where detailed review and fact-checking indicated that an MDPI article was credible and releva</w:t>
      </w:r>
      <w:bookmarkStart w:id="0" w:name="_GoBack"/>
      <w:bookmarkEnd w:id="0"/>
      <w:r>
        <w:t>nt, it remained eligible for inclusion.</w:t>
      </w:r>
    </w:p>
    <w:p w:rsidR="00432B39" w:rsidRDefault="002C7078">
      <w:pPr>
        <w:pStyle w:val="Nadpis1"/>
      </w:pPr>
      <w:r>
        <w:t>S4. Web of Science search strategies</w:t>
      </w:r>
    </w:p>
    <w:p w:rsidR="00432B39" w:rsidRDefault="002C7078">
      <w:pPr>
        <w:pStyle w:val="Nadpis2"/>
      </w:pPr>
      <w:r>
        <w:t>Q1 – general analytical/modelling context</w:t>
      </w:r>
    </w:p>
    <w:p w:rsidR="00432B39" w:rsidRDefault="002C7078">
      <w:pPr>
        <w:shd w:val="clear" w:color="auto" w:fill="F3F6F9"/>
        <w:spacing w:before="60" w:after="160"/>
        <w:ind w:left="288" w:right="288"/>
        <w:rPr>
          <w:rFonts w:hint="eastAsia"/>
        </w:rPr>
      </w:pPr>
      <w:r>
        <w:rPr>
          <w:rFonts w:ascii="Consolas" w:hAnsi="Consolas"/>
          <w:sz w:val="17"/>
        </w:rPr>
        <w:t xml:space="preserve">TS=(("stock market*" </w:t>
      </w:r>
      <w:r>
        <w:rPr>
          <w:rFonts w:ascii="Consolas" w:hAnsi="Consolas"/>
          <w:sz w:val="17"/>
        </w:rPr>
        <w:t>OR "financial market*" OR "equity market*" OR "stock index*" OR "market index*") AND (volatil* OR "volatility forecasting" OR "volatility prediction" OR "realized volatility" OR "conditional volatility" OR "volatility spillover*" OR "volatility transmissio</w:t>
      </w:r>
      <w:r>
        <w:rPr>
          <w:rFonts w:ascii="Consolas" w:hAnsi="Consolas"/>
          <w:sz w:val="17"/>
        </w:rPr>
        <w:t>n") AND ("COVID-19" OR coronavirus OR pandemic* OR "SARS-CoV-2") AND (forecast* OR predict* OR model* OR "time series" OR spillover* OR connectedness OR "empirical analysis")) AND LA=(English) AND DT=(Article OR Review) AND PY=(2020-2026)</w:t>
      </w:r>
    </w:p>
    <w:p w:rsidR="00432B39" w:rsidRDefault="002C7078">
      <w:pPr>
        <w:pStyle w:val="Nadpis2"/>
      </w:pPr>
      <w:r>
        <w:t xml:space="preserve">Q2 – </w:t>
      </w:r>
      <w:r>
        <w:t>GARCH/HAR</w:t>
      </w:r>
    </w:p>
    <w:p w:rsidR="00432B39" w:rsidRDefault="002C7078">
      <w:pPr>
        <w:shd w:val="clear" w:color="auto" w:fill="F3F6F9"/>
        <w:spacing w:before="60" w:after="160"/>
        <w:ind w:left="288" w:right="288"/>
        <w:rPr>
          <w:rFonts w:hint="eastAsia"/>
        </w:rPr>
      </w:pPr>
      <w:r>
        <w:rPr>
          <w:rFonts w:ascii="Consolas" w:hAnsi="Consolas"/>
          <w:sz w:val="17"/>
        </w:rPr>
        <w:t>TS=(("stock market*" OR "financial market*" OR "equity market*" OR "stock index*") AND (volatil* OR "volatility forecasting" OR "volatility prediction" OR "realized volatility" OR "conditional volatility") AND (GARCH OR "GJR-GARCH" OR EGARCH OR H</w:t>
      </w:r>
      <w:r>
        <w:rPr>
          <w:rFonts w:ascii="Consolas" w:hAnsi="Consolas"/>
          <w:sz w:val="17"/>
        </w:rPr>
        <w:t>AR OR "HAR-RV" OR "heterogeneous autoregressive") AND ("COVID-19" OR coronavirus OR pandemic*)) AND LA=(English) AND DT=(Article OR Review) AND PY=(2020-2026)</w:t>
      </w:r>
    </w:p>
    <w:p w:rsidR="00432B39" w:rsidRDefault="002C7078">
      <w:pPr>
        <w:pStyle w:val="Nadpis2"/>
      </w:pPr>
      <w:r>
        <w:t>Q3 – AI/ML/DL</w:t>
      </w:r>
    </w:p>
    <w:p w:rsidR="00432B39" w:rsidRDefault="002C7078">
      <w:pPr>
        <w:shd w:val="clear" w:color="auto" w:fill="F3F6F9"/>
        <w:spacing w:before="60" w:after="160"/>
        <w:ind w:left="288" w:right="288"/>
        <w:rPr>
          <w:rFonts w:hint="eastAsia"/>
        </w:rPr>
      </w:pPr>
      <w:r>
        <w:rPr>
          <w:rFonts w:ascii="Consolas" w:hAnsi="Consolas"/>
          <w:sz w:val="17"/>
        </w:rPr>
        <w:t xml:space="preserve">TS=(("stock market*" OR "financial market*" OR "equity market*" OR "stock index*") </w:t>
      </w:r>
      <w:r>
        <w:rPr>
          <w:rFonts w:ascii="Consolas" w:hAnsi="Consolas"/>
          <w:sz w:val="17"/>
        </w:rPr>
        <w:t>AND (volatil* OR "volatility forecasting" OR "volatility prediction" OR "realized volatility" OR "conditional volatility") AND ("machine learning" OR "deep learning" OR "artificial intelligence" OR LSTM OR "long short-term memory" OR XGBoost OR "neural net</w:t>
      </w:r>
      <w:r>
        <w:rPr>
          <w:rFonts w:ascii="Consolas" w:hAnsi="Consolas"/>
          <w:sz w:val="17"/>
        </w:rPr>
        <w:t>work*" OR "random forest") AND ("COVID-19" OR coronavirus OR pandemic*)) AND LA=(English) AND DT=(Article OR Review) AND PY=(2020-2026)</w:t>
      </w:r>
    </w:p>
    <w:p w:rsidR="00432B39" w:rsidRDefault="002C7078">
      <w:pPr>
        <w:pStyle w:val="Nadpis2"/>
      </w:pPr>
      <w:r>
        <w:t>Q4 – combination of econometric and AI methods</w:t>
      </w:r>
    </w:p>
    <w:p w:rsidR="00432B39" w:rsidRDefault="002C7078">
      <w:pPr>
        <w:shd w:val="clear" w:color="auto" w:fill="F3F6F9"/>
        <w:spacing w:before="60" w:after="160"/>
        <w:ind w:left="288" w:right="288"/>
        <w:rPr>
          <w:rFonts w:hint="eastAsia"/>
        </w:rPr>
      </w:pPr>
      <w:r>
        <w:rPr>
          <w:rFonts w:ascii="Consolas" w:hAnsi="Consolas"/>
          <w:sz w:val="17"/>
        </w:rPr>
        <w:t>TS=(("stock market*" OR "financial market*" OR "equity market*" OR "stock</w:t>
      </w:r>
      <w:r>
        <w:rPr>
          <w:rFonts w:ascii="Consolas" w:hAnsi="Consolas"/>
          <w:sz w:val="17"/>
        </w:rPr>
        <w:t xml:space="preserve"> index*") AND (volatil* OR "volatility forecasting" OR "volatility prediction" OR "realized volatility" OR "conditional volatility") AND (GARCH OR "GJR-GARCH" OR EGARCH OR HAR OR "HAR-RV" OR "heterogeneous autoregressive") AND ("machine learning" OR "deep </w:t>
      </w:r>
      <w:r>
        <w:rPr>
          <w:rFonts w:ascii="Consolas" w:hAnsi="Consolas"/>
          <w:sz w:val="17"/>
        </w:rPr>
        <w:t>learning" OR "artificial intelligence" OR LSTM OR "long short-term memory" OR XGBoost OR "neural network*" OR "random forest") AND ("COVID-19" OR coronavirus OR pandemic*)) AND LA=(English) AND DT=(Article OR Review) AND PY=(2020-2026)</w:t>
      </w:r>
    </w:p>
    <w:p w:rsidR="00432B39" w:rsidRDefault="002C7078">
      <w:pPr>
        <w:pStyle w:val="Nadpis1"/>
      </w:pPr>
      <w:r>
        <w:t>S5. Exported fields</w:t>
      </w:r>
    </w:p>
    <w:p w:rsidR="00432B39" w:rsidRDefault="002C7078">
      <w:pPr>
        <w:rPr>
          <w:rFonts w:hint="eastAsia"/>
        </w:rPr>
      </w:pPr>
      <w:r>
        <w:t>Records were exported with the following fields:</w:t>
      </w:r>
    </w:p>
    <w:p w:rsidR="00432B39" w:rsidRDefault="002C7078">
      <w:pPr>
        <w:rPr>
          <w:rFonts w:hint="eastAsia"/>
        </w:rPr>
      </w:pPr>
      <w:r>
        <w:t>Author(s); Title; Source; Times Cited Count; ISSN; Abstract; Document Type; Keywords; WoS Categories; Research Areas; WoS Editions; IDS Number; Language.</w:t>
      </w:r>
    </w:p>
    <w:p w:rsidR="00432B39" w:rsidRDefault="002C7078">
      <w:pPr>
        <w:pStyle w:val="Nadpis1"/>
      </w:pPr>
      <w:r>
        <w:lastRenderedPageBreak/>
        <w:t>S6. Deduplication and screening</w:t>
      </w:r>
    </w:p>
    <w:p w:rsidR="00432B39" w:rsidRDefault="002C7078">
      <w:pPr>
        <w:pStyle w:val="slovanzoznam"/>
        <w:rPr>
          <w:rFonts w:hint="eastAsia"/>
        </w:rPr>
      </w:pPr>
      <w:r>
        <w:t xml:space="preserve">Collection of </w:t>
      </w:r>
      <w:r>
        <w:t>records from the Web of Science Core Collection across queries Q1–Q4.</w:t>
      </w:r>
    </w:p>
    <w:p w:rsidR="00432B39" w:rsidRDefault="002C7078">
      <w:pPr>
        <w:pStyle w:val="slovanzoznam"/>
        <w:rPr>
          <w:rFonts w:hint="eastAsia"/>
        </w:rPr>
      </w:pPr>
      <w:r>
        <w:t>Removal of duplicate records.</w:t>
      </w:r>
    </w:p>
    <w:p w:rsidR="00432B39" w:rsidRDefault="002C7078">
      <w:pPr>
        <w:pStyle w:val="slovanzoznam"/>
        <w:rPr>
          <w:rFonts w:hint="eastAsia"/>
        </w:rPr>
      </w:pPr>
      <w:r>
        <w:t>Automated screening of titles, abstracts, author keywords, and Keywords Plus for links to stock markets, volatility, COVID-19, and relevant models.</w:t>
      </w:r>
    </w:p>
    <w:p w:rsidR="00432B39" w:rsidRDefault="002C7078">
      <w:pPr>
        <w:pStyle w:val="slovanzoznam"/>
        <w:rPr>
          <w:rFonts w:hint="eastAsia"/>
        </w:rPr>
      </w:pPr>
      <w:r>
        <w:t>Visualis</w:t>
      </w:r>
      <w:r>
        <w:t>ation in VOSviewer and review of thematic clusters.</w:t>
      </w:r>
    </w:p>
    <w:p w:rsidR="00432B39" w:rsidRDefault="002C7078">
      <w:pPr>
        <w:pStyle w:val="slovanzoznam"/>
        <w:rPr>
          <w:rFonts w:hint="eastAsia"/>
        </w:rPr>
      </w:pPr>
      <w:r>
        <w:t>Filtering of commodity-focused and other irrelevant studies using a Python script.</w:t>
      </w:r>
    </w:p>
    <w:p w:rsidR="00432B39" w:rsidRDefault="002C7078">
      <w:pPr>
        <w:pStyle w:val="slovanzoznam"/>
        <w:rPr>
          <w:rFonts w:hint="eastAsia"/>
        </w:rPr>
      </w:pPr>
      <w:r>
        <w:t>Repeat visualisation of 379 potentially relevant articles in VOSviewer.</w:t>
      </w:r>
    </w:p>
    <w:p w:rsidR="00432B39" w:rsidRDefault="002C7078">
      <w:pPr>
        <w:pStyle w:val="slovanzoznam"/>
        <w:rPr>
          <w:rFonts w:hint="eastAsia"/>
        </w:rPr>
      </w:pPr>
      <w:r>
        <w:t>Manual assessment of 379 records in three relevan</w:t>
      </w:r>
      <w:r>
        <w:t>ce groups.</w:t>
      </w:r>
    </w:p>
    <w:p w:rsidR="00432B39" w:rsidRDefault="002C7078">
      <w:pPr>
        <w:pStyle w:val="slovanzoznam"/>
        <w:rPr>
          <w:rFonts w:hint="eastAsia"/>
        </w:rPr>
      </w:pPr>
      <w:r>
        <w:t>Additional assessment of 83 records and selection of the 36 most suitable Web of Science studies for analysis.</w:t>
      </w:r>
    </w:p>
    <w:p w:rsidR="00432B39" w:rsidRDefault="002C7078">
      <w:pPr>
        <w:rPr>
          <w:rFonts w:hint="eastAsia"/>
        </w:rPr>
      </w:pPr>
      <w:r>
        <w:t>The manual eligibility assessment and reporting of the selection flow followed the PRISMA 2020 framework.</w:t>
      </w:r>
    </w:p>
    <w:p w:rsidR="00432B39" w:rsidRDefault="002C7078">
      <w:pPr>
        <w:pStyle w:val="Nadpis1"/>
      </w:pPr>
      <w:r>
        <w:t>S7. Flow of records (PRISMA-</w:t>
      </w:r>
      <w:r>
        <w:t>oriented summary)</w:t>
      </w:r>
    </w:p>
    <w:tbl>
      <w:tblPr>
        <w:tblStyle w:val="Mriekatabuky"/>
        <w:tblW w:w="0" w:type="auto"/>
        <w:jc w:val="center"/>
        <w:tblLayout w:type="fixed"/>
        <w:tblLook w:val="04A0" w:firstRow="1" w:lastRow="0" w:firstColumn="1" w:lastColumn="0" w:noHBand="0" w:noVBand="1"/>
      </w:tblPr>
      <w:tblGrid>
        <w:gridCol w:w="3264"/>
        <w:gridCol w:w="3264"/>
        <w:gridCol w:w="5544"/>
      </w:tblGrid>
      <w:tr w:rsidR="00432B39">
        <w:trPr>
          <w:jc w:val="center"/>
        </w:trPr>
        <w:tc>
          <w:tcPr>
            <w:tcW w:w="3240" w:type="dxa"/>
            <w:shd w:val="clear" w:color="auto" w:fill="D9EAF7"/>
            <w:vAlign w:val="center"/>
          </w:tcPr>
          <w:p w:rsidR="00432B39" w:rsidRDefault="002C7078">
            <w:pPr>
              <w:rPr>
                <w:rFonts w:hint="eastAsia"/>
              </w:rPr>
            </w:pPr>
            <w:r>
              <w:rPr>
                <w:b/>
                <w:sz w:val="18"/>
              </w:rPr>
              <w:t>Stage</w:t>
            </w:r>
          </w:p>
        </w:tc>
        <w:tc>
          <w:tcPr>
            <w:tcW w:w="1440" w:type="dxa"/>
            <w:shd w:val="clear" w:color="auto" w:fill="D9EAF7"/>
            <w:vAlign w:val="center"/>
          </w:tcPr>
          <w:p w:rsidR="00432B39" w:rsidRDefault="002C7078">
            <w:pPr>
              <w:rPr>
                <w:rFonts w:hint="eastAsia"/>
              </w:rPr>
            </w:pPr>
            <w:r>
              <w:rPr>
                <w:b/>
                <w:sz w:val="18"/>
              </w:rPr>
              <w:t>Number</w:t>
            </w:r>
          </w:p>
        </w:tc>
        <w:tc>
          <w:tcPr>
            <w:tcW w:w="5544" w:type="dxa"/>
            <w:shd w:val="clear" w:color="auto" w:fill="D9EAF7"/>
            <w:vAlign w:val="center"/>
          </w:tcPr>
          <w:p w:rsidR="00432B39" w:rsidRDefault="002C7078">
            <w:pPr>
              <w:rPr>
                <w:rFonts w:hint="eastAsia"/>
              </w:rPr>
            </w:pPr>
            <w:r>
              <w:rPr>
                <w:b/>
                <w:sz w:val="18"/>
              </w:rPr>
              <w:t>Note</w:t>
            </w:r>
          </w:p>
        </w:tc>
      </w:tr>
      <w:tr w:rsidR="00432B39">
        <w:trPr>
          <w:jc w:val="center"/>
        </w:trPr>
        <w:tc>
          <w:tcPr>
            <w:tcW w:w="3240" w:type="dxa"/>
            <w:vAlign w:val="center"/>
          </w:tcPr>
          <w:p w:rsidR="00432B39" w:rsidRDefault="002C7078">
            <w:pPr>
              <w:spacing w:after="40"/>
              <w:rPr>
                <w:rFonts w:hint="eastAsia"/>
              </w:rPr>
            </w:pPr>
            <w:r>
              <w:rPr>
                <w:sz w:val="18"/>
              </w:rPr>
              <w:t>Records identified</w:t>
            </w:r>
          </w:p>
        </w:tc>
        <w:tc>
          <w:tcPr>
            <w:tcW w:w="1440" w:type="dxa"/>
            <w:vAlign w:val="center"/>
          </w:tcPr>
          <w:p w:rsidR="00432B39" w:rsidRDefault="002C7078">
            <w:pPr>
              <w:spacing w:after="40"/>
              <w:rPr>
                <w:rFonts w:hint="eastAsia"/>
              </w:rPr>
            </w:pPr>
            <w:r>
              <w:rPr>
                <w:sz w:val="18"/>
              </w:rPr>
              <w:t>2475</w:t>
            </w:r>
          </w:p>
        </w:tc>
        <w:tc>
          <w:tcPr>
            <w:tcW w:w="5544" w:type="dxa"/>
            <w:vAlign w:val="center"/>
          </w:tcPr>
          <w:p w:rsidR="00432B39" w:rsidRDefault="002C7078">
            <w:pPr>
              <w:spacing w:after="40"/>
              <w:rPr>
                <w:rFonts w:hint="eastAsia"/>
              </w:rPr>
            </w:pPr>
            <w:r>
              <w:rPr>
                <w:sz w:val="18"/>
              </w:rPr>
              <w:t>Total records loaded from Q1–Q4.</w:t>
            </w:r>
          </w:p>
        </w:tc>
      </w:tr>
      <w:tr w:rsidR="00432B39">
        <w:trPr>
          <w:jc w:val="center"/>
        </w:trPr>
        <w:tc>
          <w:tcPr>
            <w:tcW w:w="3240" w:type="dxa"/>
            <w:vAlign w:val="center"/>
          </w:tcPr>
          <w:p w:rsidR="00432B39" w:rsidRDefault="002C7078">
            <w:pPr>
              <w:spacing w:after="40"/>
              <w:rPr>
                <w:rFonts w:hint="eastAsia"/>
              </w:rPr>
            </w:pPr>
            <w:r>
              <w:rPr>
                <w:sz w:val="18"/>
              </w:rPr>
              <w:t>Duplicates removed</w:t>
            </w:r>
          </w:p>
        </w:tc>
        <w:tc>
          <w:tcPr>
            <w:tcW w:w="1440" w:type="dxa"/>
            <w:vAlign w:val="center"/>
          </w:tcPr>
          <w:p w:rsidR="00432B39" w:rsidRDefault="002C7078">
            <w:pPr>
              <w:spacing w:after="40"/>
              <w:rPr>
                <w:rFonts w:hint="eastAsia"/>
              </w:rPr>
            </w:pPr>
            <w:r>
              <w:rPr>
                <w:sz w:val="18"/>
              </w:rPr>
              <w:t>611</w:t>
            </w:r>
          </w:p>
        </w:tc>
        <w:tc>
          <w:tcPr>
            <w:tcW w:w="5544" w:type="dxa"/>
            <w:vAlign w:val="center"/>
          </w:tcPr>
          <w:p w:rsidR="00432B39" w:rsidRDefault="002C7078">
            <w:pPr>
              <w:spacing w:after="40"/>
              <w:rPr>
                <w:rFonts w:hint="eastAsia"/>
              </w:rPr>
            </w:pPr>
            <w:r>
              <w:rPr>
                <w:sz w:val="18"/>
              </w:rPr>
              <w:t>Deduplication across queries.</w:t>
            </w:r>
          </w:p>
        </w:tc>
      </w:tr>
      <w:tr w:rsidR="00432B39">
        <w:trPr>
          <w:jc w:val="center"/>
        </w:trPr>
        <w:tc>
          <w:tcPr>
            <w:tcW w:w="3240" w:type="dxa"/>
            <w:vAlign w:val="center"/>
          </w:tcPr>
          <w:p w:rsidR="00432B39" w:rsidRDefault="002C7078">
            <w:pPr>
              <w:spacing w:after="40"/>
              <w:rPr>
                <w:rFonts w:hint="eastAsia"/>
              </w:rPr>
            </w:pPr>
            <w:r>
              <w:rPr>
                <w:sz w:val="18"/>
              </w:rPr>
              <w:t>Unique records</w:t>
            </w:r>
          </w:p>
        </w:tc>
        <w:tc>
          <w:tcPr>
            <w:tcW w:w="1440" w:type="dxa"/>
            <w:vAlign w:val="center"/>
          </w:tcPr>
          <w:p w:rsidR="00432B39" w:rsidRDefault="002C7078">
            <w:pPr>
              <w:spacing w:after="40"/>
              <w:rPr>
                <w:rFonts w:hint="eastAsia"/>
              </w:rPr>
            </w:pPr>
            <w:r>
              <w:rPr>
                <w:sz w:val="18"/>
              </w:rPr>
              <w:t>1864</w:t>
            </w:r>
          </w:p>
        </w:tc>
        <w:tc>
          <w:tcPr>
            <w:tcW w:w="5544" w:type="dxa"/>
            <w:vAlign w:val="center"/>
          </w:tcPr>
          <w:p w:rsidR="00432B39" w:rsidRDefault="002C7078">
            <w:pPr>
              <w:spacing w:after="40"/>
              <w:rPr>
                <w:rFonts w:hint="eastAsia"/>
              </w:rPr>
            </w:pPr>
            <w:r>
              <w:rPr>
                <w:sz w:val="18"/>
              </w:rPr>
              <w:t>Records remaining after deduplication.</w:t>
            </w:r>
          </w:p>
        </w:tc>
      </w:tr>
      <w:tr w:rsidR="00432B39">
        <w:trPr>
          <w:jc w:val="center"/>
        </w:trPr>
        <w:tc>
          <w:tcPr>
            <w:tcW w:w="3240" w:type="dxa"/>
            <w:vAlign w:val="center"/>
          </w:tcPr>
          <w:p w:rsidR="00432B39" w:rsidRDefault="002C7078">
            <w:pPr>
              <w:spacing w:after="40"/>
              <w:rPr>
                <w:rFonts w:hint="eastAsia"/>
              </w:rPr>
            </w:pPr>
            <w:r>
              <w:rPr>
                <w:sz w:val="18"/>
              </w:rPr>
              <w:t>After automated filtering</w:t>
            </w:r>
          </w:p>
        </w:tc>
        <w:tc>
          <w:tcPr>
            <w:tcW w:w="1440" w:type="dxa"/>
            <w:vAlign w:val="center"/>
          </w:tcPr>
          <w:p w:rsidR="00432B39" w:rsidRDefault="002C7078">
            <w:pPr>
              <w:spacing w:after="40"/>
              <w:rPr>
                <w:rFonts w:hint="eastAsia"/>
              </w:rPr>
            </w:pPr>
            <w:r>
              <w:rPr>
                <w:sz w:val="18"/>
              </w:rPr>
              <w:t>379</w:t>
            </w:r>
          </w:p>
        </w:tc>
        <w:tc>
          <w:tcPr>
            <w:tcW w:w="5544" w:type="dxa"/>
            <w:vAlign w:val="center"/>
          </w:tcPr>
          <w:p w:rsidR="00432B39" w:rsidRDefault="002C7078">
            <w:pPr>
              <w:spacing w:after="40"/>
              <w:rPr>
                <w:rFonts w:hint="eastAsia"/>
              </w:rPr>
            </w:pPr>
            <w:r>
              <w:rPr>
                <w:sz w:val="18"/>
              </w:rPr>
              <w:t>Potentially relevant studies.</w:t>
            </w:r>
          </w:p>
        </w:tc>
      </w:tr>
      <w:tr w:rsidR="00432B39">
        <w:trPr>
          <w:jc w:val="center"/>
        </w:trPr>
        <w:tc>
          <w:tcPr>
            <w:tcW w:w="3240" w:type="dxa"/>
            <w:vAlign w:val="center"/>
          </w:tcPr>
          <w:p w:rsidR="00432B39" w:rsidRDefault="002C7078">
            <w:pPr>
              <w:spacing w:after="40"/>
              <w:rPr>
                <w:rFonts w:hint="eastAsia"/>
              </w:rPr>
            </w:pPr>
            <w:r>
              <w:rPr>
                <w:sz w:val="18"/>
              </w:rPr>
              <w:t>After manual selection</w:t>
            </w:r>
          </w:p>
        </w:tc>
        <w:tc>
          <w:tcPr>
            <w:tcW w:w="1440" w:type="dxa"/>
            <w:vAlign w:val="center"/>
          </w:tcPr>
          <w:p w:rsidR="00432B39" w:rsidRDefault="002C7078">
            <w:pPr>
              <w:spacing w:after="40"/>
              <w:rPr>
                <w:rFonts w:hint="eastAsia"/>
              </w:rPr>
            </w:pPr>
            <w:r>
              <w:rPr>
                <w:sz w:val="18"/>
              </w:rPr>
              <w:t>83</w:t>
            </w:r>
          </w:p>
        </w:tc>
        <w:tc>
          <w:tcPr>
            <w:tcW w:w="5544" w:type="dxa"/>
            <w:vAlign w:val="center"/>
          </w:tcPr>
          <w:p w:rsidR="00432B39" w:rsidRDefault="002C7078">
            <w:pPr>
              <w:spacing w:after="40"/>
              <w:rPr>
                <w:rFonts w:hint="eastAsia"/>
              </w:rPr>
            </w:pPr>
            <w:r>
              <w:rPr>
                <w:sz w:val="18"/>
              </w:rPr>
              <w:t>52 “yes” + 31 “maybe”.</w:t>
            </w:r>
          </w:p>
        </w:tc>
      </w:tr>
      <w:tr w:rsidR="00432B39">
        <w:trPr>
          <w:jc w:val="center"/>
        </w:trPr>
        <w:tc>
          <w:tcPr>
            <w:tcW w:w="3240" w:type="dxa"/>
            <w:vAlign w:val="center"/>
          </w:tcPr>
          <w:p w:rsidR="00432B39" w:rsidRDefault="002C7078">
            <w:pPr>
              <w:spacing w:after="40"/>
              <w:rPr>
                <w:rFonts w:hint="eastAsia"/>
              </w:rPr>
            </w:pPr>
            <w:r>
              <w:rPr>
                <w:sz w:val="18"/>
              </w:rPr>
              <w:t>Included in the final WoS analysis</w:t>
            </w:r>
          </w:p>
        </w:tc>
        <w:tc>
          <w:tcPr>
            <w:tcW w:w="1440" w:type="dxa"/>
            <w:vAlign w:val="center"/>
          </w:tcPr>
          <w:p w:rsidR="00432B39" w:rsidRDefault="002C7078">
            <w:pPr>
              <w:spacing w:after="40"/>
              <w:rPr>
                <w:rFonts w:hint="eastAsia"/>
              </w:rPr>
            </w:pPr>
            <w:r>
              <w:rPr>
                <w:sz w:val="18"/>
              </w:rPr>
              <w:t>36</w:t>
            </w:r>
          </w:p>
        </w:tc>
        <w:tc>
          <w:tcPr>
            <w:tcW w:w="5544" w:type="dxa"/>
            <w:vAlign w:val="center"/>
          </w:tcPr>
          <w:p w:rsidR="00432B39" w:rsidRDefault="002C7078">
            <w:pPr>
              <w:spacing w:after="40"/>
              <w:rPr>
                <w:rFonts w:hint="eastAsia"/>
              </w:rPr>
            </w:pPr>
            <w:r>
              <w:rPr>
                <w:sz w:val="18"/>
              </w:rPr>
              <w:t>Most relevant Web of Science articles after repeated manual assessment.</w:t>
            </w:r>
          </w:p>
        </w:tc>
      </w:tr>
      <w:tr w:rsidR="00432B39">
        <w:trPr>
          <w:jc w:val="center"/>
        </w:trPr>
        <w:tc>
          <w:tcPr>
            <w:tcW w:w="3264" w:type="dxa"/>
          </w:tcPr>
          <w:p w:rsidR="00432B39" w:rsidRDefault="002C7078">
            <w:pPr>
              <w:spacing w:after="40"/>
              <w:rPr>
                <w:rFonts w:hint="eastAsia"/>
              </w:rPr>
            </w:pPr>
            <w:r>
              <w:rPr>
                <w:sz w:val="18"/>
              </w:rPr>
              <w:t>Included from Scopus</w:t>
            </w:r>
          </w:p>
        </w:tc>
        <w:tc>
          <w:tcPr>
            <w:tcW w:w="3264" w:type="dxa"/>
          </w:tcPr>
          <w:p w:rsidR="00432B39" w:rsidRDefault="002C7078">
            <w:pPr>
              <w:spacing w:after="40"/>
              <w:rPr>
                <w:rFonts w:hint="eastAsia"/>
              </w:rPr>
            </w:pPr>
            <w:r>
              <w:rPr>
                <w:sz w:val="18"/>
              </w:rPr>
              <w:t>4</w:t>
            </w:r>
          </w:p>
        </w:tc>
        <w:tc>
          <w:tcPr>
            <w:tcW w:w="3264" w:type="dxa"/>
          </w:tcPr>
          <w:p w:rsidR="00432B39" w:rsidRDefault="002C7078">
            <w:pPr>
              <w:spacing w:after="40"/>
              <w:rPr>
                <w:rFonts w:hint="eastAsia"/>
              </w:rPr>
            </w:pPr>
            <w:r>
              <w:rPr>
                <w:sz w:val="18"/>
              </w:rPr>
              <w:t xml:space="preserve">European-market articles retained </w:t>
            </w:r>
            <w:r>
              <w:rPr>
                <w:sz w:val="18"/>
              </w:rPr>
              <w:t>after Scopus screening.</w:t>
            </w:r>
          </w:p>
        </w:tc>
      </w:tr>
    </w:tbl>
    <w:p w:rsidR="00432B39" w:rsidRDefault="00432B39">
      <w:pPr>
        <w:spacing w:after="0"/>
        <w:rPr>
          <w:rFonts w:hint="eastAsia"/>
        </w:rPr>
      </w:pPr>
    </w:p>
    <w:p w:rsidR="00432B39" w:rsidRDefault="002C7078">
      <w:pPr>
        <w:rPr>
          <w:rFonts w:hint="eastAsia"/>
        </w:rPr>
      </w:pPr>
      <w:r>
        <w:t>Exclusion counts by individual reason were not recorded at item level; they are therefore not estimated retrospectively. The summary retains only documented aggregate counts.</w:t>
      </w:r>
    </w:p>
    <w:p w:rsidR="00432B39" w:rsidRDefault="002C7078">
      <w:pPr>
        <w:pStyle w:val="Nadpis1"/>
      </w:pPr>
      <w:r>
        <w:t>S8. Manual selection and final sample</w:t>
      </w:r>
    </w:p>
    <w:p w:rsidR="00432B39" w:rsidRDefault="002C7078">
      <w:pPr>
        <w:rPr>
          <w:rFonts w:hint="eastAsia"/>
        </w:rPr>
      </w:pPr>
      <w:r>
        <w:t xml:space="preserve">Manual </w:t>
      </w:r>
      <w:r>
        <w:t>selection focused on econometric models, artificial intelligence methods, the COVID-19 period, and global markets, with particular emphasis on the United States, Europe, and China. Many of the 379 potentially relevant articles concerned India, the Middle E</w:t>
      </w:r>
      <w:r>
        <w:t>ast, and other Asian markets; these were excluded when their relevance to the target regions was low. Systematic reviews without modelling and papers with low IT or methodological relevance were also excluded.</w:t>
      </w:r>
    </w:p>
    <w:p w:rsidR="00432B39" w:rsidRDefault="002C7078">
      <w:pPr>
        <w:rPr>
          <w:rFonts w:hint="eastAsia"/>
        </w:rPr>
      </w:pPr>
      <w:r>
        <w:t>After the first manual round, 52 articles were</w:t>
      </w:r>
      <w:r>
        <w:t xml:space="preserve"> labelled “yes” and 31 were labelled “maybe”, giving a total of 83. Repeated manual review of regional and methodological relevance resulted in a final Web of Science sample of 36 articles. Selected studies using only econometric models were retained when </w:t>
      </w:r>
      <w:r>
        <w:t>they made a meaningful contribution to explaining market behaviour before, during, and after the pandemic.</w:t>
      </w:r>
    </w:p>
    <w:p w:rsidR="00432B39" w:rsidRDefault="002C7078">
      <w:pPr>
        <w:rPr>
          <w:rFonts w:hint="eastAsia"/>
        </w:rPr>
      </w:pPr>
      <w:r>
        <w:t>Only 6 of the 36 Web of Science articles focused exclusively on Europe. The supplementary Scopus search identified 4 additional relevant studies of E</w:t>
      </w:r>
      <w:r>
        <w:t>uropean markets, producing a combined final corpus of 40 articles for the literature review.</w:t>
      </w:r>
    </w:p>
    <w:p w:rsidR="00432B39" w:rsidRDefault="002C7078">
      <w:pPr>
        <w:pStyle w:val="Nadpis1"/>
      </w:pPr>
      <w:r>
        <w:lastRenderedPageBreak/>
        <w:t>S9. Supplementary Scopus search – Europe</w:t>
      </w:r>
    </w:p>
    <w:p w:rsidR="00432B39" w:rsidRDefault="002C7078">
      <w:pPr>
        <w:pStyle w:val="Nadpis2"/>
      </w:pPr>
      <w:r>
        <w:t>Full Scopus query</w:t>
      </w:r>
    </w:p>
    <w:p w:rsidR="00432B39" w:rsidRDefault="002C7078">
      <w:pPr>
        <w:shd w:val="clear" w:color="auto" w:fill="F3F6F9"/>
        <w:spacing w:before="60" w:after="160"/>
        <w:ind w:left="288" w:right="288"/>
        <w:rPr>
          <w:rFonts w:hint="eastAsia"/>
        </w:rPr>
      </w:pPr>
      <w:r>
        <w:rPr>
          <w:rFonts w:ascii="Consolas" w:hAnsi="Consolas"/>
          <w:sz w:val="17"/>
        </w:rPr>
        <w:t>TITLE(volatil* AND ("stock market*" OR "equity market*" OR "stock exchange*" OR "stock index*" OR "equit</w:t>
      </w:r>
      <w:r>
        <w:rPr>
          <w:rFonts w:ascii="Consolas" w:hAnsi="Consolas"/>
          <w:sz w:val="17"/>
        </w:rPr>
        <w:t xml:space="preserve">y index*" OR "share market*" OR "STOXX Europe 600" OR "STOXX 600" OR "EURO STOXX 50" OR "FTSE 100" OR "FTSE MIB" OR DAX OR "CAC 40" OR "IBEX 35" OR AEX OR "BEL 20" OR "Swiss Market Index" OR WIG20 OR OMX OR ATX OR "PSI 20")) AND TITLE-ABS-KEY(forecast* OR </w:t>
      </w:r>
      <w:r>
        <w:rPr>
          <w:rFonts w:ascii="Consolas" w:hAnsi="Consolas"/>
          <w:sz w:val="17"/>
        </w:rPr>
        <w:t xml:space="preserve">predict* OR model*) AND TITLE-ABS-KEY(COVID* OR coronavirus OR pandemic*) AND TITLE-ABS-KEY(Europe OR European OR "European Union" OR eurozone OR "euro area" OR "Central Europe*" OR "Eastern Europe*" OR "Western Europe*" OR "Northern Europe*" OR "Southern </w:t>
      </w:r>
      <w:r>
        <w:rPr>
          <w:rFonts w:ascii="Consolas" w:hAnsi="Consolas"/>
          <w:sz w:val="17"/>
        </w:rPr>
        <w:t>Europe*" OR "Southeastern Europe*" OR "Central and Eastern Europe" OR "Nordic countr*" OR "Baltic countr*") AND NOT TITLE("crude oil" OR petroleum OR "oil price*" OR "natural gas" OR electricity OR "electricity market*" OR "energy market*" OR "energy price</w:t>
      </w:r>
      <w:r>
        <w:rPr>
          <w:rFonts w:ascii="Consolas" w:hAnsi="Consolas"/>
          <w:sz w:val="17"/>
        </w:rPr>
        <w:t>*" OR "nuclear power" OR "nuclear energy" OR "nuclear production" OR commodity OR commodities OR gold OR bitcoin OR cryptocurrency OR cryptocurrencies OR "carbon emission*" OR agriculture OR tourism) AND PUBYEAR &gt; 2019 AND PUBYEAR &lt; 2026 AND DOCTYPE(ar) AN</w:t>
      </w:r>
      <w:r>
        <w:rPr>
          <w:rFonts w:ascii="Consolas" w:hAnsi="Consolas"/>
          <w:sz w:val="17"/>
        </w:rPr>
        <w:t>D LANGUAGE(english)</w:t>
      </w:r>
    </w:p>
    <w:p w:rsidR="00432B39" w:rsidRDefault="002C7078">
      <w:pPr>
        <w:rPr>
          <w:rFonts w:hint="eastAsia"/>
        </w:rPr>
      </w:pPr>
      <w:r>
        <w:t>Following screening and eligibility assessment, 4 articles from the Scopus search were included in the final selection.</w:t>
      </w:r>
    </w:p>
    <w:p w:rsidR="00432B39" w:rsidRDefault="002C7078">
      <w:pPr>
        <w:pStyle w:val="Nadpis1"/>
      </w:pPr>
      <w:r>
        <w:t>S10. Observations, limitations, and reproducibility</w:t>
      </w:r>
    </w:p>
    <w:p w:rsidR="00432B39" w:rsidRDefault="002C7078">
      <w:pPr>
        <w:rPr>
          <w:rFonts w:hint="eastAsia"/>
        </w:rPr>
      </w:pPr>
      <w:r>
        <w:rPr>
          <w:b/>
        </w:rPr>
        <w:t xml:space="preserve">Generalisability. </w:t>
      </w:r>
      <w:r>
        <w:t>A substantial share of the literature examines</w:t>
      </w:r>
      <w:r>
        <w:t xml:space="preserve"> specific markets under particular conditions, which limits the generalisability of the findings.</w:t>
      </w:r>
    </w:p>
    <w:p w:rsidR="00432B39" w:rsidRDefault="002C7078">
      <w:pPr>
        <w:rPr>
          <w:rFonts w:hint="eastAsia"/>
        </w:rPr>
      </w:pPr>
      <w:r>
        <w:rPr>
          <w:b/>
        </w:rPr>
        <w:t xml:space="preserve">Regional coverage. </w:t>
      </w:r>
      <w:r>
        <w:t>The United States and China were the most frequently studied regions. Only 6 included Web of Science articles focused exclusively on Europe</w:t>
      </w:r>
      <w:r>
        <w:t>; the supplementary Scopus search added 4 relevant European-market studies.</w:t>
      </w:r>
    </w:p>
    <w:p w:rsidR="00432B39" w:rsidRDefault="002C7078">
      <w:pPr>
        <w:rPr>
          <w:rFonts w:hint="eastAsia"/>
        </w:rPr>
      </w:pPr>
      <w:r>
        <w:rPr>
          <w:b/>
        </w:rPr>
        <w:t xml:space="preserve">Database updates. </w:t>
      </w:r>
      <w:r>
        <w:t>The Web of Science search can be reproduced using Q1–Q4, although result counts may change as the database is updated.</w:t>
      </w:r>
    </w:p>
    <w:p w:rsidR="00432B39" w:rsidRDefault="002C7078">
      <w:pPr>
        <w:rPr>
          <w:rFonts w:hint="eastAsia"/>
        </w:rPr>
      </w:pPr>
      <w:r>
        <w:rPr>
          <w:b/>
        </w:rPr>
        <w:t xml:space="preserve">Recording of exclusion reasons. </w:t>
      </w:r>
      <w:r>
        <w:t>Exact item-</w:t>
      </w:r>
      <w:r>
        <w:t>level reasons for exclusion were not retained in the available notes; only documented stages and aggregate counts are therefore reported.</w:t>
      </w:r>
    </w:p>
    <w:p w:rsidR="00432B39" w:rsidRDefault="002C7078">
      <w:pPr>
        <w:rPr>
          <w:rFonts w:hint="eastAsia"/>
        </w:rPr>
      </w:pPr>
      <w:r>
        <w:rPr>
          <w:b/>
        </w:rPr>
        <w:t xml:space="preserve">Supplementary search. </w:t>
      </w:r>
      <w:r>
        <w:t>The Scopus query was designed to improve coverage of European markets; 4 Scopus articles were in</w:t>
      </w:r>
      <w:r>
        <w:t>cluded in the final selection.</w:t>
      </w:r>
    </w:p>
    <w:p w:rsidR="00432B39" w:rsidRDefault="002C7078">
      <w:pPr>
        <w:pStyle w:val="Nadpis1"/>
      </w:pPr>
      <w:r>
        <w:t>S11. Analytical propositions derived from the research problem</w:t>
      </w:r>
    </w:p>
    <w:p w:rsidR="00432B39" w:rsidRDefault="002C7078">
      <w:pPr>
        <w:rPr>
          <w:rFonts w:hint="eastAsia"/>
        </w:rPr>
      </w:pPr>
      <w:r>
        <w:t>The final corpus of 40 studies is reviewed through three analytical propositions that structure the comparison of convergence, divergence, and context-specific fi</w:t>
      </w:r>
      <w:r>
        <w:t>ndings across the literature.</w:t>
      </w:r>
    </w:p>
    <w:p w:rsidR="00432B39" w:rsidRDefault="002C7078">
      <w:pPr>
        <w:rPr>
          <w:rFonts w:hint="eastAsia"/>
        </w:rPr>
      </w:pPr>
      <w:r>
        <w:rPr>
          <w:b/>
        </w:rPr>
        <w:t xml:space="preserve">AP1. Europe is under-researched. </w:t>
      </w:r>
      <w:r>
        <w:t xml:space="preserve">European evidence remains limited and often peripheral, particularly in direct comparisons with the United States and China and in analyses of interconnectedness across European </w:t>
      </w:r>
      <w:r>
        <w:t>markets.</w:t>
      </w:r>
    </w:p>
    <w:p w:rsidR="00432B39" w:rsidRDefault="002C7078">
      <w:pPr>
        <w:rPr>
          <w:rFonts w:hint="eastAsia"/>
        </w:rPr>
      </w:pPr>
      <w:r>
        <w:rPr>
          <w:b/>
        </w:rPr>
        <w:t xml:space="preserve">AP2. Long-term post-pandemic evidence is limited. </w:t>
      </w:r>
      <w:r>
        <w:t>Most studies concentrate on the periods before and during COVID-19, leaving the recovery and longer-term behaviour of stock markets after the pandemic comparatively under-examined.</w:t>
      </w:r>
    </w:p>
    <w:p w:rsidR="00432B39" w:rsidRDefault="002C7078">
      <w:pPr>
        <w:rPr>
          <w:rFonts w:hint="eastAsia"/>
        </w:rPr>
      </w:pPr>
      <w:r>
        <w:rPr>
          <w:b/>
        </w:rPr>
        <w:t>AP3. The perform</w:t>
      </w:r>
      <w:r>
        <w:rPr>
          <w:b/>
        </w:rPr>
        <w:t xml:space="preserve">ance and reliability of hybrid models remain inconclusive. </w:t>
      </w:r>
      <w:r>
        <w:t>Many approaches combine econometric models with machine-learning or deep-learning methods, but no universally best configuration has emerged; performance depends on the data, predictors, market, fo</w:t>
      </w:r>
      <w:r>
        <w:t>recast horizon, and research objective.</w:t>
      </w:r>
    </w:p>
    <w:sectPr w:rsidR="00432B39"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7078" w:rsidRDefault="002C7078">
      <w:pPr>
        <w:spacing w:after="0" w:line="240" w:lineRule="auto"/>
        <w:rPr>
          <w:rFonts w:hint="eastAsia"/>
        </w:rPr>
      </w:pPr>
      <w:r>
        <w:separator/>
      </w:r>
    </w:p>
  </w:endnote>
  <w:endnote w:type="continuationSeparator" w:id="0">
    <w:p w:rsidR="002C7078" w:rsidRDefault="002C707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20B0604020202020204"/>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2B39" w:rsidRDefault="002C7078">
    <w:pPr>
      <w:pStyle w:val="Pta"/>
      <w:jc w:val="center"/>
      <w:rPr>
        <w:rFonts w:hint="eastAsia"/>
      </w:rPr>
    </w:pPr>
    <w:r>
      <w:rPr>
        <w:sz w:val="16"/>
      </w:rPr>
      <w:t>Literature Search and Selection Protocol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7078" w:rsidRDefault="002C7078">
      <w:pPr>
        <w:spacing w:after="0" w:line="240" w:lineRule="auto"/>
        <w:rPr>
          <w:rFonts w:hint="eastAsia"/>
        </w:rPr>
      </w:pPr>
      <w:r>
        <w:separator/>
      </w:r>
    </w:p>
  </w:footnote>
  <w:footnote w:type="continuationSeparator" w:id="0">
    <w:p w:rsidR="002C7078" w:rsidRDefault="002C707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078"/>
    <w:rsid w:val="00326F90"/>
    <w:rsid w:val="00432B39"/>
    <w:rsid w:val="009E4CB7"/>
    <w:rsid w:val="00A60E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D5268"/>
  <w14:defaultImageDpi w14:val="300"/>
  <w15:docId w15:val="{100EB376-5CEE-B44D-B225-77E28545C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semiHidden="1"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y">
    <w:name w:val="Normal"/>
    <w:qFormat/>
    <w:rsid w:val="00FC693F"/>
    <w:pPr>
      <w:spacing w:after="120"/>
    </w:pPr>
    <w:rPr>
      <w:rFonts w:ascii="Aptos" w:hAnsi="Aptos"/>
      <w:sz w:val="21"/>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ind w:left="360"/>
      <w:contextualSpacing/>
    </w:pPr>
  </w:style>
  <w:style w:type="paragraph" w:styleId="Pokraovaniezoznamu2">
    <w:name w:val="List Continue 2"/>
    <w:basedOn w:val="Normlny"/>
    <w:uiPriority w:val="99"/>
    <w:unhideWhenUsed/>
    <w:rsid w:val="0029639D"/>
    <w:pPr>
      <w:ind w:left="720"/>
      <w:contextualSpacing/>
    </w:pPr>
  </w:style>
  <w:style w:type="paragraph" w:styleId="Pokraovaniezoznamu3">
    <w:name w:val="List Continue 3"/>
    <w:basedOn w:val="Normlny"/>
    <w:uiPriority w:val="99"/>
    <w:unhideWhenUsed/>
    <w:rsid w:val="0029639D"/>
    <w:pPr>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5968F-34BF-C143-8E7F-0ECA05580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Search and Selection Protocol</dc:title>
  <dc:subject>Stock market volatility, COVID-19, econometric and AI modelling; protocol updated from Chapter 3</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2026-08-28T11:31:00Z</dcterms:modified>
  <cp:category/>
</cp:coreProperties>
</file>