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C3232" w14:textId="69C99E5E" w:rsidR="00A72B89" w:rsidRPr="00236074" w:rsidRDefault="00A91DB7" w:rsidP="00C2620C">
      <w:pPr>
        <w:spacing w:line="276" w:lineRule="auto"/>
        <w:rPr>
          <w:b/>
          <w:bCs/>
          <w:sz w:val="28"/>
          <w:szCs w:val="28"/>
        </w:rPr>
      </w:pPr>
      <w:r w:rsidRPr="00236074">
        <w:rPr>
          <w:b/>
          <w:bCs/>
          <w:sz w:val="28"/>
          <w:szCs w:val="28"/>
        </w:rPr>
        <w:t xml:space="preserve">Identifikácia výskumnej oblasti </w:t>
      </w:r>
    </w:p>
    <w:p w14:paraId="3490732B" w14:textId="6D451549" w:rsidR="00A91DB7" w:rsidRPr="008F36D2" w:rsidRDefault="00A91DB7" w:rsidP="00C2620C">
      <w:pPr>
        <w:spacing w:line="276" w:lineRule="auto"/>
      </w:pPr>
      <w:r w:rsidRPr="008F36D2">
        <w:tab/>
      </w:r>
      <w:r w:rsidR="00AD580C" w:rsidRPr="00236074">
        <w:rPr>
          <w:sz w:val="24"/>
          <w:szCs w:val="24"/>
        </w:rPr>
        <w:t>Správanie</w:t>
      </w:r>
      <w:r w:rsidR="00AD6BA5" w:rsidRPr="00236074">
        <w:rPr>
          <w:sz w:val="24"/>
          <w:szCs w:val="24"/>
        </w:rPr>
        <w:t xml:space="preserve"> akciových trhov je ovplyvnené veľkým množstvom faktorov,</w:t>
      </w:r>
      <w:r w:rsidR="00AD580C" w:rsidRPr="00236074">
        <w:rPr>
          <w:sz w:val="24"/>
          <w:szCs w:val="24"/>
        </w:rPr>
        <w:t xml:space="preserve"> preto je</w:t>
      </w:r>
      <w:r w:rsidR="00AD6BA5" w:rsidRPr="00236074">
        <w:rPr>
          <w:sz w:val="24"/>
          <w:szCs w:val="24"/>
        </w:rPr>
        <w:t xml:space="preserve"> predikcia budúceho správania </w:t>
      </w:r>
      <w:r w:rsidR="002542A2" w:rsidRPr="00236074">
        <w:rPr>
          <w:sz w:val="24"/>
          <w:szCs w:val="24"/>
        </w:rPr>
        <w:t xml:space="preserve">takmer nemožná. Geopolitické šoky ako pandémia COVID-19 majú okamžitý a nepredvídateľný vplyv </w:t>
      </w:r>
      <w:r w:rsidR="00AD580C" w:rsidRPr="00236074">
        <w:rPr>
          <w:sz w:val="24"/>
          <w:szCs w:val="24"/>
        </w:rPr>
        <w:t xml:space="preserve">na </w:t>
      </w:r>
      <w:r w:rsidR="002542A2" w:rsidRPr="00236074">
        <w:rPr>
          <w:sz w:val="24"/>
          <w:szCs w:val="24"/>
        </w:rPr>
        <w:t xml:space="preserve">dynamiku akciových trhov, pretože pôsobia cez kapitálové toky a šoky likvidity. Identifikácia správania a reakcií </w:t>
      </w:r>
      <w:r w:rsidR="00AD580C" w:rsidRPr="00236074">
        <w:rPr>
          <w:sz w:val="24"/>
          <w:szCs w:val="24"/>
        </w:rPr>
        <w:t xml:space="preserve">akciových </w:t>
      </w:r>
      <w:r w:rsidR="002542A2" w:rsidRPr="00236074">
        <w:rPr>
          <w:sz w:val="24"/>
          <w:szCs w:val="24"/>
        </w:rPr>
        <w:t>trhov na krízové obdobia</w:t>
      </w:r>
      <w:r w:rsidR="00AD580C" w:rsidRPr="00236074">
        <w:rPr>
          <w:sz w:val="24"/>
          <w:szCs w:val="24"/>
        </w:rPr>
        <w:t xml:space="preserve"> predstavuje</w:t>
      </w:r>
      <w:r w:rsidR="002542A2" w:rsidRPr="00236074">
        <w:rPr>
          <w:sz w:val="24"/>
          <w:szCs w:val="24"/>
        </w:rPr>
        <w:t xml:space="preserve"> dôležit</w:t>
      </w:r>
      <w:r w:rsidR="00AD580C" w:rsidRPr="00236074">
        <w:rPr>
          <w:sz w:val="24"/>
          <w:szCs w:val="24"/>
        </w:rPr>
        <w:t>ú</w:t>
      </w:r>
      <w:r w:rsidR="002542A2" w:rsidRPr="00236074">
        <w:rPr>
          <w:sz w:val="24"/>
          <w:szCs w:val="24"/>
        </w:rPr>
        <w:t xml:space="preserve"> </w:t>
      </w:r>
      <w:r w:rsidR="00AD580C" w:rsidRPr="00236074">
        <w:rPr>
          <w:sz w:val="24"/>
          <w:szCs w:val="24"/>
        </w:rPr>
        <w:t xml:space="preserve">a relevantnú </w:t>
      </w:r>
      <w:r w:rsidR="002542A2" w:rsidRPr="00236074">
        <w:rPr>
          <w:sz w:val="24"/>
          <w:szCs w:val="24"/>
        </w:rPr>
        <w:t xml:space="preserve">oblasť výskumu. </w:t>
      </w:r>
    </w:p>
    <w:p w14:paraId="03BC9FC1" w14:textId="1A0C66F4" w:rsidR="00A91DB7" w:rsidRPr="00236074" w:rsidRDefault="00A91DB7" w:rsidP="00C2620C">
      <w:pPr>
        <w:spacing w:line="276" w:lineRule="auto"/>
        <w:rPr>
          <w:b/>
          <w:bCs/>
          <w:sz w:val="24"/>
          <w:szCs w:val="24"/>
        </w:rPr>
      </w:pPr>
      <w:r w:rsidRPr="00236074">
        <w:rPr>
          <w:b/>
          <w:bCs/>
          <w:sz w:val="28"/>
          <w:szCs w:val="28"/>
        </w:rPr>
        <w:t>Formulácia výskumného cieľa</w:t>
      </w:r>
    </w:p>
    <w:p w14:paraId="212652F1" w14:textId="0133E2E0" w:rsidR="00A91DB7" w:rsidRPr="008F36D2" w:rsidRDefault="00A91DB7" w:rsidP="00C2620C">
      <w:pPr>
        <w:spacing w:line="276" w:lineRule="auto"/>
      </w:pPr>
      <w:r w:rsidRPr="008F36D2">
        <w:tab/>
      </w:r>
      <w:r w:rsidRPr="00236074">
        <w:rPr>
          <w:sz w:val="24"/>
          <w:szCs w:val="24"/>
        </w:rPr>
        <w:t>Analýza súčasnéh</w:t>
      </w:r>
      <w:r w:rsidR="00AD580C" w:rsidRPr="00236074">
        <w:rPr>
          <w:sz w:val="24"/>
          <w:szCs w:val="24"/>
        </w:rPr>
        <w:t>o stavu</w:t>
      </w:r>
      <w:r w:rsidRPr="00236074">
        <w:rPr>
          <w:sz w:val="24"/>
          <w:szCs w:val="24"/>
        </w:rPr>
        <w:t xml:space="preserve"> </w:t>
      </w:r>
      <w:r w:rsidR="00C2620C">
        <w:rPr>
          <w:sz w:val="24"/>
          <w:szCs w:val="24"/>
        </w:rPr>
        <w:t>je</w:t>
      </w:r>
      <w:r w:rsidRPr="00236074">
        <w:rPr>
          <w:sz w:val="24"/>
          <w:szCs w:val="24"/>
        </w:rPr>
        <w:t xml:space="preserve"> zameraná na vplyv pandémie COVID-19 na</w:t>
      </w:r>
      <w:r w:rsidR="00AD6BA5" w:rsidRPr="00236074">
        <w:rPr>
          <w:sz w:val="24"/>
          <w:szCs w:val="24"/>
        </w:rPr>
        <w:t xml:space="preserve"> volatilitu</w:t>
      </w:r>
      <w:r w:rsidRPr="00236074">
        <w:rPr>
          <w:sz w:val="24"/>
          <w:szCs w:val="24"/>
        </w:rPr>
        <w:t xml:space="preserve"> akciov</w:t>
      </w:r>
      <w:r w:rsidR="00AD6BA5" w:rsidRPr="00236074">
        <w:rPr>
          <w:sz w:val="24"/>
          <w:szCs w:val="24"/>
        </w:rPr>
        <w:t>ých</w:t>
      </w:r>
      <w:r w:rsidRPr="00236074">
        <w:rPr>
          <w:sz w:val="24"/>
          <w:szCs w:val="24"/>
        </w:rPr>
        <w:t xml:space="preserve"> trh</w:t>
      </w:r>
      <w:r w:rsidR="00AD6BA5" w:rsidRPr="00236074">
        <w:rPr>
          <w:sz w:val="24"/>
          <w:szCs w:val="24"/>
        </w:rPr>
        <w:t>ov</w:t>
      </w:r>
      <w:r w:rsidRPr="00236074">
        <w:rPr>
          <w:sz w:val="24"/>
          <w:szCs w:val="24"/>
        </w:rPr>
        <w:t xml:space="preserve"> s cieľom identifikovať reakcie na obdobia so zvýšeným rizikom. Budú zhromaždené a analyzované doterajšie výskumné články v</w:t>
      </w:r>
      <w:r w:rsidR="00AD6BA5" w:rsidRPr="00236074">
        <w:rPr>
          <w:sz w:val="24"/>
          <w:szCs w:val="24"/>
        </w:rPr>
        <w:t> </w:t>
      </w:r>
      <w:r w:rsidRPr="00236074">
        <w:rPr>
          <w:sz w:val="24"/>
          <w:szCs w:val="24"/>
        </w:rPr>
        <w:t>oblasti</w:t>
      </w:r>
      <w:r w:rsidR="00AD6BA5" w:rsidRPr="00236074">
        <w:rPr>
          <w:sz w:val="24"/>
          <w:szCs w:val="24"/>
        </w:rPr>
        <w:t xml:space="preserve"> volatilita akciových trhov</w:t>
      </w:r>
      <w:r w:rsidR="00AD580C" w:rsidRPr="00236074">
        <w:rPr>
          <w:sz w:val="24"/>
          <w:szCs w:val="24"/>
        </w:rPr>
        <w:t xml:space="preserve"> a</w:t>
      </w:r>
      <w:r w:rsidR="00AD6BA5" w:rsidRPr="00236074">
        <w:rPr>
          <w:sz w:val="24"/>
          <w:szCs w:val="24"/>
        </w:rPr>
        <w:t xml:space="preserve"> COVID-19</w:t>
      </w:r>
      <w:r w:rsidR="00AD580C" w:rsidRPr="00236074">
        <w:rPr>
          <w:sz w:val="24"/>
          <w:szCs w:val="24"/>
        </w:rPr>
        <w:t>, ako aj použité metódy modelovania volatility</w:t>
      </w:r>
      <w:r w:rsidRPr="00236074">
        <w:rPr>
          <w:sz w:val="24"/>
          <w:szCs w:val="24"/>
        </w:rPr>
        <w:t xml:space="preserve">. Cieľom je vytvoriť komplexný prehľad dostupnej literatúry, ktorá sa zaoberá porovnaním období pred, počas a po pandémií COVID-19. Výsledkom </w:t>
      </w:r>
      <w:r w:rsidR="00C2620C">
        <w:rPr>
          <w:sz w:val="24"/>
          <w:szCs w:val="24"/>
        </w:rPr>
        <w:t>je</w:t>
      </w:r>
      <w:r w:rsidRPr="00236074">
        <w:rPr>
          <w:sz w:val="24"/>
          <w:szCs w:val="24"/>
        </w:rPr>
        <w:t xml:space="preserve"> </w:t>
      </w:r>
      <w:r w:rsidR="00AD6BA5" w:rsidRPr="00236074">
        <w:rPr>
          <w:sz w:val="24"/>
          <w:szCs w:val="24"/>
        </w:rPr>
        <w:t>zhrnutie</w:t>
      </w:r>
      <w:r w:rsidRPr="00236074">
        <w:rPr>
          <w:sz w:val="24"/>
          <w:szCs w:val="24"/>
        </w:rPr>
        <w:t xml:space="preserve"> doterajších zistení a porovnanie použitých modelov a</w:t>
      </w:r>
      <w:r w:rsidR="00AD6BA5" w:rsidRPr="00236074">
        <w:rPr>
          <w:sz w:val="24"/>
          <w:szCs w:val="24"/>
        </w:rPr>
        <w:t> </w:t>
      </w:r>
      <w:r w:rsidRPr="00236074">
        <w:rPr>
          <w:sz w:val="24"/>
          <w:szCs w:val="24"/>
        </w:rPr>
        <w:t>metód</w:t>
      </w:r>
      <w:r w:rsidR="00AD6BA5" w:rsidRPr="00236074">
        <w:rPr>
          <w:sz w:val="24"/>
          <w:szCs w:val="24"/>
        </w:rPr>
        <w:t xml:space="preserve">. </w:t>
      </w:r>
    </w:p>
    <w:p w14:paraId="0F9198CF" w14:textId="539305BE" w:rsidR="00A91DB7" w:rsidRPr="00236074" w:rsidRDefault="00A91DB7" w:rsidP="00C2620C">
      <w:pPr>
        <w:spacing w:line="276" w:lineRule="auto"/>
        <w:rPr>
          <w:b/>
          <w:bCs/>
          <w:sz w:val="28"/>
          <w:szCs w:val="28"/>
        </w:rPr>
      </w:pPr>
      <w:r w:rsidRPr="00236074">
        <w:rPr>
          <w:b/>
          <w:bCs/>
          <w:sz w:val="28"/>
          <w:szCs w:val="28"/>
        </w:rPr>
        <w:t>Definovanie rozsahu výskumu</w:t>
      </w:r>
    </w:p>
    <w:p w14:paraId="1ED709A4" w14:textId="7FAD26E4" w:rsidR="006942C3" w:rsidRPr="00236074" w:rsidRDefault="00D35F61" w:rsidP="00C2620C">
      <w:pPr>
        <w:spacing w:line="276" w:lineRule="auto"/>
        <w:rPr>
          <w:sz w:val="24"/>
          <w:szCs w:val="24"/>
        </w:rPr>
      </w:pPr>
      <w:r w:rsidRPr="008F36D2">
        <w:rPr>
          <w:b/>
          <w:bCs/>
          <w:sz w:val="24"/>
          <w:szCs w:val="24"/>
        </w:rPr>
        <w:tab/>
      </w:r>
      <w:r w:rsidR="00AD580C" w:rsidRPr="00236074">
        <w:rPr>
          <w:sz w:val="24"/>
          <w:szCs w:val="24"/>
        </w:rPr>
        <w:t>Systematický prehľad</w:t>
      </w:r>
      <w:r w:rsidRPr="00236074">
        <w:rPr>
          <w:sz w:val="24"/>
          <w:szCs w:val="24"/>
        </w:rPr>
        <w:t xml:space="preserve"> pozostáva zo zhromaždenia</w:t>
      </w:r>
      <w:r w:rsidR="00AD580C" w:rsidRPr="00236074">
        <w:rPr>
          <w:sz w:val="24"/>
          <w:szCs w:val="24"/>
        </w:rPr>
        <w:t xml:space="preserve"> a analýzy</w:t>
      </w:r>
      <w:r w:rsidRPr="00236074">
        <w:rPr>
          <w:sz w:val="24"/>
          <w:szCs w:val="24"/>
        </w:rPr>
        <w:t xml:space="preserve"> dostupnej literatúry v danej oblasti, s dôrazom na databázu </w:t>
      </w:r>
      <w:r w:rsidRPr="00236074">
        <w:rPr>
          <w:i/>
          <w:iCs/>
          <w:sz w:val="24"/>
          <w:szCs w:val="24"/>
        </w:rPr>
        <w:t xml:space="preserve">Web of </w:t>
      </w:r>
      <w:proofErr w:type="spellStart"/>
      <w:r w:rsidRPr="00236074">
        <w:rPr>
          <w:i/>
          <w:iCs/>
          <w:sz w:val="24"/>
          <w:szCs w:val="24"/>
        </w:rPr>
        <w:t>Science</w:t>
      </w:r>
      <w:proofErr w:type="spellEnd"/>
      <w:r w:rsidRPr="00236074">
        <w:rPr>
          <w:i/>
          <w:iCs/>
          <w:sz w:val="24"/>
          <w:szCs w:val="24"/>
        </w:rPr>
        <w:t xml:space="preserve"> </w:t>
      </w:r>
      <w:proofErr w:type="spellStart"/>
      <w:r w:rsidRPr="00236074">
        <w:rPr>
          <w:i/>
          <w:iCs/>
          <w:sz w:val="24"/>
          <w:szCs w:val="24"/>
        </w:rPr>
        <w:t>Core</w:t>
      </w:r>
      <w:proofErr w:type="spellEnd"/>
      <w:r w:rsidRPr="00236074">
        <w:rPr>
          <w:i/>
          <w:iCs/>
          <w:sz w:val="24"/>
          <w:szCs w:val="24"/>
        </w:rPr>
        <w:t xml:space="preserve"> </w:t>
      </w:r>
      <w:proofErr w:type="spellStart"/>
      <w:r w:rsidRPr="00236074">
        <w:rPr>
          <w:i/>
          <w:iCs/>
          <w:sz w:val="24"/>
          <w:szCs w:val="24"/>
        </w:rPr>
        <w:t>Collection</w:t>
      </w:r>
      <w:proofErr w:type="spellEnd"/>
      <w:r w:rsidR="00AD580C" w:rsidRPr="00236074">
        <w:rPr>
          <w:sz w:val="24"/>
          <w:szCs w:val="24"/>
        </w:rPr>
        <w:t xml:space="preserve">. </w:t>
      </w:r>
      <w:r w:rsidR="002D5277" w:rsidRPr="00236074">
        <w:rPr>
          <w:sz w:val="24"/>
          <w:szCs w:val="24"/>
        </w:rPr>
        <w:t xml:space="preserve">Výber </w:t>
      </w:r>
      <w:r w:rsidR="00C2620C">
        <w:rPr>
          <w:sz w:val="24"/>
          <w:szCs w:val="24"/>
        </w:rPr>
        <w:t>je</w:t>
      </w:r>
      <w:r w:rsidR="002D5277" w:rsidRPr="00236074">
        <w:rPr>
          <w:sz w:val="24"/>
          <w:szCs w:val="24"/>
        </w:rPr>
        <w:t xml:space="preserve"> sústredený primárne na články v anglickom jazyku za posledn</w:t>
      </w:r>
      <w:r w:rsidR="00AD580C" w:rsidRPr="00236074">
        <w:rPr>
          <w:sz w:val="24"/>
          <w:szCs w:val="24"/>
        </w:rPr>
        <w:t>ých</w:t>
      </w:r>
      <w:r w:rsidR="002D5277" w:rsidRPr="00236074">
        <w:rPr>
          <w:sz w:val="24"/>
          <w:szCs w:val="24"/>
        </w:rPr>
        <w:t xml:space="preserve"> </w:t>
      </w:r>
      <w:r w:rsidR="00AD580C" w:rsidRPr="00236074">
        <w:rPr>
          <w:sz w:val="24"/>
          <w:szCs w:val="24"/>
        </w:rPr>
        <w:t>6</w:t>
      </w:r>
      <w:r w:rsidR="002D5277" w:rsidRPr="00236074">
        <w:rPr>
          <w:sz w:val="24"/>
          <w:szCs w:val="24"/>
        </w:rPr>
        <w:t xml:space="preserve"> rok</w:t>
      </w:r>
      <w:r w:rsidR="00AD580C" w:rsidRPr="00236074">
        <w:rPr>
          <w:sz w:val="24"/>
          <w:szCs w:val="24"/>
        </w:rPr>
        <w:t>ov</w:t>
      </w:r>
      <w:r w:rsidR="002D5277" w:rsidRPr="00236074">
        <w:rPr>
          <w:sz w:val="24"/>
          <w:szCs w:val="24"/>
        </w:rPr>
        <w:t xml:space="preserve"> s kritériami volatilita, </w:t>
      </w:r>
      <w:r w:rsidR="002D5277" w:rsidRPr="00236074">
        <w:rPr>
          <w:i/>
          <w:iCs/>
          <w:sz w:val="24"/>
          <w:szCs w:val="24"/>
        </w:rPr>
        <w:t>COVID-19</w:t>
      </w:r>
      <w:r w:rsidR="002D5277" w:rsidRPr="00236074">
        <w:rPr>
          <w:sz w:val="24"/>
          <w:szCs w:val="24"/>
        </w:rPr>
        <w:t>, akciové trhy</w:t>
      </w:r>
      <w:r w:rsidR="00AD580C" w:rsidRPr="00236074">
        <w:rPr>
          <w:sz w:val="24"/>
          <w:szCs w:val="24"/>
        </w:rPr>
        <w:t>, ekonometrické modely a metódy umelej inteligencie.</w:t>
      </w:r>
    </w:p>
    <w:p w14:paraId="7934EE6E" w14:textId="65378ADC" w:rsidR="00DA41FE" w:rsidRPr="00236074" w:rsidRDefault="00DA41FE" w:rsidP="00C2620C">
      <w:pPr>
        <w:spacing w:line="276" w:lineRule="auto"/>
        <w:rPr>
          <w:sz w:val="24"/>
          <w:szCs w:val="24"/>
        </w:rPr>
      </w:pPr>
      <w:r w:rsidRPr="00236074">
        <w:rPr>
          <w:b/>
          <w:bCs/>
          <w:sz w:val="28"/>
          <w:szCs w:val="28"/>
        </w:rPr>
        <w:t>Literatúra</w:t>
      </w:r>
    </w:p>
    <w:p w14:paraId="67555051" w14:textId="5C9708B3" w:rsidR="006942C3" w:rsidRPr="00236074" w:rsidRDefault="00DA41FE" w:rsidP="00C2620C">
      <w:pPr>
        <w:keepNext/>
        <w:spacing w:line="276" w:lineRule="auto"/>
        <w:rPr>
          <w:sz w:val="24"/>
          <w:szCs w:val="24"/>
        </w:rPr>
      </w:pPr>
      <w:r w:rsidRPr="00236074">
        <w:rPr>
          <w:sz w:val="24"/>
          <w:szCs w:val="24"/>
        </w:rPr>
        <w:tab/>
        <w:t>Analýza dostupnej literatúry spočívala z identifikácia najrelevantnejších štúdií v oblasti volatilita, akciové trhy, COVID-19</w:t>
      </w:r>
      <w:r w:rsidR="00C2620C">
        <w:rPr>
          <w:sz w:val="24"/>
          <w:szCs w:val="24"/>
        </w:rPr>
        <w:t>, ekonometrické modely</w:t>
      </w:r>
      <w:r w:rsidRPr="00236074">
        <w:rPr>
          <w:sz w:val="24"/>
          <w:szCs w:val="24"/>
        </w:rPr>
        <w:t xml:space="preserve"> a metódy umelej inteligencie. Na tento účel sme zhromaždili dostupnú literatúru z databázy </w:t>
      </w:r>
      <w:r w:rsidRPr="00C2620C">
        <w:rPr>
          <w:i/>
          <w:iCs/>
          <w:sz w:val="24"/>
          <w:szCs w:val="24"/>
        </w:rPr>
        <w:t xml:space="preserve">Web of </w:t>
      </w:r>
      <w:proofErr w:type="spellStart"/>
      <w:r w:rsidRPr="00C2620C">
        <w:rPr>
          <w:i/>
          <w:iCs/>
          <w:sz w:val="24"/>
          <w:szCs w:val="24"/>
        </w:rPr>
        <w:t>Science</w:t>
      </w:r>
      <w:proofErr w:type="spellEnd"/>
      <w:r w:rsidRPr="00236074">
        <w:rPr>
          <w:sz w:val="24"/>
          <w:szCs w:val="24"/>
        </w:rPr>
        <w:t xml:space="preserve"> (</w:t>
      </w:r>
      <w:proofErr w:type="spellStart"/>
      <w:r w:rsidRPr="00236074">
        <w:rPr>
          <w:sz w:val="24"/>
          <w:szCs w:val="24"/>
        </w:rPr>
        <w:t>WoS</w:t>
      </w:r>
      <w:proofErr w:type="spellEnd"/>
      <w:r w:rsidRPr="00236074">
        <w:rPr>
          <w:sz w:val="24"/>
          <w:szCs w:val="24"/>
        </w:rPr>
        <w:t xml:space="preserve">), s dôrazom na indexy SSCI, ESCI a SCIE. Na vyhľadávanie relevantnej literatúry sme sformulovali 4 kombinácie spomínaných kľúčových slov, ktoré identifikovali takmer 2500 článkov v anglickom jazyku za posledných 6 rokov. Na základe názvu, abstraktu a kľúčových slov autora sme vytvorili sieť </w:t>
      </w:r>
      <w:r w:rsidR="00C2620C" w:rsidRPr="00236074">
        <w:rPr>
          <w:sz w:val="24"/>
          <w:szCs w:val="24"/>
        </w:rPr>
        <w:t>spolu výskytov</w:t>
      </w:r>
      <w:r w:rsidRPr="00236074">
        <w:rPr>
          <w:sz w:val="24"/>
          <w:szCs w:val="24"/>
        </w:rPr>
        <w:t xml:space="preserve"> prostredníctvom </w:t>
      </w:r>
      <w:proofErr w:type="spellStart"/>
      <w:r w:rsidRPr="00C2620C">
        <w:rPr>
          <w:i/>
          <w:iCs/>
          <w:sz w:val="24"/>
          <w:szCs w:val="24"/>
        </w:rPr>
        <w:t>VOSviewer</w:t>
      </w:r>
      <w:proofErr w:type="spellEnd"/>
      <w:r w:rsidRPr="00236074">
        <w:rPr>
          <w:sz w:val="24"/>
          <w:szCs w:val="24"/>
        </w:rPr>
        <w:t>, ktorý identifikoval značnú prevahu článkov zaoberajúcich sa komoditami ako zlato, ropa a kryptomeny. Tieto štúdie boli následne odstránené</w:t>
      </w:r>
      <w:r w:rsidR="008F36D2" w:rsidRPr="00236074">
        <w:rPr>
          <w:sz w:val="24"/>
          <w:szCs w:val="24"/>
        </w:rPr>
        <w:t xml:space="preserve"> z dôvodu nízkej relevantnosti</w:t>
      </w:r>
      <w:r w:rsidRPr="00236074">
        <w:rPr>
          <w:sz w:val="24"/>
          <w:szCs w:val="24"/>
        </w:rPr>
        <w:t xml:space="preserve">, čo </w:t>
      </w:r>
      <w:r w:rsidR="008F36D2" w:rsidRPr="00236074">
        <w:rPr>
          <w:sz w:val="24"/>
          <w:szCs w:val="24"/>
        </w:rPr>
        <w:t xml:space="preserve">výrazne </w:t>
      </w:r>
      <w:r w:rsidRPr="00236074">
        <w:rPr>
          <w:sz w:val="24"/>
          <w:szCs w:val="24"/>
        </w:rPr>
        <w:t>zredukovalo</w:t>
      </w:r>
      <w:r w:rsidR="008F36D2" w:rsidRPr="00236074">
        <w:rPr>
          <w:sz w:val="24"/>
          <w:szCs w:val="24"/>
        </w:rPr>
        <w:t xml:space="preserve"> </w:t>
      </w:r>
      <w:r w:rsidRPr="00236074">
        <w:rPr>
          <w:sz w:val="24"/>
          <w:szCs w:val="24"/>
        </w:rPr>
        <w:t xml:space="preserve">literatúru na 379 článkov.  </w:t>
      </w:r>
      <w:r w:rsidR="008F36D2" w:rsidRPr="00236074">
        <w:rPr>
          <w:sz w:val="24"/>
          <w:szCs w:val="24"/>
        </w:rPr>
        <w:t xml:space="preserve">Po opakovanom použití </w:t>
      </w:r>
      <w:proofErr w:type="spellStart"/>
      <w:r w:rsidR="008F36D2" w:rsidRPr="00C2620C">
        <w:rPr>
          <w:i/>
          <w:iCs/>
          <w:sz w:val="24"/>
          <w:szCs w:val="24"/>
        </w:rPr>
        <w:t>VOSviewer</w:t>
      </w:r>
      <w:proofErr w:type="spellEnd"/>
      <w:r w:rsidR="008F36D2" w:rsidRPr="00236074">
        <w:rPr>
          <w:sz w:val="24"/>
          <w:szCs w:val="24"/>
        </w:rPr>
        <w:t xml:space="preserve"> na zvyšné články je zrejmé, že sme dostatočne zachytili výskumnú problematiku (</w:t>
      </w:r>
      <w:r w:rsidR="008F36D2" w:rsidRPr="00236074">
        <w:rPr>
          <w:i/>
          <w:iCs/>
          <w:sz w:val="24"/>
          <w:szCs w:val="24"/>
        </w:rPr>
        <w:t xml:space="preserve">Obrázok </w:t>
      </w:r>
      <w:r w:rsidR="00B842CF" w:rsidRPr="00236074">
        <w:rPr>
          <w:i/>
          <w:iCs/>
          <w:sz w:val="24"/>
          <w:szCs w:val="24"/>
        </w:rPr>
        <w:t>1</w:t>
      </w:r>
      <w:r w:rsidR="008F36D2" w:rsidRPr="00236074">
        <w:rPr>
          <w:sz w:val="24"/>
          <w:szCs w:val="24"/>
        </w:rPr>
        <w:t>).</w:t>
      </w:r>
    </w:p>
    <w:p w14:paraId="579D75CE" w14:textId="0EEA584E" w:rsidR="008F36D2" w:rsidRPr="008F36D2" w:rsidRDefault="006942C3" w:rsidP="00C2620C">
      <w:pPr>
        <w:keepNext/>
        <w:spacing w:line="276" w:lineRule="auto"/>
        <w:ind w:firstLine="708"/>
      </w:pPr>
      <w:r w:rsidRPr="00236074">
        <w:rPr>
          <w:sz w:val="24"/>
          <w:szCs w:val="24"/>
        </w:rPr>
        <w:t>Zvyšné</w:t>
      </w:r>
      <w:r w:rsidRPr="00236074">
        <w:rPr>
          <w:sz w:val="24"/>
          <w:szCs w:val="24"/>
        </w:rPr>
        <w:t xml:space="preserve"> články prešli manuálnou kontrolou podľa preddefinovaných kritérií (</w:t>
      </w:r>
      <w:r w:rsidRPr="00236074">
        <w:rPr>
          <w:i/>
          <w:iCs/>
          <w:sz w:val="24"/>
          <w:szCs w:val="24"/>
        </w:rPr>
        <w:t>Obrázok 2</w:t>
      </w:r>
      <w:r w:rsidRPr="00236074">
        <w:rPr>
          <w:sz w:val="24"/>
          <w:szCs w:val="24"/>
        </w:rPr>
        <w:t>), ktorá identifikovala 31 najrelevantnejších štúdií. Veľká časť literatúry sa sústredí na Indiu a blízky východ. Tieto články boli odstránené z dôvodu nízkej relevantnosti skúmaných oblastí. Vyradené boli rovnako články, ktoré sa nezaoberajú metódami umelej inteligencie, a teda majú nízku relevantnosť pre</w:t>
      </w:r>
      <w:r w:rsidR="009D2C5D">
        <w:rPr>
          <w:sz w:val="24"/>
          <w:szCs w:val="24"/>
        </w:rPr>
        <w:t xml:space="preserve"> </w:t>
      </w:r>
      <w:r w:rsidR="00C2620C">
        <w:rPr>
          <w:sz w:val="24"/>
          <w:szCs w:val="24"/>
        </w:rPr>
        <w:t>tento</w:t>
      </w:r>
      <w:r w:rsidRPr="00236074">
        <w:rPr>
          <w:sz w:val="24"/>
          <w:szCs w:val="24"/>
        </w:rPr>
        <w:t xml:space="preserve"> výskum. Z dostupnej literatúry je zrejmé, že výskum sa zameriava hlavne analýzou a modelovaním špecifických akciových indexov s nízkou </w:t>
      </w:r>
      <w:r w:rsidRPr="00236074">
        <w:rPr>
          <w:sz w:val="24"/>
          <w:szCs w:val="24"/>
        </w:rPr>
        <w:lastRenderedPageBreak/>
        <w:t xml:space="preserve">generalizáciou pre USA, Čínu a Európu.  </w:t>
      </w:r>
      <w:r w:rsidR="008F36D2" w:rsidRPr="008F36D2">
        <w:rPr>
          <w:noProof/>
        </w:rPr>
        <w:drawing>
          <wp:inline distT="0" distB="0" distL="0" distR="0" wp14:anchorId="736C98C1" wp14:editId="5B8C97AD">
            <wp:extent cx="5844209" cy="3710004"/>
            <wp:effectExtent l="0" t="0" r="4445" b="5080"/>
            <wp:docPr id="173401395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573" cy="371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3B53B" w14:textId="47A15B52" w:rsidR="008F36D2" w:rsidRPr="00236074" w:rsidRDefault="008F36D2" w:rsidP="00C2620C">
      <w:pPr>
        <w:pStyle w:val="Popis"/>
        <w:spacing w:line="276" w:lineRule="auto"/>
        <w:rPr>
          <w:sz w:val="20"/>
          <w:szCs w:val="20"/>
        </w:rPr>
      </w:pPr>
      <w:r w:rsidRPr="00236074">
        <w:rPr>
          <w:sz w:val="20"/>
          <w:szCs w:val="20"/>
        </w:rPr>
        <w:t xml:space="preserve">Obrázok </w:t>
      </w:r>
      <w:r w:rsidR="00B842CF" w:rsidRPr="00236074">
        <w:rPr>
          <w:sz w:val="20"/>
          <w:szCs w:val="20"/>
        </w:rPr>
        <w:t>1</w:t>
      </w:r>
      <w:r w:rsidRPr="00236074">
        <w:rPr>
          <w:sz w:val="20"/>
          <w:szCs w:val="20"/>
        </w:rPr>
        <w:t xml:space="preserve"> Sieť spolu</w:t>
      </w:r>
      <w:r w:rsidR="00C2620C">
        <w:rPr>
          <w:sz w:val="20"/>
          <w:szCs w:val="20"/>
        </w:rPr>
        <w:t xml:space="preserve"> </w:t>
      </w:r>
      <w:r w:rsidRPr="00236074">
        <w:rPr>
          <w:sz w:val="20"/>
          <w:szCs w:val="20"/>
        </w:rPr>
        <w:t xml:space="preserve">výskytov </w:t>
      </w:r>
      <w:proofErr w:type="spellStart"/>
      <w:r w:rsidRPr="00236074">
        <w:rPr>
          <w:sz w:val="20"/>
          <w:szCs w:val="20"/>
        </w:rPr>
        <w:t>VOSviewer</w:t>
      </w:r>
      <w:proofErr w:type="spellEnd"/>
      <w:r w:rsidRPr="00236074">
        <w:rPr>
          <w:sz w:val="20"/>
          <w:szCs w:val="20"/>
        </w:rPr>
        <w:t>.</w:t>
      </w:r>
      <w:r w:rsidRPr="00236074">
        <w:rPr>
          <w:rStyle w:val="Odkaznapoznmkupodiarou"/>
          <w:sz w:val="20"/>
          <w:szCs w:val="20"/>
        </w:rPr>
        <w:footnoteReference w:id="1"/>
      </w:r>
      <w:r w:rsidRPr="00236074">
        <w:rPr>
          <w:sz w:val="20"/>
          <w:szCs w:val="20"/>
        </w:rPr>
        <w:t xml:space="preserve"> </w:t>
      </w:r>
    </w:p>
    <w:p w14:paraId="53DAFC50" w14:textId="77777777" w:rsidR="00B842CF" w:rsidRDefault="00B842CF" w:rsidP="00C2620C">
      <w:pPr>
        <w:keepNext/>
        <w:spacing w:line="276" w:lineRule="auto"/>
      </w:pPr>
      <w:r w:rsidRPr="008F36D2">
        <w:rPr>
          <w:noProof/>
        </w:rPr>
        <w:drawing>
          <wp:inline distT="0" distB="0" distL="0" distR="0" wp14:anchorId="3414F014" wp14:editId="157DE387">
            <wp:extent cx="5760720" cy="3208864"/>
            <wp:effectExtent l="0" t="0" r="0" b="0"/>
            <wp:docPr id="68887652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08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AC5E5" w14:textId="6A332863" w:rsidR="00B842CF" w:rsidRPr="00236074" w:rsidRDefault="00B842CF" w:rsidP="00C2620C">
      <w:pPr>
        <w:pStyle w:val="Popis"/>
        <w:spacing w:line="276" w:lineRule="auto"/>
        <w:rPr>
          <w:sz w:val="20"/>
          <w:szCs w:val="20"/>
        </w:rPr>
      </w:pPr>
      <w:r w:rsidRPr="00236074">
        <w:rPr>
          <w:sz w:val="20"/>
          <w:szCs w:val="20"/>
        </w:rPr>
        <w:t>Obrázok 2 Proces manuálnej kontroly literatúry.</w:t>
      </w:r>
      <w:r w:rsidRPr="00236074">
        <w:rPr>
          <w:rStyle w:val="Odkaznapoznmkupodiarou"/>
          <w:sz w:val="20"/>
          <w:szCs w:val="20"/>
        </w:rPr>
        <w:footnoteReference w:id="2"/>
      </w:r>
    </w:p>
    <w:sectPr w:rsidR="00B842CF" w:rsidRPr="002360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75A64" w14:textId="77777777" w:rsidR="00E06349" w:rsidRPr="008F36D2" w:rsidRDefault="00E06349" w:rsidP="00DD7F17">
      <w:pPr>
        <w:spacing w:after="0" w:line="240" w:lineRule="auto"/>
      </w:pPr>
      <w:r w:rsidRPr="008F36D2">
        <w:separator/>
      </w:r>
    </w:p>
  </w:endnote>
  <w:endnote w:type="continuationSeparator" w:id="0">
    <w:p w14:paraId="27E9DAE3" w14:textId="77777777" w:rsidR="00E06349" w:rsidRPr="008F36D2" w:rsidRDefault="00E06349" w:rsidP="00DD7F17">
      <w:pPr>
        <w:spacing w:after="0" w:line="240" w:lineRule="auto"/>
      </w:pPr>
      <w:r w:rsidRPr="008F36D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B00E6" w14:textId="77777777" w:rsidR="00E06349" w:rsidRPr="008F36D2" w:rsidRDefault="00E06349" w:rsidP="00DD7F17">
      <w:pPr>
        <w:spacing w:after="0" w:line="240" w:lineRule="auto"/>
      </w:pPr>
      <w:r w:rsidRPr="008F36D2">
        <w:separator/>
      </w:r>
    </w:p>
  </w:footnote>
  <w:footnote w:type="continuationSeparator" w:id="0">
    <w:p w14:paraId="3EEC2004" w14:textId="77777777" w:rsidR="00E06349" w:rsidRPr="008F36D2" w:rsidRDefault="00E06349" w:rsidP="00DD7F17">
      <w:pPr>
        <w:spacing w:after="0" w:line="240" w:lineRule="auto"/>
      </w:pPr>
      <w:r w:rsidRPr="008F36D2">
        <w:continuationSeparator/>
      </w:r>
    </w:p>
  </w:footnote>
  <w:footnote w:id="1">
    <w:p w14:paraId="78CD36D3" w14:textId="1C71E451" w:rsidR="008F36D2" w:rsidRPr="00C2620C" w:rsidRDefault="008F36D2">
      <w:pPr>
        <w:pStyle w:val="Textpoznmkypodiarou"/>
      </w:pPr>
      <w:r w:rsidRPr="00C2620C">
        <w:rPr>
          <w:rStyle w:val="Odkaznapoznmkupodiarou"/>
        </w:rPr>
        <w:footnoteRef/>
      </w:r>
      <w:r w:rsidRPr="00C2620C">
        <w:t xml:space="preserve"> Zdroj Obrázok </w:t>
      </w:r>
      <w:r w:rsidR="00B842CF" w:rsidRPr="00C2620C">
        <w:t>1</w:t>
      </w:r>
      <w:r w:rsidRPr="00C2620C">
        <w:t>: Autor.</w:t>
      </w:r>
    </w:p>
  </w:footnote>
  <w:footnote w:id="2">
    <w:p w14:paraId="4AF6FA0A" w14:textId="06584B77" w:rsidR="00B842CF" w:rsidRDefault="00B842CF">
      <w:pPr>
        <w:pStyle w:val="Textpoznmkypodiarou"/>
      </w:pPr>
      <w:r w:rsidRPr="00C2620C">
        <w:rPr>
          <w:rStyle w:val="Odkaznapoznmkupodiarou"/>
        </w:rPr>
        <w:footnoteRef/>
      </w:r>
      <w:r w:rsidRPr="00C2620C">
        <w:t xml:space="preserve"> </w:t>
      </w:r>
      <w:r w:rsidRPr="00C2620C">
        <w:t>Zdroj Obrázok 2: Autor.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DB7"/>
    <w:rsid w:val="00125206"/>
    <w:rsid w:val="0019382D"/>
    <w:rsid w:val="00210F20"/>
    <w:rsid w:val="00236074"/>
    <w:rsid w:val="002542A2"/>
    <w:rsid w:val="002C1D36"/>
    <w:rsid w:val="002C3428"/>
    <w:rsid w:val="002D5277"/>
    <w:rsid w:val="00562FDE"/>
    <w:rsid w:val="005B760D"/>
    <w:rsid w:val="005F3AEA"/>
    <w:rsid w:val="006942C3"/>
    <w:rsid w:val="006C7E30"/>
    <w:rsid w:val="008F36D2"/>
    <w:rsid w:val="009D2C5D"/>
    <w:rsid w:val="00A72B89"/>
    <w:rsid w:val="00A91DB7"/>
    <w:rsid w:val="00AD580C"/>
    <w:rsid w:val="00AD6BA5"/>
    <w:rsid w:val="00AF17A5"/>
    <w:rsid w:val="00B214F5"/>
    <w:rsid w:val="00B842CF"/>
    <w:rsid w:val="00C2620C"/>
    <w:rsid w:val="00C70E92"/>
    <w:rsid w:val="00CE4533"/>
    <w:rsid w:val="00D35F61"/>
    <w:rsid w:val="00D4685A"/>
    <w:rsid w:val="00DA41FE"/>
    <w:rsid w:val="00DD7F17"/>
    <w:rsid w:val="00DE3A0B"/>
    <w:rsid w:val="00E06349"/>
    <w:rsid w:val="00E428C6"/>
    <w:rsid w:val="00E54AC5"/>
    <w:rsid w:val="00E60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4BA4A"/>
  <w15:chartTrackingRefBased/>
  <w15:docId w15:val="{6B805BA2-3043-4D30-A222-E73298397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A91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A91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A91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A91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A91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A91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A91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A91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A91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A91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A91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91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91DB7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91DB7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91DB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91DB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91DB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91DB7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A91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A91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A91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A91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A91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A91DB7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A91DB7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A91DB7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A91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A91DB7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A91DB7"/>
    <w:rPr>
      <w:b/>
      <w:bCs/>
      <w:smallCaps/>
      <w:color w:val="2F5496" w:themeColor="accent1" w:themeShade="BF"/>
      <w:spacing w:val="5"/>
    </w:rPr>
  </w:style>
  <w:style w:type="paragraph" w:styleId="Popis">
    <w:name w:val="caption"/>
    <w:basedOn w:val="Normlny"/>
    <w:next w:val="Normlny"/>
    <w:uiPriority w:val="35"/>
    <w:unhideWhenUsed/>
    <w:qFormat/>
    <w:rsid w:val="00DE3A0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DD7F17"/>
    <w:pPr>
      <w:spacing w:after="0" w:line="240" w:lineRule="auto"/>
    </w:pPr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rsid w:val="00DD7F17"/>
    <w:rPr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unhideWhenUsed/>
    <w:rsid w:val="00DD7F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7202F9-FCB3-4E3B-A546-CF97DCCBF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Lužák</dc:creator>
  <cp:keywords/>
  <dc:description/>
  <cp:lastModifiedBy>Matej Lužák</cp:lastModifiedBy>
  <cp:revision>11</cp:revision>
  <dcterms:created xsi:type="dcterms:W3CDTF">2026-06-28T10:54:00Z</dcterms:created>
  <dcterms:modified xsi:type="dcterms:W3CDTF">2026-07-02T06:39:00Z</dcterms:modified>
</cp:coreProperties>
</file>