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FF31" w14:textId="1C41BB70" w:rsidR="00A72B89" w:rsidRDefault="008371A5" w:rsidP="008371A5">
      <w:pPr>
        <w:jc w:val="center"/>
        <w:rPr>
          <w:b/>
          <w:bCs/>
          <w:sz w:val="24"/>
          <w:szCs w:val="24"/>
        </w:rPr>
      </w:pPr>
      <w:r w:rsidRPr="008371A5">
        <w:rPr>
          <w:b/>
          <w:bCs/>
          <w:sz w:val="24"/>
          <w:szCs w:val="24"/>
        </w:rPr>
        <w:t>Revisiting overconfidence in investment decision-making: Further evidence from the U.S. market</w:t>
      </w:r>
    </w:p>
    <w:p w14:paraId="21E89B9C" w14:textId="2BB2A7F9" w:rsidR="008371A5" w:rsidRDefault="008371A5" w:rsidP="008371A5">
      <w:pPr>
        <w:ind w:firstLine="708"/>
      </w:pPr>
      <w:r w:rsidRPr="008371A5">
        <w:t>Článok skúma investorskú overconfidence na americkom trhu, konkrétne v indexe S&amp;P 500, počas rokov 2016–2021, vrátane obdobia COVID</w:t>
      </w:r>
      <w:r w:rsidRPr="008371A5">
        <w:rPr>
          <w:rFonts w:ascii="Cambria Math" w:hAnsi="Cambria Math" w:cs="Cambria Math"/>
        </w:rPr>
        <w:t>‑</w:t>
      </w:r>
      <w:r w:rsidRPr="008371A5">
        <w:t>19. Autori pou</w:t>
      </w:r>
      <w:r w:rsidRPr="008371A5">
        <w:rPr>
          <w:rFonts w:ascii="Calibri" w:hAnsi="Calibri" w:cs="Calibri"/>
        </w:rPr>
        <w:t>ží</w:t>
      </w:r>
      <w:r w:rsidRPr="008371A5">
        <w:t>vaj</w:t>
      </w:r>
      <w:r w:rsidRPr="008371A5">
        <w:rPr>
          <w:rFonts w:ascii="Calibri" w:hAnsi="Calibri" w:cs="Calibri"/>
        </w:rPr>
        <w:t>ú</w:t>
      </w:r>
      <w:r w:rsidRPr="008371A5">
        <w:t xml:space="preserve"> nov</w:t>
      </w:r>
      <w:r w:rsidRPr="008371A5">
        <w:rPr>
          <w:rFonts w:ascii="Calibri" w:hAnsi="Calibri" w:cs="Calibri"/>
        </w:rPr>
        <w:t>é</w:t>
      </w:r>
      <w:r w:rsidRPr="008371A5">
        <w:t xml:space="preserve"> neline</w:t>
      </w:r>
      <w:r w:rsidRPr="008371A5">
        <w:rPr>
          <w:rFonts w:ascii="Calibri" w:hAnsi="Calibri" w:cs="Calibri"/>
        </w:rPr>
        <w:t>á</w:t>
      </w:r>
      <w:r w:rsidRPr="008371A5">
        <w:t>rne met</w:t>
      </w:r>
      <w:r w:rsidRPr="008371A5">
        <w:rPr>
          <w:rFonts w:ascii="Calibri" w:hAnsi="Calibri" w:cs="Calibri"/>
        </w:rPr>
        <w:t>ó</w:t>
      </w:r>
      <w:r w:rsidRPr="008371A5">
        <w:t>dy (ANN, neline</w:t>
      </w:r>
      <w:r w:rsidRPr="008371A5">
        <w:rPr>
          <w:rFonts w:ascii="Calibri" w:hAnsi="Calibri" w:cs="Calibri"/>
        </w:rPr>
        <w:t>á</w:t>
      </w:r>
      <w:r w:rsidRPr="008371A5">
        <w:t>rne impulzn</w:t>
      </w:r>
      <w:r w:rsidRPr="008371A5">
        <w:rPr>
          <w:rFonts w:ascii="Calibri" w:hAnsi="Calibri" w:cs="Calibri"/>
        </w:rPr>
        <w:t>é</w:t>
      </w:r>
      <w:r w:rsidRPr="008371A5">
        <w:t xml:space="preserve"> reakcie) na testovanie vz</w:t>
      </w:r>
      <w:r w:rsidRPr="008371A5">
        <w:rPr>
          <w:rFonts w:ascii="Calibri" w:hAnsi="Calibri" w:cs="Calibri"/>
        </w:rPr>
        <w:t>ť</w:t>
      </w:r>
      <w:r w:rsidRPr="008371A5">
        <w:t>ahu medzi v</w:t>
      </w:r>
      <w:r w:rsidRPr="008371A5">
        <w:rPr>
          <w:rFonts w:ascii="Calibri" w:hAnsi="Calibri" w:cs="Calibri"/>
        </w:rPr>
        <w:t>ý</w:t>
      </w:r>
      <w:r w:rsidRPr="008371A5">
        <w:t>nosmi a obchodn</w:t>
      </w:r>
      <w:r w:rsidRPr="008371A5">
        <w:rPr>
          <w:rFonts w:ascii="Calibri" w:hAnsi="Calibri" w:cs="Calibri"/>
        </w:rPr>
        <w:t>ý</w:t>
      </w:r>
      <w:r w:rsidRPr="008371A5">
        <w:t>mi objemami.</w:t>
      </w:r>
    </w:p>
    <w:p w14:paraId="142F02BB" w14:textId="77777777" w:rsidR="008371A5" w:rsidRDefault="008371A5" w:rsidP="008371A5">
      <w:pPr>
        <w:rPr>
          <w:b/>
          <w:bCs/>
        </w:rPr>
      </w:pPr>
      <w:r w:rsidRPr="008371A5">
        <w:rPr>
          <w:b/>
          <w:bCs/>
        </w:rPr>
        <w:t>2. COVID</w:t>
      </w:r>
      <w:r w:rsidRPr="008371A5">
        <w:rPr>
          <w:rFonts w:ascii="Cambria Math" w:hAnsi="Cambria Math" w:cs="Cambria Math"/>
          <w:b/>
          <w:bCs/>
        </w:rPr>
        <w:t>‑</w:t>
      </w:r>
      <w:r w:rsidRPr="008371A5">
        <w:rPr>
          <w:b/>
          <w:bCs/>
        </w:rPr>
        <w:t>19 zv</w:t>
      </w:r>
      <w:r w:rsidRPr="008371A5">
        <w:rPr>
          <w:rFonts w:ascii="Calibri" w:hAnsi="Calibri" w:cs="Calibri"/>
          <w:b/>
          <w:bCs/>
        </w:rPr>
        <w:t>ýš</w:t>
      </w:r>
      <w:r w:rsidRPr="008371A5">
        <w:rPr>
          <w:b/>
          <w:bCs/>
        </w:rPr>
        <w:t>il neistotu, ale aj po</w:t>
      </w:r>
      <w:r w:rsidRPr="008371A5">
        <w:rPr>
          <w:rFonts w:ascii="Calibri" w:hAnsi="Calibri" w:cs="Calibri"/>
          <w:b/>
          <w:bCs/>
        </w:rPr>
        <w:t>č</w:t>
      </w:r>
      <w:r w:rsidRPr="008371A5">
        <w:rPr>
          <w:b/>
          <w:bCs/>
        </w:rPr>
        <w:t>et investorov</w:t>
      </w:r>
    </w:p>
    <w:p w14:paraId="5B1CAF96" w14:textId="77777777" w:rsidR="008371A5" w:rsidRPr="008371A5" w:rsidRDefault="008371A5" w:rsidP="008371A5">
      <w:pPr>
        <w:pStyle w:val="Odsekzoznamu"/>
        <w:numPr>
          <w:ilvl w:val="0"/>
          <w:numId w:val="1"/>
        </w:numPr>
        <w:rPr>
          <w:b/>
          <w:bCs/>
        </w:rPr>
      </w:pPr>
      <w:r>
        <w:t>Počas pandémie prudko rástol počet aktívnych investorov, hoci výnosy boli často negatívne.</w:t>
      </w:r>
    </w:p>
    <w:p w14:paraId="3A34EC44" w14:textId="7F939088" w:rsidR="008371A5" w:rsidRPr="008371A5" w:rsidRDefault="008371A5" w:rsidP="008371A5">
      <w:pPr>
        <w:pStyle w:val="Odsekzoznamu"/>
        <w:numPr>
          <w:ilvl w:val="0"/>
          <w:numId w:val="1"/>
        </w:numPr>
        <w:rPr>
          <w:b/>
          <w:bCs/>
        </w:rPr>
      </w:pPr>
      <w:r>
        <w:t>To naznačuje, že správanie bolo emocionálne motivované, nie racionálne.</w:t>
      </w:r>
    </w:p>
    <w:p w14:paraId="52B5A237" w14:textId="77777777" w:rsidR="008371A5" w:rsidRPr="008371A5" w:rsidRDefault="008371A5" w:rsidP="008371A5">
      <w:pPr>
        <w:rPr>
          <w:b/>
          <w:bCs/>
        </w:rPr>
      </w:pPr>
      <w:r w:rsidRPr="008371A5">
        <w:rPr>
          <w:b/>
          <w:bCs/>
        </w:rPr>
        <w:t>3. Nelineárne metódy odhalili odlišné reakcie podľa režimu výnosov</w:t>
      </w:r>
    </w:p>
    <w:p w14:paraId="1D1CED54" w14:textId="77777777" w:rsidR="008371A5" w:rsidRPr="008371A5" w:rsidRDefault="008371A5" w:rsidP="008371A5">
      <w:pPr>
        <w:numPr>
          <w:ilvl w:val="0"/>
          <w:numId w:val="2"/>
        </w:numPr>
      </w:pPr>
      <w:r w:rsidRPr="008371A5">
        <w:t>Nízke výnosy: prvá reakcia objemu na šok je negatívna, potom mierne pozitívna.</w:t>
      </w:r>
    </w:p>
    <w:p w14:paraId="79C95EB8" w14:textId="77777777" w:rsidR="008371A5" w:rsidRPr="008371A5" w:rsidRDefault="008371A5" w:rsidP="008371A5">
      <w:pPr>
        <w:numPr>
          <w:ilvl w:val="0"/>
          <w:numId w:val="2"/>
        </w:numPr>
      </w:pPr>
      <w:r w:rsidRPr="008371A5">
        <w:t>Vysoké výnosy: objem prudko rastie prvé dva dni, potom klesá.</w:t>
      </w:r>
    </w:p>
    <w:p w14:paraId="3D43A351" w14:textId="77777777" w:rsidR="008371A5" w:rsidRPr="008371A5" w:rsidRDefault="008371A5" w:rsidP="008371A5">
      <w:pPr>
        <w:numPr>
          <w:ilvl w:val="0"/>
          <w:numId w:val="2"/>
        </w:numPr>
      </w:pPr>
      <w:r w:rsidRPr="008371A5">
        <w:t>Reakcie sú asymetrické a pretrvávajú až 20 dní.</w:t>
      </w:r>
    </w:p>
    <w:p w14:paraId="7C73014F" w14:textId="19495A55" w:rsidR="008371A5" w:rsidRDefault="008371A5" w:rsidP="008371A5">
      <w:r w:rsidRPr="008371A5">
        <w:t>Potvrdenie, že nadmerná sebadôvera je silná, pretrvávajúca a asymetrická.</w:t>
      </w:r>
    </w:p>
    <w:p w14:paraId="0FD18EEF" w14:textId="77777777" w:rsidR="008371A5" w:rsidRDefault="008371A5" w:rsidP="008371A5"/>
    <w:p w14:paraId="0366FFAD" w14:textId="0977AEC6" w:rsidR="008371A5" w:rsidRPr="009F7B4B" w:rsidRDefault="009F7B4B" w:rsidP="009F7B4B">
      <w:pPr>
        <w:jc w:val="center"/>
        <w:rPr>
          <w:b/>
          <w:bCs/>
          <w:sz w:val="24"/>
          <w:szCs w:val="24"/>
        </w:rPr>
      </w:pPr>
      <w:r w:rsidRPr="009F7B4B">
        <w:rPr>
          <w:b/>
          <w:bCs/>
          <w:sz w:val="24"/>
          <w:szCs w:val="24"/>
        </w:rPr>
        <w:t>Financial Volatility Modeling with the GARCH-MIDAS-LSTM Approach: The Effects of Economic Expectations, Geopolitical Risks and Industrial Production during COVID-19</w:t>
      </w:r>
    </w:p>
    <w:p w14:paraId="3EBE0F17" w14:textId="77777777" w:rsidR="009F7B4B" w:rsidRPr="009F7B4B" w:rsidRDefault="009F7B4B" w:rsidP="009F7B4B">
      <w:r w:rsidRPr="009F7B4B">
        <w:t xml:space="preserve">Autori predstavujú nový hybridný model </w:t>
      </w:r>
      <w:r w:rsidRPr="009F7B4B">
        <w:rPr>
          <w:b/>
          <w:bCs/>
        </w:rPr>
        <w:t>GARCH</w:t>
      </w:r>
      <w:r w:rsidRPr="009F7B4B">
        <w:rPr>
          <w:b/>
          <w:bCs/>
        </w:rPr>
        <w:noBreakHyphen/>
        <w:t>MIDAS</w:t>
      </w:r>
      <w:r w:rsidRPr="009F7B4B">
        <w:rPr>
          <w:b/>
          <w:bCs/>
        </w:rPr>
        <w:noBreakHyphen/>
        <w:t>LSTM</w:t>
      </w:r>
      <w:r w:rsidRPr="009F7B4B">
        <w:t>, ktorý kombinuje:</w:t>
      </w:r>
    </w:p>
    <w:p w14:paraId="1C55A9B1" w14:textId="77777777" w:rsidR="009F7B4B" w:rsidRPr="009F7B4B" w:rsidRDefault="009F7B4B">
      <w:pPr>
        <w:numPr>
          <w:ilvl w:val="0"/>
          <w:numId w:val="47"/>
        </w:numPr>
      </w:pPr>
      <w:r w:rsidRPr="009F7B4B">
        <w:rPr>
          <w:b/>
          <w:bCs/>
        </w:rPr>
        <w:t>GARCH</w:t>
      </w:r>
      <w:r w:rsidRPr="009F7B4B">
        <w:rPr>
          <w:b/>
          <w:bCs/>
        </w:rPr>
        <w:noBreakHyphen/>
        <w:t>MIDAS</w:t>
      </w:r>
      <w:r w:rsidRPr="009F7B4B">
        <w:t xml:space="preserve"> – umožňuje zapojiť nízkofrekvenčné ekonomické ukazovatele (mesačné) do modelovania vysoko frekventovanej volatility (denné výnosy).</w:t>
      </w:r>
    </w:p>
    <w:p w14:paraId="1D5BB7F4" w14:textId="77777777" w:rsidR="009F7B4B" w:rsidRPr="009F7B4B" w:rsidRDefault="009F7B4B">
      <w:pPr>
        <w:numPr>
          <w:ilvl w:val="0"/>
          <w:numId w:val="47"/>
        </w:numPr>
      </w:pPr>
      <w:r w:rsidRPr="009F7B4B">
        <w:rPr>
          <w:b/>
          <w:bCs/>
        </w:rPr>
        <w:t>LSTM neurónové siete</w:t>
      </w:r>
      <w:r w:rsidRPr="009F7B4B">
        <w:t xml:space="preserve"> – zlepšujú predikčnú presnosť zachytávaním dlhodobých závislostí v časových radoch.</w:t>
      </w:r>
    </w:p>
    <w:p w14:paraId="4C367F8E" w14:textId="77777777" w:rsidR="009F7B4B" w:rsidRPr="009F7B4B" w:rsidRDefault="009F7B4B" w:rsidP="009F7B4B">
      <w:pPr>
        <w:rPr>
          <w:b/>
          <w:bCs/>
        </w:rPr>
      </w:pPr>
      <w:r w:rsidRPr="009F7B4B">
        <w:rPr>
          <w:b/>
          <w:bCs/>
        </w:rPr>
        <w:t>LSTM výrazne zlepšuje predikcie volatility</w:t>
      </w:r>
    </w:p>
    <w:p w14:paraId="61C84BFE" w14:textId="77777777" w:rsidR="009F7B4B" w:rsidRPr="009F7B4B" w:rsidRDefault="009F7B4B">
      <w:pPr>
        <w:numPr>
          <w:ilvl w:val="0"/>
          <w:numId w:val="48"/>
        </w:numPr>
      </w:pPr>
      <w:r w:rsidRPr="009F7B4B">
        <w:t xml:space="preserve">Zníženie RMSE o </w:t>
      </w:r>
      <w:r w:rsidRPr="009F7B4B">
        <w:rPr>
          <w:b/>
          <w:bCs/>
        </w:rPr>
        <w:t>39–95 %</w:t>
      </w:r>
      <w:r w:rsidRPr="009F7B4B">
        <w:t xml:space="preserve"> oproti klasickým GARCH</w:t>
      </w:r>
      <w:r w:rsidRPr="009F7B4B">
        <w:noBreakHyphen/>
        <w:t>MIDAS modelom.</w:t>
      </w:r>
    </w:p>
    <w:p w14:paraId="462EC47A" w14:textId="77777777" w:rsidR="009F7B4B" w:rsidRPr="009F7B4B" w:rsidRDefault="009F7B4B" w:rsidP="009F7B4B">
      <w:pPr>
        <w:rPr>
          <w:b/>
          <w:bCs/>
        </w:rPr>
      </w:pPr>
      <w:r w:rsidRPr="009F7B4B">
        <w:rPr>
          <w:b/>
          <w:bCs/>
        </w:rPr>
        <w:t>Vplyv ekonomických ukazovateľov na volatilitu</w:t>
      </w:r>
    </w:p>
    <w:p w14:paraId="0B3443E1" w14:textId="77777777" w:rsidR="009F7B4B" w:rsidRPr="009F7B4B" w:rsidRDefault="009F7B4B">
      <w:pPr>
        <w:numPr>
          <w:ilvl w:val="0"/>
          <w:numId w:val="49"/>
        </w:numPr>
      </w:pPr>
      <w:r w:rsidRPr="009F7B4B">
        <w:rPr>
          <w:b/>
          <w:bCs/>
        </w:rPr>
        <w:t>Geopolitické riziko (GPR)</w:t>
      </w:r>
      <w:r w:rsidRPr="009F7B4B">
        <w:t xml:space="preserve"> → </w:t>
      </w:r>
      <w:r w:rsidRPr="009F7B4B">
        <w:rPr>
          <w:b/>
          <w:bCs/>
        </w:rPr>
        <w:t>zvyšuje volatilitu</w:t>
      </w:r>
      <w:r w:rsidRPr="009F7B4B">
        <w:t xml:space="preserve"> (najsilnejší efekt).</w:t>
      </w:r>
    </w:p>
    <w:p w14:paraId="6F1CD41F" w14:textId="77777777" w:rsidR="009F7B4B" w:rsidRPr="009F7B4B" w:rsidRDefault="009F7B4B">
      <w:pPr>
        <w:numPr>
          <w:ilvl w:val="0"/>
          <w:numId w:val="49"/>
        </w:numPr>
      </w:pPr>
      <w:r w:rsidRPr="009F7B4B">
        <w:rPr>
          <w:b/>
          <w:bCs/>
        </w:rPr>
        <w:t>Priemyselná produkcia (IPIC, IPIT)</w:t>
      </w:r>
      <w:r w:rsidRPr="009F7B4B">
        <w:t xml:space="preserve"> → </w:t>
      </w:r>
      <w:r w:rsidRPr="009F7B4B">
        <w:rPr>
          <w:b/>
          <w:bCs/>
        </w:rPr>
        <w:t>znižuje volatilitu</w:t>
      </w:r>
      <w:r w:rsidRPr="009F7B4B">
        <w:t>.</w:t>
      </w:r>
    </w:p>
    <w:p w14:paraId="11B7F9B6" w14:textId="63A5F689" w:rsidR="009F7B4B" w:rsidRDefault="009F7B4B">
      <w:pPr>
        <w:numPr>
          <w:ilvl w:val="0"/>
          <w:numId w:val="49"/>
        </w:numPr>
      </w:pPr>
      <w:r w:rsidRPr="009F7B4B">
        <w:rPr>
          <w:b/>
          <w:bCs/>
        </w:rPr>
        <w:t>CLI (ekonomické očakávania)</w:t>
      </w:r>
      <w:r w:rsidRPr="009F7B4B">
        <w:t xml:space="preserve"> → väčšinou </w:t>
      </w:r>
      <w:r w:rsidRPr="009F7B4B">
        <w:rPr>
          <w:b/>
          <w:bCs/>
        </w:rPr>
        <w:t>znižuje volatilitu</w:t>
      </w:r>
      <w:r w:rsidRPr="009F7B4B">
        <w:t>, no v niektorých GARCH</w:t>
      </w:r>
      <w:r w:rsidRPr="009F7B4B">
        <w:noBreakHyphen/>
        <w:t>MIDAS modeloch je efekt slabý alebo štatisticky nevýznamný.</w:t>
      </w:r>
    </w:p>
    <w:p w14:paraId="6D3B040E" w14:textId="77777777" w:rsidR="009F7B4B" w:rsidRPr="008371A5" w:rsidRDefault="009F7B4B" w:rsidP="00A81907"/>
    <w:p w14:paraId="703CDC32" w14:textId="44209606" w:rsidR="008371A5" w:rsidRPr="00A81907" w:rsidRDefault="00A81907" w:rsidP="00A81907">
      <w:pPr>
        <w:jc w:val="center"/>
        <w:rPr>
          <w:b/>
          <w:bCs/>
          <w:sz w:val="24"/>
          <w:szCs w:val="24"/>
        </w:rPr>
      </w:pPr>
      <w:r w:rsidRPr="00A81907">
        <w:rPr>
          <w:b/>
          <w:bCs/>
          <w:sz w:val="24"/>
          <w:szCs w:val="24"/>
        </w:rPr>
        <w:t>Volatility forecasting and assessing risk of financial markets using multi-transformer neural network based architecture</w:t>
      </w:r>
    </w:p>
    <w:p w14:paraId="433BA74F" w14:textId="5974A47D" w:rsidR="008371A5" w:rsidRDefault="00A81907" w:rsidP="008371A5">
      <w:r>
        <w:tab/>
      </w:r>
      <w:r w:rsidRPr="00A81907">
        <w:t>Autori predstavujú nový hybridný model na predpovedanie volatility finančných trhov, ktorý kombinuje Transformer / Multi</w:t>
      </w:r>
      <w:r w:rsidRPr="00A81907">
        <w:noBreakHyphen/>
        <w:t>Transformer architektúry s tradičnými modelmi GARCH a LSTM. Cieľom je zlepšiť presnosť predpovedí najmä v extrémne volatilných obdobiach, ako bol COVID</w:t>
      </w:r>
      <w:r w:rsidRPr="00A81907">
        <w:noBreakHyphen/>
        <w:t>19</w:t>
      </w:r>
      <w:r>
        <w:t>. Testované obdobie 2017-2021.</w:t>
      </w:r>
    </w:p>
    <w:p w14:paraId="6B206A1D" w14:textId="6AF362F2" w:rsidR="00A81907" w:rsidRDefault="00A81907" w:rsidP="00A81907">
      <w:pPr>
        <w:rPr>
          <w:b/>
          <w:bCs/>
        </w:rPr>
      </w:pPr>
      <w:r w:rsidRPr="00A81907">
        <w:rPr>
          <w:b/>
          <w:bCs/>
        </w:rPr>
        <w:lastRenderedPageBreak/>
        <w:t>Hybridné modely výrazne prekonávajú klasické GARCH</w:t>
      </w:r>
    </w:p>
    <w:p w14:paraId="528E4E12" w14:textId="534F4604" w:rsidR="00A81907" w:rsidRPr="00A81907" w:rsidRDefault="00A81907">
      <w:pPr>
        <w:pStyle w:val="Odsekzoznamu"/>
        <w:numPr>
          <w:ilvl w:val="0"/>
          <w:numId w:val="5"/>
        </w:numPr>
      </w:pPr>
      <w:r w:rsidRPr="00A81907">
        <w:t>Transformerové a Multi</w:t>
      </w:r>
      <w:r w:rsidRPr="00A81907">
        <w:noBreakHyphen/>
        <w:t>Transformerové modely dosahujú najnižšie RMSE a MAE pri predpovedaní volatility</w:t>
      </w:r>
    </w:p>
    <w:p w14:paraId="0E795D3C" w14:textId="3AE41C65" w:rsidR="00A81907" w:rsidRPr="00A81907" w:rsidRDefault="00A81907" w:rsidP="00A81907">
      <w:pPr>
        <w:rPr>
          <w:b/>
          <w:bCs/>
        </w:rPr>
      </w:pPr>
      <w:r w:rsidRPr="00A81907">
        <w:rPr>
          <w:b/>
          <w:bCs/>
        </w:rPr>
        <w:t>Modely fungujú aj v extrémnych podmienkach</w:t>
      </w:r>
    </w:p>
    <w:p w14:paraId="79FF1619" w14:textId="77777777" w:rsidR="00A81907" w:rsidRPr="00A81907" w:rsidRDefault="00A81907">
      <w:pPr>
        <w:pStyle w:val="Odsekzoznamu"/>
        <w:numPr>
          <w:ilvl w:val="0"/>
          <w:numId w:val="3"/>
        </w:numPr>
      </w:pPr>
      <w:r w:rsidRPr="00A81907">
        <w:t>Počas COVID</w:t>
      </w:r>
      <w:r w:rsidRPr="00A81907">
        <w:noBreakHyphen/>
        <w:t>19 hybridné modely predpovedali volatilitu presnejšie než tradičné GARCH</w:t>
      </w:r>
      <w:r w:rsidRPr="00A81907">
        <w:noBreakHyphen/>
        <w:t>typy.</w:t>
      </w:r>
    </w:p>
    <w:p w14:paraId="078D1A70" w14:textId="3990905D" w:rsidR="00A81907" w:rsidRPr="00A81907" w:rsidRDefault="00A81907">
      <w:pPr>
        <w:pStyle w:val="Odsekzoznamu"/>
        <w:numPr>
          <w:ilvl w:val="0"/>
          <w:numId w:val="3"/>
        </w:numPr>
      </w:pPr>
      <w:r w:rsidRPr="00A81907">
        <w:t>Dokážu zachytiť prudké zmeny a šum v dátach vďaka attention mechanizmu + baggingu.</w:t>
      </w:r>
    </w:p>
    <w:p w14:paraId="170ED1C5" w14:textId="31AE4156" w:rsidR="00A81907" w:rsidRPr="00A81907" w:rsidRDefault="00A81907" w:rsidP="00A81907">
      <w:r w:rsidRPr="00A81907">
        <w:t>Rolling window 500 dní na priebežné pretrénovanie modelov.</w:t>
      </w:r>
      <w:r>
        <w:t xml:space="preserve"> Pokrytie: SP500, FTSE100, Euro-USD, AUD-USD.</w:t>
      </w:r>
    </w:p>
    <w:p w14:paraId="2E922A18" w14:textId="41AC7EF9" w:rsidR="00A81907" w:rsidRPr="00A81907" w:rsidRDefault="00A81907" w:rsidP="00A81907">
      <w:pPr>
        <w:rPr>
          <w:b/>
          <w:bCs/>
        </w:rPr>
      </w:pPr>
      <w:r w:rsidRPr="00A81907">
        <w:rPr>
          <w:b/>
          <w:bCs/>
        </w:rPr>
        <w:t>Hybridné architektúry:</w:t>
      </w:r>
    </w:p>
    <w:p w14:paraId="386595B0" w14:textId="77777777" w:rsidR="00A81907" w:rsidRPr="00A81907" w:rsidRDefault="00A81907">
      <w:pPr>
        <w:numPr>
          <w:ilvl w:val="0"/>
          <w:numId w:val="4"/>
        </w:numPr>
      </w:pPr>
      <w:r w:rsidRPr="00A81907">
        <w:t>T</w:t>
      </w:r>
      <w:r w:rsidRPr="00A81907">
        <w:noBreakHyphen/>
        <w:t>GARCH (Transformer + GARCH)</w:t>
      </w:r>
    </w:p>
    <w:p w14:paraId="2C2C58E8" w14:textId="77777777" w:rsidR="00A81907" w:rsidRPr="00A81907" w:rsidRDefault="00A81907">
      <w:pPr>
        <w:numPr>
          <w:ilvl w:val="0"/>
          <w:numId w:val="4"/>
        </w:numPr>
      </w:pPr>
      <w:r w:rsidRPr="00A81907">
        <w:t>TL</w:t>
      </w:r>
      <w:r w:rsidRPr="00A81907">
        <w:noBreakHyphen/>
        <w:t>GARCH (Transformer + LSTM</w:t>
      </w:r>
      <w:r w:rsidRPr="00A81907">
        <w:noBreakHyphen/>
        <w:t>GARCH)</w:t>
      </w:r>
    </w:p>
    <w:p w14:paraId="3C5B7933" w14:textId="77777777" w:rsidR="00A81907" w:rsidRPr="00A81907" w:rsidRDefault="00A81907">
      <w:pPr>
        <w:numPr>
          <w:ilvl w:val="0"/>
          <w:numId w:val="4"/>
        </w:numPr>
      </w:pPr>
      <w:r w:rsidRPr="00A81907">
        <w:t>MT</w:t>
      </w:r>
      <w:r w:rsidRPr="00A81907">
        <w:noBreakHyphen/>
        <w:t>GARCH (Multi</w:t>
      </w:r>
      <w:r w:rsidRPr="00A81907">
        <w:noBreakHyphen/>
        <w:t>Transformer + GARCH)</w:t>
      </w:r>
    </w:p>
    <w:p w14:paraId="1C4566DB" w14:textId="77777777" w:rsidR="00A81907" w:rsidRDefault="00A81907">
      <w:pPr>
        <w:numPr>
          <w:ilvl w:val="0"/>
          <w:numId w:val="4"/>
        </w:numPr>
      </w:pPr>
      <w:r w:rsidRPr="00A81907">
        <w:t>MTL</w:t>
      </w:r>
      <w:r w:rsidRPr="00A81907">
        <w:noBreakHyphen/>
        <w:t>GARCH (Multi</w:t>
      </w:r>
      <w:r w:rsidRPr="00A81907">
        <w:noBreakHyphen/>
        <w:t>Transformer + LSTM</w:t>
      </w:r>
      <w:r w:rsidRPr="00A81907">
        <w:noBreakHyphen/>
        <w:t>GARCH)</w:t>
      </w:r>
    </w:p>
    <w:p w14:paraId="02BFC4B7" w14:textId="373CED74" w:rsidR="00A81907" w:rsidRDefault="00A81907" w:rsidP="000A2A0D">
      <w:pPr>
        <w:ind w:firstLine="708"/>
      </w:pPr>
      <w:r w:rsidRPr="00A81907">
        <w:t>Hybridné modely sú konzistentne presnejšie než GARCH, FIGARCH, APGARCH a ďalšie varianty. Počas COVID-19 hybridné modely lepšie zachytávajú extrémnu volatilitu.</w:t>
      </w:r>
      <w:r>
        <w:t xml:space="preserve"> </w:t>
      </w:r>
      <w:r w:rsidRPr="00A81907">
        <w:t>Kombinácia GARCH + moderné AI metódy prináša výrazné zlepšenie v riadení rizika.</w:t>
      </w:r>
    </w:p>
    <w:p w14:paraId="27FCAFC6" w14:textId="77777777" w:rsidR="00A81907" w:rsidRDefault="00A81907" w:rsidP="00A81907"/>
    <w:p w14:paraId="680CD9ED" w14:textId="71DCF011" w:rsidR="00A81907" w:rsidRDefault="00A81907" w:rsidP="00A81907">
      <w:pPr>
        <w:jc w:val="center"/>
        <w:rPr>
          <w:b/>
          <w:bCs/>
          <w:sz w:val="24"/>
          <w:szCs w:val="24"/>
        </w:rPr>
      </w:pPr>
      <w:r w:rsidRPr="00A81907">
        <w:rPr>
          <w:b/>
          <w:bCs/>
          <w:sz w:val="24"/>
          <w:szCs w:val="24"/>
        </w:rPr>
        <w:t>Enhancing stock market Forecasting: A hybrid model for accurate prediction of S&amp;P 500 and CSI 300 future prices</w:t>
      </w:r>
    </w:p>
    <w:p w14:paraId="2FEB508F" w14:textId="75B64CC0" w:rsidR="00A81907" w:rsidRDefault="00A81907" w:rsidP="00A81907">
      <w:r>
        <w:tab/>
      </w:r>
      <w:r w:rsidRPr="00A81907">
        <w:t>Predstavuje nový hybridný model MEMD</w:t>
      </w:r>
      <w:r w:rsidRPr="00A81907">
        <w:noBreakHyphen/>
        <w:t>AO</w:t>
      </w:r>
      <w:r w:rsidRPr="00A81907">
        <w:noBreakHyphen/>
        <w:t>LSTM na predpovedanie cien akciových indexov S&amp;P 500 a CSI 300.</w:t>
      </w:r>
      <w:r>
        <w:t xml:space="preserve"> </w:t>
      </w:r>
      <w:r w:rsidRPr="00A81907">
        <w:t>MEMD</w:t>
      </w:r>
      <w:r w:rsidRPr="00A81907">
        <w:noBreakHyphen/>
        <w:t>AO</w:t>
      </w:r>
      <w:r w:rsidRPr="00A81907">
        <w:noBreakHyphen/>
        <w:t>LSTM dosahuje najlepšie výsledky zo všetkých testovaných modelov (MLP, ELM, RBF, RNN, GRU, BPNN, Bi</w:t>
      </w:r>
      <w:r w:rsidRPr="00A81907">
        <w:noBreakHyphen/>
        <w:t>LSTM, Transformer).</w:t>
      </w:r>
      <w:r>
        <w:t xml:space="preserve"> Rozsah dát </w:t>
      </w:r>
      <w:r w:rsidRPr="00A81907">
        <w:t>2013–2022</w:t>
      </w:r>
      <w:r>
        <w:t>.</w:t>
      </w:r>
    </w:p>
    <w:p w14:paraId="2E6A61E5" w14:textId="53C8FC98" w:rsidR="00A81907" w:rsidRPr="00A81907" w:rsidRDefault="00A81907" w:rsidP="00A81907">
      <w:r w:rsidRPr="00A81907">
        <w:rPr>
          <w:b/>
          <w:bCs/>
        </w:rPr>
        <w:t>S&amp;P 500:</w:t>
      </w:r>
      <w:r>
        <w:t xml:space="preserve"> </w:t>
      </w:r>
      <w:r w:rsidRPr="00A81907">
        <w:t>R² = 0.992, RMSE = 27.12, MAE = 19.43, MAPE = 0.47 %.</w:t>
      </w:r>
    </w:p>
    <w:p w14:paraId="21663DE5" w14:textId="7302049D" w:rsidR="00A81907" w:rsidRDefault="00A81907" w:rsidP="00A81907">
      <w:r w:rsidRPr="00A81907">
        <w:rPr>
          <w:b/>
          <w:bCs/>
        </w:rPr>
        <w:t>CSI 300:</w:t>
      </w:r>
      <w:r>
        <w:t xml:space="preserve"> </w:t>
      </w:r>
      <w:r w:rsidRPr="00A81907">
        <w:t>R² = 0.989, RMSE = 56.66, MAE = 42.76, MAPE = 0.92 %.</w:t>
      </w:r>
    </w:p>
    <w:p w14:paraId="61EA4EC8" w14:textId="77777777" w:rsidR="00A81907" w:rsidRPr="00A81907" w:rsidRDefault="00A81907" w:rsidP="00A81907">
      <w:pPr>
        <w:rPr>
          <w:b/>
          <w:bCs/>
        </w:rPr>
      </w:pPr>
      <w:r w:rsidRPr="00A81907">
        <w:rPr>
          <w:b/>
          <w:bCs/>
        </w:rPr>
        <w:t>Model je robustný aj počas extrémnych udalostí:</w:t>
      </w:r>
    </w:p>
    <w:p w14:paraId="74DD39F3" w14:textId="77777777" w:rsidR="00A81907" w:rsidRPr="00A81907" w:rsidRDefault="00A81907">
      <w:pPr>
        <w:numPr>
          <w:ilvl w:val="0"/>
          <w:numId w:val="6"/>
        </w:numPr>
      </w:pPr>
      <w:r w:rsidRPr="00A81907">
        <w:t>COVID</w:t>
      </w:r>
      <w:r w:rsidRPr="00A81907">
        <w:noBreakHyphen/>
        <w:t>19,</w:t>
      </w:r>
    </w:p>
    <w:p w14:paraId="660523AC" w14:textId="77777777" w:rsidR="00A81907" w:rsidRPr="00A81907" w:rsidRDefault="00A81907">
      <w:pPr>
        <w:numPr>
          <w:ilvl w:val="0"/>
          <w:numId w:val="6"/>
        </w:numPr>
      </w:pPr>
      <w:r w:rsidRPr="00A81907">
        <w:t>geopolitické napätie Rusko–Ukrajina.</w:t>
      </w:r>
    </w:p>
    <w:p w14:paraId="2E0CC955" w14:textId="16F7EF55" w:rsidR="00A81907" w:rsidRDefault="00A81907" w:rsidP="00A81907">
      <w:r w:rsidRPr="00A81907">
        <w:t>Hybridné modely sú budúcnosť predikcie akciových trhov.</w:t>
      </w:r>
    </w:p>
    <w:p w14:paraId="6F0FD1BA" w14:textId="77777777" w:rsidR="00D8105F" w:rsidRPr="00A81907" w:rsidRDefault="00D8105F" w:rsidP="00A81907"/>
    <w:p w14:paraId="76959610" w14:textId="661444EC" w:rsidR="00A81907" w:rsidRPr="00D8105F" w:rsidRDefault="00D8105F" w:rsidP="00D8105F">
      <w:pPr>
        <w:jc w:val="center"/>
        <w:rPr>
          <w:b/>
          <w:bCs/>
          <w:sz w:val="24"/>
          <w:szCs w:val="24"/>
        </w:rPr>
      </w:pPr>
      <w:r w:rsidRPr="00D8105F">
        <w:rPr>
          <w:b/>
          <w:bCs/>
          <w:sz w:val="24"/>
          <w:szCs w:val="24"/>
        </w:rPr>
        <w:t>Stock market forecasting accuracy of asymmetric GARCH models during the COVID-19 pandemic</w:t>
      </w:r>
    </w:p>
    <w:p w14:paraId="1BB600DB" w14:textId="0420735D" w:rsidR="00A81907" w:rsidRDefault="00D8105F" w:rsidP="00A81907">
      <w:pPr>
        <w:rPr>
          <w:lang w:val="en-US"/>
        </w:rPr>
      </w:pPr>
      <w:r w:rsidRPr="00D8105F">
        <w:tab/>
        <w:t>Autori skúmajú, ako COVID</w:t>
      </w:r>
      <w:r w:rsidRPr="00D8105F">
        <w:noBreakHyphen/>
        <w:t xml:space="preserve">19 ovplyvnil volatilitu amerických akciových odvetví v indexe S&amp;P 500. Používajú asymetrické TGARCH modely a nový prístup ku klastrovej analýze, ktorý porovnáva </w:t>
      </w:r>
      <w:r w:rsidRPr="00D8105F">
        <w:lastRenderedPageBreak/>
        <w:t>forecast errors (MAPE) medzi odvetviami.</w:t>
      </w:r>
      <w:r>
        <w:t xml:space="preserve"> </w:t>
      </w:r>
      <w:r w:rsidRPr="00D8105F">
        <w:t>11 odvetví S&amp;P 500 (Airlines, Hotels, Oil &amp; Gas, Pharmaceuticals, Banks, Apparel, Automobiles, Restaurants, Movie &amp; Entertainment, Internet Retail, Data Processing).</w:t>
      </w:r>
      <w:r>
        <w:t xml:space="preserve"> Obdobie 2016-2020 </w:t>
      </w:r>
      <w:r>
        <w:rPr>
          <w:lang w:val="en-GB"/>
        </w:rPr>
        <w:t>(pred a cez COVID).</w:t>
      </w:r>
    </w:p>
    <w:p w14:paraId="66A83F3C" w14:textId="77777777" w:rsidR="00D8105F" w:rsidRPr="00D8105F" w:rsidRDefault="00D8105F" w:rsidP="00D8105F">
      <w:pPr>
        <w:rPr>
          <w:b/>
          <w:bCs/>
        </w:rPr>
      </w:pPr>
      <w:r w:rsidRPr="00D8105F">
        <w:rPr>
          <w:b/>
          <w:bCs/>
        </w:rPr>
        <w:t>Volatilita počas COVID</w:t>
      </w:r>
      <w:r w:rsidRPr="00D8105F">
        <w:rPr>
          <w:b/>
          <w:bCs/>
        </w:rPr>
        <w:noBreakHyphen/>
        <w:t>19 prudko vzrástla</w:t>
      </w:r>
    </w:p>
    <w:p w14:paraId="5F8ECCD8" w14:textId="77777777" w:rsidR="00D8105F" w:rsidRPr="00D8105F" w:rsidRDefault="00D8105F">
      <w:pPr>
        <w:numPr>
          <w:ilvl w:val="0"/>
          <w:numId w:val="7"/>
        </w:numPr>
      </w:pPr>
      <w:r w:rsidRPr="00D8105F">
        <w:t>Všetky odvetvia zaznamenali výrazný nárast volatility.</w:t>
      </w:r>
    </w:p>
    <w:p w14:paraId="04555177" w14:textId="77777777" w:rsidR="00D8105F" w:rsidRPr="00280E41" w:rsidRDefault="00D8105F">
      <w:pPr>
        <w:numPr>
          <w:ilvl w:val="0"/>
          <w:numId w:val="7"/>
        </w:numPr>
        <w:rPr>
          <w:b/>
          <w:bCs/>
        </w:rPr>
      </w:pPr>
      <w:r w:rsidRPr="00280E41">
        <w:rPr>
          <w:b/>
          <w:bCs/>
        </w:rPr>
        <w:t>Najväčší nárast (&gt;200 %):</w:t>
      </w:r>
    </w:p>
    <w:p w14:paraId="5822F149" w14:textId="77777777" w:rsidR="00D8105F" w:rsidRPr="00D8105F" w:rsidRDefault="00D8105F">
      <w:pPr>
        <w:numPr>
          <w:ilvl w:val="1"/>
          <w:numId w:val="7"/>
        </w:numPr>
      </w:pPr>
      <w:r w:rsidRPr="00D8105F">
        <w:rPr>
          <w:b/>
          <w:bCs/>
        </w:rPr>
        <w:t>Airlines</w:t>
      </w:r>
      <w:r w:rsidRPr="00D8105F">
        <w:t>,</w:t>
      </w:r>
    </w:p>
    <w:p w14:paraId="4F8F5A0E" w14:textId="77777777" w:rsidR="00D8105F" w:rsidRPr="00D8105F" w:rsidRDefault="00D8105F">
      <w:pPr>
        <w:numPr>
          <w:ilvl w:val="1"/>
          <w:numId w:val="7"/>
        </w:numPr>
      </w:pPr>
      <w:r w:rsidRPr="00D8105F">
        <w:rPr>
          <w:b/>
          <w:bCs/>
        </w:rPr>
        <w:t>Hotels &amp; Cruise Lines</w:t>
      </w:r>
      <w:r w:rsidRPr="00D8105F">
        <w:t>,</w:t>
      </w:r>
    </w:p>
    <w:p w14:paraId="497EB170" w14:textId="77777777" w:rsidR="00D8105F" w:rsidRPr="00D8105F" w:rsidRDefault="00D8105F">
      <w:pPr>
        <w:numPr>
          <w:ilvl w:val="1"/>
          <w:numId w:val="7"/>
        </w:numPr>
      </w:pPr>
      <w:r w:rsidRPr="00D8105F">
        <w:rPr>
          <w:b/>
          <w:bCs/>
        </w:rPr>
        <w:t>Restaurants</w:t>
      </w:r>
      <w:r w:rsidRPr="00D8105F">
        <w:t>.</w:t>
      </w:r>
    </w:p>
    <w:p w14:paraId="1C69F42D" w14:textId="77777777" w:rsidR="00D8105F" w:rsidRPr="00D8105F" w:rsidRDefault="00D8105F">
      <w:pPr>
        <w:numPr>
          <w:ilvl w:val="0"/>
          <w:numId w:val="7"/>
        </w:numPr>
      </w:pPr>
      <w:r w:rsidRPr="00D8105F">
        <w:t>Silná asymetria: negatívne šoky zvyšujú volatilitu takmer vo všetkých odvetviach.</w:t>
      </w:r>
    </w:p>
    <w:p w14:paraId="682F7760" w14:textId="162479EC" w:rsidR="00D8105F" w:rsidRPr="00D8105F" w:rsidRDefault="00D8105F" w:rsidP="00D8105F">
      <w:r w:rsidRPr="00D8105F">
        <w:rPr>
          <w:b/>
          <w:bCs/>
        </w:rPr>
        <w:t>najviac zasiahnuté:</w:t>
      </w:r>
      <w:r>
        <w:t xml:space="preserve"> </w:t>
      </w:r>
      <w:r w:rsidRPr="00D8105F">
        <w:t>Airlines, Hotels, Oil &amp; Gas</w:t>
      </w:r>
    </w:p>
    <w:p w14:paraId="2236A095" w14:textId="0A42EAB1" w:rsidR="00D8105F" w:rsidRPr="00D8105F" w:rsidRDefault="00D8105F" w:rsidP="00D8105F">
      <w:r w:rsidRPr="00D8105F">
        <w:rPr>
          <w:b/>
          <w:bCs/>
        </w:rPr>
        <w:t>stredný dopad:</w:t>
      </w:r>
      <w:r>
        <w:t xml:space="preserve"> </w:t>
      </w:r>
      <w:r w:rsidRPr="00D8105F">
        <w:t>Apparel &amp; Luxury Goods, Automobiles, Diversified Banks</w:t>
      </w:r>
    </w:p>
    <w:p w14:paraId="3E3E1E86" w14:textId="10660A42" w:rsidR="00D8105F" w:rsidRDefault="00D8105F" w:rsidP="00D8105F">
      <w:r w:rsidRPr="00D8105F">
        <w:rPr>
          <w:b/>
          <w:bCs/>
        </w:rPr>
        <w:t>najmenej zasiahnuté:</w:t>
      </w:r>
      <w:r>
        <w:t xml:space="preserve"> </w:t>
      </w:r>
      <w:r w:rsidRPr="00D8105F">
        <w:t>Pharmaceuticals, Restaurants, Data Processing, Movie &amp; Entertainment, Internet Retail</w:t>
      </w:r>
      <w:r>
        <w:t>.</w:t>
      </w:r>
    </w:p>
    <w:p w14:paraId="629CAE2C" w14:textId="13832E1D" w:rsidR="00280E41" w:rsidRDefault="00280E41" w:rsidP="000A2A0D">
      <w:pPr>
        <w:ind w:firstLine="708"/>
      </w:pPr>
      <w:r w:rsidRPr="00280E41">
        <w:t>COVID</w:t>
      </w:r>
      <w:r w:rsidRPr="00280E41">
        <w:noBreakHyphen/>
        <w:t>19 mal silný, heterogénny dopad na americké odvetvia. Hotels &amp; Cruise Lines sú najviac destabilizované a tvoria outlier. TGARCH modely fungujú dobre v stabilnejších odvetviach, no zlyhávajú pri extrémnych šokoch (Airlines, Oil &amp; Gas, Hotels).</w:t>
      </w:r>
    </w:p>
    <w:p w14:paraId="6E796B66" w14:textId="77777777" w:rsidR="00280E41" w:rsidRDefault="00280E41" w:rsidP="00280E41"/>
    <w:p w14:paraId="5C3C0A42" w14:textId="090BE838" w:rsidR="00280E41" w:rsidRPr="00280E41" w:rsidRDefault="00280E41" w:rsidP="00280E41">
      <w:pPr>
        <w:jc w:val="center"/>
        <w:rPr>
          <w:b/>
          <w:bCs/>
          <w:sz w:val="24"/>
          <w:szCs w:val="24"/>
        </w:rPr>
      </w:pPr>
      <w:r w:rsidRPr="00280E41">
        <w:rPr>
          <w:b/>
          <w:bCs/>
          <w:sz w:val="24"/>
          <w:szCs w:val="24"/>
        </w:rPr>
        <w:t>Can hybrid model improve the forecasting performance of stock price index amid COVID-19? Contextual evidence from the MEEMD-LSTM-MLP approach</w:t>
      </w:r>
    </w:p>
    <w:p w14:paraId="4BC0B1D8" w14:textId="2921B7CC" w:rsidR="005F174A" w:rsidRDefault="005F174A" w:rsidP="005F174A">
      <w:r w:rsidRPr="005F174A">
        <w:tab/>
        <w:t>Štúdia skúma, ako hybridný model MEEMD</w:t>
      </w:r>
      <w:r w:rsidRPr="005F174A">
        <w:noBreakHyphen/>
        <w:t>LSTM</w:t>
      </w:r>
      <w:r w:rsidRPr="005F174A">
        <w:noBreakHyphen/>
        <w:t>MLP zlepšuje predpovedanie cien akciových indexov počas COVID</w:t>
      </w:r>
      <w:r w:rsidRPr="005F174A">
        <w:noBreakHyphen/>
        <w:t>19. MEEMD (Modified Ensemble Empirical Mode Decomposition) rozkladá časové rady akciových indexov na podsekvencie s rôznymi frekvenciami, LSTM (Long Short</w:t>
      </w:r>
      <w:r w:rsidRPr="005F174A">
        <w:noBreakHyphen/>
        <w:t>Term Memory) zachytáva dlhodobé časové závislosti, MLP (Multilayer Perceptron) spracúva vysokofrekvenčné komponenty.</w:t>
      </w:r>
    </w:p>
    <w:p w14:paraId="5DB049D0" w14:textId="6B8AED5B" w:rsidR="005F174A" w:rsidRPr="005F174A" w:rsidRDefault="005F174A" w:rsidP="005F174A">
      <w:r w:rsidRPr="005F174A">
        <w:t xml:space="preserve">Testované indexy: </w:t>
      </w:r>
      <w:r w:rsidRPr="005F174A">
        <w:rPr>
          <w:b/>
          <w:bCs/>
        </w:rPr>
        <w:t>S&amp;P 500</w:t>
      </w:r>
      <w:r w:rsidRPr="005F174A">
        <w:t xml:space="preserve">, </w:t>
      </w:r>
      <w:r w:rsidRPr="005F174A">
        <w:rPr>
          <w:b/>
          <w:bCs/>
        </w:rPr>
        <w:t>CSI 300</w:t>
      </w:r>
      <w:r w:rsidRPr="005F174A">
        <w:t xml:space="preserve">, </w:t>
      </w:r>
      <w:r w:rsidRPr="005F174A">
        <w:rPr>
          <w:b/>
          <w:bCs/>
        </w:rPr>
        <w:t>NASDAQ</w:t>
      </w:r>
      <w:r w:rsidRPr="005F174A">
        <w:t xml:space="preserve">, </w:t>
      </w:r>
      <w:r w:rsidRPr="005F174A">
        <w:rPr>
          <w:b/>
          <w:bCs/>
        </w:rPr>
        <w:t>Nikkei 225</w:t>
      </w:r>
      <w:r w:rsidRPr="005F174A">
        <w:t xml:space="preserve">, </w:t>
      </w:r>
      <w:r w:rsidRPr="005F174A">
        <w:rPr>
          <w:b/>
          <w:bCs/>
        </w:rPr>
        <w:t>FTSE 100</w:t>
      </w:r>
      <w:r w:rsidRPr="005F174A">
        <w:t xml:space="preserve">, </w:t>
      </w:r>
      <w:r w:rsidRPr="005F174A">
        <w:rPr>
          <w:b/>
          <w:bCs/>
        </w:rPr>
        <w:t>DAX</w:t>
      </w:r>
      <w:r w:rsidRPr="005F174A">
        <w:t xml:space="preserve">, </w:t>
      </w:r>
      <w:r w:rsidRPr="005F174A">
        <w:rPr>
          <w:b/>
          <w:bCs/>
        </w:rPr>
        <w:t>SSE</w:t>
      </w:r>
      <w:r w:rsidRPr="005F174A">
        <w:t xml:space="preserve">, </w:t>
      </w:r>
      <w:r w:rsidRPr="005F174A">
        <w:rPr>
          <w:b/>
          <w:bCs/>
        </w:rPr>
        <w:t>KOSPI</w:t>
      </w:r>
      <w:r w:rsidRPr="005F174A">
        <w:t>.</w:t>
      </w:r>
    </w:p>
    <w:p w14:paraId="4F0C9C89" w14:textId="68CEB4B9" w:rsidR="005F174A" w:rsidRDefault="005F174A" w:rsidP="005F174A">
      <w:r w:rsidRPr="005F174A">
        <w:t xml:space="preserve">Obdobie: </w:t>
      </w:r>
      <w:r w:rsidRPr="005F174A">
        <w:rPr>
          <w:b/>
          <w:bCs/>
        </w:rPr>
        <w:t>pred a počas pandémie COVID</w:t>
      </w:r>
      <w:r w:rsidRPr="005F174A">
        <w:rPr>
          <w:b/>
          <w:bCs/>
        </w:rPr>
        <w:noBreakHyphen/>
        <w:t>19</w:t>
      </w:r>
      <w:r w:rsidRPr="005F174A">
        <w:t>.</w:t>
      </w:r>
    </w:p>
    <w:p w14:paraId="1F3705F5" w14:textId="7B2CE0C3" w:rsidR="005F174A" w:rsidRDefault="005F174A" w:rsidP="000A2A0D">
      <w:pPr>
        <w:ind w:firstLine="708"/>
      </w:pPr>
      <w:r w:rsidRPr="005F174A">
        <w:t>Hybridné modely kombinujúce dekompozíciu + hlboké učenie sú mimoriadne efektívne pri predpovedaní akciových trhov, zvláda prudké zmeny volatility počas COVID</w:t>
      </w:r>
      <w:r w:rsidRPr="005F174A">
        <w:noBreakHyphen/>
        <w:t>19.</w:t>
      </w:r>
    </w:p>
    <w:p w14:paraId="21271D8F" w14:textId="77777777" w:rsidR="005F174A" w:rsidRDefault="005F174A" w:rsidP="005F174A"/>
    <w:p w14:paraId="1789EF98" w14:textId="29C38DC3" w:rsidR="005F174A" w:rsidRPr="005F174A" w:rsidRDefault="005F174A" w:rsidP="005F174A">
      <w:pPr>
        <w:jc w:val="center"/>
        <w:rPr>
          <w:b/>
          <w:bCs/>
          <w:sz w:val="24"/>
          <w:szCs w:val="24"/>
        </w:rPr>
      </w:pPr>
      <w:r w:rsidRPr="005F174A">
        <w:rPr>
          <w:b/>
          <w:bCs/>
          <w:sz w:val="24"/>
          <w:szCs w:val="24"/>
        </w:rPr>
        <w:t>COVID-19 and stock market volatility: An industry level analysis</w:t>
      </w:r>
    </w:p>
    <w:p w14:paraId="36960897" w14:textId="78ED60E5" w:rsidR="00280E41" w:rsidRDefault="005F174A" w:rsidP="00D8105F">
      <w:r>
        <w:tab/>
      </w:r>
      <w:r w:rsidRPr="005F174A">
        <w:t>Štúdia analyzuje, ako COVID</w:t>
      </w:r>
      <w:r w:rsidRPr="005F174A">
        <w:rPr>
          <w:rFonts w:ascii="Cambria Math" w:hAnsi="Cambria Math" w:cs="Cambria Math"/>
        </w:rPr>
        <w:t>‑</w:t>
      </w:r>
      <w:r w:rsidRPr="005F174A">
        <w:t>19 ovplyvnil volatilitu americk</w:t>
      </w:r>
      <w:r w:rsidRPr="005F174A">
        <w:rPr>
          <w:rFonts w:ascii="Calibri" w:hAnsi="Calibri" w:cs="Calibri"/>
        </w:rPr>
        <w:t>ý</w:t>
      </w:r>
      <w:r w:rsidRPr="005F174A">
        <w:t>ch akciov</w:t>
      </w:r>
      <w:r w:rsidRPr="005F174A">
        <w:rPr>
          <w:rFonts w:ascii="Calibri" w:hAnsi="Calibri" w:cs="Calibri"/>
        </w:rPr>
        <w:t>ý</w:t>
      </w:r>
      <w:r w:rsidRPr="005F174A">
        <w:t>ch odvetv</w:t>
      </w:r>
      <w:r w:rsidRPr="005F174A">
        <w:rPr>
          <w:rFonts w:ascii="Calibri" w:hAnsi="Calibri" w:cs="Calibri"/>
        </w:rPr>
        <w:t>í</w:t>
      </w:r>
      <w:r w:rsidRPr="005F174A">
        <w:t>. Autori sk</w:t>
      </w:r>
      <w:r w:rsidRPr="005F174A">
        <w:rPr>
          <w:rFonts w:ascii="Calibri" w:hAnsi="Calibri" w:cs="Calibri"/>
        </w:rPr>
        <w:t>ú</w:t>
      </w:r>
      <w:r w:rsidRPr="005F174A">
        <w:t>maj</w:t>
      </w:r>
      <w:r w:rsidRPr="005F174A">
        <w:rPr>
          <w:rFonts w:ascii="Calibri" w:hAnsi="Calibri" w:cs="Calibri"/>
        </w:rPr>
        <w:t>ú</w:t>
      </w:r>
      <w:r w:rsidRPr="005F174A">
        <w:t xml:space="preserve"> total risk, systematic risk a idiosyncratic risk naprie</w:t>
      </w:r>
      <w:r w:rsidRPr="005F174A">
        <w:rPr>
          <w:rFonts w:ascii="Calibri" w:hAnsi="Calibri" w:cs="Calibri"/>
        </w:rPr>
        <w:t>č</w:t>
      </w:r>
      <w:r w:rsidRPr="005F174A">
        <w:t xml:space="preserve"> 30 odvetviami a pou</w:t>
      </w:r>
      <w:r w:rsidRPr="005F174A">
        <w:rPr>
          <w:rFonts w:ascii="Calibri" w:hAnsi="Calibri" w:cs="Calibri"/>
        </w:rPr>
        <w:t>ží</w:t>
      </w:r>
      <w:r w:rsidRPr="005F174A">
        <w:t>vaj</w:t>
      </w:r>
      <w:r w:rsidRPr="005F174A">
        <w:rPr>
          <w:rFonts w:ascii="Calibri" w:hAnsi="Calibri" w:cs="Calibri"/>
        </w:rPr>
        <w:t>ú</w:t>
      </w:r>
      <w:r w:rsidRPr="005F174A">
        <w:t xml:space="preserve"> Markov Switching AR model na identifik</w:t>
      </w:r>
      <w:r w:rsidRPr="005F174A">
        <w:rPr>
          <w:rFonts w:ascii="Calibri" w:hAnsi="Calibri" w:cs="Calibri"/>
        </w:rPr>
        <w:t>á</w:t>
      </w:r>
      <w:r w:rsidRPr="005F174A">
        <w:t>ciu prechodu z n</w:t>
      </w:r>
      <w:r w:rsidRPr="005F174A">
        <w:rPr>
          <w:rFonts w:ascii="Calibri" w:hAnsi="Calibri" w:cs="Calibri"/>
        </w:rPr>
        <w:t>í</w:t>
      </w:r>
      <w:r w:rsidRPr="005F174A">
        <w:t>zkej do vysokej volatility.</w:t>
      </w:r>
    </w:p>
    <w:p w14:paraId="517379F4" w14:textId="2AC25954" w:rsidR="005F174A" w:rsidRDefault="005F174A" w:rsidP="005F174A">
      <w:pPr>
        <w:rPr>
          <w:b/>
          <w:bCs/>
        </w:rPr>
      </w:pPr>
      <w:r w:rsidRPr="005F174A">
        <w:rPr>
          <w:b/>
          <w:bCs/>
        </w:rPr>
        <w:t>COVID</w:t>
      </w:r>
      <w:r w:rsidRPr="005F174A">
        <w:rPr>
          <w:b/>
          <w:bCs/>
        </w:rPr>
        <w:noBreakHyphen/>
        <w:t>19 spôsobil prudký nárast volatility vo všetkých odvetviach</w:t>
      </w:r>
    </w:p>
    <w:p w14:paraId="4A6B0C46" w14:textId="77777777" w:rsidR="005F174A" w:rsidRPr="005F174A" w:rsidRDefault="005F174A" w:rsidP="005F174A">
      <w:pPr>
        <w:rPr>
          <w:b/>
          <w:bCs/>
        </w:rPr>
      </w:pPr>
      <w:r w:rsidRPr="005F174A">
        <w:rPr>
          <w:b/>
          <w:bCs/>
        </w:rPr>
        <w:lastRenderedPageBreak/>
        <w:t>COVID</w:t>
      </w:r>
      <w:r w:rsidRPr="005F174A">
        <w:rPr>
          <w:b/>
          <w:bCs/>
        </w:rPr>
        <w:noBreakHyphen/>
        <w:t>19 správy sú silnejším driverom volatility než ekonomické indikátory</w:t>
      </w:r>
    </w:p>
    <w:p w14:paraId="07C2ADA7" w14:textId="77777777" w:rsidR="005F174A" w:rsidRPr="005F174A" w:rsidRDefault="005F174A">
      <w:pPr>
        <w:numPr>
          <w:ilvl w:val="0"/>
          <w:numId w:val="8"/>
        </w:numPr>
      </w:pPr>
      <w:r w:rsidRPr="005F174A">
        <w:t>Negatívne správy (percento úmrtí) majú dvojnásobný efekt oproti pozitívnym (percento zotavení).</w:t>
      </w:r>
    </w:p>
    <w:p w14:paraId="54253511" w14:textId="77777777" w:rsidR="005F174A" w:rsidRPr="005F174A" w:rsidRDefault="005F174A" w:rsidP="005F174A">
      <w:pPr>
        <w:rPr>
          <w:b/>
          <w:bCs/>
        </w:rPr>
      </w:pPr>
      <w:r w:rsidRPr="005F174A">
        <w:rPr>
          <w:b/>
          <w:bCs/>
        </w:rPr>
        <w:t>COVID</w:t>
      </w:r>
      <w:r w:rsidRPr="005F174A">
        <w:rPr>
          <w:rFonts w:ascii="Cambria Math" w:hAnsi="Cambria Math" w:cs="Cambria Math"/>
          <w:b/>
          <w:bCs/>
        </w:rPr>
        <w:t>‑</w:t>
      </w:r>
      <w:r w:rsidRPr="005F174A">
        <w:rPr>
          <w:b/>
          <w:bCs/>
        </w:rPr>
        <w:t>19 sp</w:t>
      </w:r>
      <w:r w:rsidRPr="005F174A">
        <w:rPr>
          <w:rFonts w:ascii="Calibri" w:hAnsi="Calibri" w:cs="Calibri"/>
          <w:b/>
          <w:bCs/>
        </w:rPr>
        <w:t>ô</w:t>
      </w:r>
      <w:r w:rsidRPr="005F174A">
        <w:rPr>
          <w:b/>
          <w:bCs/>
        </w:rPr>
        <w:t>sobil najv</w:t>
      </w:r>
      <w:r w:rsidRPr="005F174A">
        <w:rPr>
          <w:rFonts w:ascii="Calibri" w:hAnsi="Calibri" w:cs="Calibri"/>
          <w:b/>
          <w:bCs/>
        </w:rPr>
        <w:t>äčší</w:t>
      </w:r>
      <w:r w:rsidRPr="005F174A">
        <w:rPr>
          <w:b/>
          <w:bCs/>
        </w:rPr>
        <w:t xml:space="preserve"> n</w:t>
      </w:r>
      <w:r w:rsidRPr="005F174A">
        <w:rPr>
          <w:rFonts w:ascii="Calibri" w:hAnsi="Calibri" w:cs="Calibri"/>
          <w:b/>
          <w:bCs/>
        </w:rPr>
        <w:t>á</w:t>
      </w:r>
      <w:r w:rsidRPr="005F174A">
        <w:rPr>
          <w:b/>
          <w:bCs/>
        </w:rPr>
        <w:t>rast volatility v modernej hist</w:t>
      </w:r>
      <w:r w:rsidRPr="005F174A">
        <w:rPr>
          <w:rFonts w:ascii="Calibri" w:hAnsi="Calibri" w:cs="Calibri"/>
          <w:b/>
          <w:bCs/>
        </w:rPr>
        <w:t>ó</w:t>
      </w:r>
      <w:r w:rsidRPr="005F174A">
        <w:rPr>
          <w:b/>
          <w:bCs/>
        </w:rPr>
        <w:t>rii.</w:t>
      </w:r>
    </w:p>
    <w:p w14:paraId="3271A6B7" w14:textId="77777777" w:rsidR="005F174A" w:rsidRPr="005F174A" w:rsidRDefault="005F174A" w:rsidP="005F174A">
      <w:pPr>
        <w:rPr>
          <w:b/>
          <w:bCs/>
        </w:rPr>
      </w:pPr>
    </w:p>
    <w:p w14:paraId="5040FB73" w14:textId="314CE77D" w:rsidR="005F174A" w:rsidRPr="005F174A" w:rsidRDefault="005F174A" w:rsidP="005F174A">
      <w:pPr>
        <w:rPr>
          <w:b/>
          <w:bCs/>
        </w:rPr>
      </w:pPr>
      <w:r w:rsidRPr="005F174A">
        <w:rPr>
          <w:b/>
          <w:bCs/>
        </w:rPr>
        <w:t>Všetky odvetvia zaznamenali zvýšenie total aj idiosyncratic risk.</w:t>
      </w:r>
    </w:p>
    <w:p w14:paraId="2ED20AE8" w14:textId="67FB5DDD" w:rsidR="005F174A" w:rsidRDefault="005F174A" w:rsidP="005F174A">
      <w:pPr>
        <w:rPr>
          <w:b/>
          <w:bCs/>
        </w:rPr>
      </w:pPr>
      <w:r w:rsidRPr="005F174A">
        <w:rPr>
          <w:b/>
          <w:bCs/>
        </w:rPr>
        <w:t>Systematic risk sa menil asymetricky podľa charakteru odvetvia.</w:t>
      </w:r>
    </w:p>
    <w:p w14:paraId="36F0E84F" w14:textId="77777777" w:rsidR="005F174A" w:rsidRPr="005F174A" w:rsidRDefault="005F174A" w:rsidP="005F174A">
      <w:pPr>
        <w:rPr>
          <w:b/>
          <w:bCs/>
        </w:rPr>
      </w:pPr>
    </w:p>
    <w:p w14:paraId="6934888B" w14:textId="25CD58C2" w:rsidR="00D8105F" w:rsidRPr="005F174A" w:rsidRDefault="005F174A" w:rsidP="005F174A">
      <w:pPr>
        <w:jc w:val="center"/>
        <w:rPr>
          <w:b/>
          <w:bCs/>
          <w:sz w:val="24"/>
          <w:szCs w:val="24"/>
          <w:lang w:val="en-US"/>
        </w:rPr>
      </w:pPr>
      <w:r w:rsidRPr="005F174A">
        <w:rPr>
          <w:b/>
          <w:bCs/>
          <w:sz w:val="24"/>
          <w:szCs w:val="24"/>
        </w:rPr>
        <w:t>COVID-19 and Stock Market Volatility: A Clustering Approach for S&amp;P 500 Industry Indices</w:t>
      </w:r>
    </w:p>
    <w:p w14:paraId="5E780456" w14:textId="77777777" w:rsidR="005F174A" w:rsidRPr="005F174A" w:rsidRDefault="005F174A" w:rsidP="005F174A">
      <w:r>
        <w:tab/>
      </w:r>
      <w:r w:rsidRPr="005F174A">
        <w:t>Autori skúmajú, ako COVID</w:t>
      </w:r>
      <w:r w:rsidRPr="005F174A">
        <w:noBreakHyphen/>
        <w:t>19 zmenil volatilitu amerických akciových odvetví v indexe S&amp;P 500. Používajú TGARCH modely na odhad podmienenej volatility a následne aplikujú nový klastrovací prístup, ktorý porovnáva autokorelácie odhadnutej volatility medzi odvetviami.</w:t>
      </w:r>
    </w:p>
    <w:p w14:paraId="3D4B3893" w14:textId="77777777" w:rsidR="005F174A" w:rsidRPr="005F174A" w:rsidRDefault="005F174A" w:rsidP="005F174A">
      <w:pPr>
        <w:rPr>
          <w:b/>
          <w:bCs/>
        </w:rPr>
      </w:pPr>
      <w:r w:rsidRPr="005F174A">
        <w:rPr>
          <w:b/>
          <w:bCs/>
        </w:rPr>
        <w:t>Cieľ: identifikovať vzorce správania volatility pred pandémiou a počas nej.</w:t>
      </w:r>
    </w:p>
    <w:p w14:paraId="635264D6" w14:textId="231C42C0" w:rsidR="00A81907" w:rsidRDefault="005F174A" w:rsidP="00A81907">
      <w:r>
        <w:t>Obdobie pred a počas COVID-19.</w:t>
      </w:r>
    </w:p>
    <w:p w14:paraId="427F3593" w14:textId="77777777" w:rsidR="005F174A" w:rsidRDefault="005F174A">
      <w:pPr>
        <w:pStyle w:val="Odsekzoznamu"/>
        <w:numPr>
          <w:ilvl w:val="0"/>
          <w:numId w:val="9"/>
        </w:numPr>
      </w:pPr>
      <w:r w:rsidRPr="005F174A">
        <w:t>Výrazný nárast volatility po začiatku pandémie.</w:t>
      </w:r>
    </w:p>
    <w:p w14:paraId="5ED662AF" w14:textId="407E25DC" w:rsidR="005F174A" w:rsidRDefault="005F174A">
      <w:pPr>
        <w:pStyle w:val="Odsekzoznamu"/>
        <w:numPr>
          <w:ilvl w:val="0"/>
          <w:numId w:val="9"/>
        </w:numPr>
      </w:pPr>
      <w:r w:rsidRPr="005F174A">
        <w:t>Jediná výnimka</w:t>
      </w:r>
      <w:r w:rsidRPr="000A2A0D">
        <w:t>: Internet &amp; Direct Marketing Retail</w:t>
      </w:r>
      <w:r w:rsidRPr="005F174A">
        <w:t>, kde volatilita nevyskočila tak výrazne.</w:t>
      </w:r>
    </w:p>
    <w:p w14:paraId="57BBFCCD" w14:textId="77777777" w:rsidR="005F174A" w:rsidRPr="005F174A" w:rsidRDefault="005F174A" w:rsidP="005F174A">
      <w:pPr>
        <w:rPr>
          <w:b/>
          <w:bCs/>
        </w:rPr>
      </w:pPr>
      <w:r w:rsidRPr="005F174A">
        <w:rPr>
          <w:b/>
          <w:bCs/>
        </w:rPr>
        <w:t>Volatility correlations sa výrazne zvýšili</w:t>
      </w:r>
    </w:p>
    <w:p w14:paraId="61DE2FB1" w14:textId="77777777" w:rsidR="005F174A" w:rsidRPr="005F174A" w:rsidRDefault="005F174A">
      <w:pPr>
        <w:numPr>
          <w:ilvl w:val="0"/>
          <w:numId w:val="10"/>
        </w:numPr>
      </w:pPr>
      <w:r w:rsidRPr="005F174A">
        <w:t>Pred pandémiou boli odvetvia menej prepojené.</w:t>
      </w:r>
    </w:p>
    <w:p w14:paraId="23D896BC" w14:textId="77777777" w:rsidR="005F174A" w:rsidRPr="005F174A" w:rsidRDefault="005F174A">
      <w:pPr>
        <w:numPr>
          <w:ilvl w:val="0"/>
          <w:numId w:val="10"/>
        </w:numPr>
      </w:pPr>
      <w:r w:rsidRPr="005F174A">
        <w:t xml:space="preserve">Počas pandémie sa volatilita odvetví stala </w:t>
      </w:r>
      <w:r w:rsidRPr="005F174A">
        <w:rPr>
          <w:b/>
          <w:bCs/>
        </w:rPr>
        <w:t>silne korelovaná</w:t>
      </w:r>
      <w:r w:rsidRPr="005F174A">
        <w:t>.</w:t>
      </w:r>
    </w:p>
    <w:p w14:paraId="471B6052" w14:textId="77777777" w:rsidR="005F174A" w:rsidRPr="005F174A" w:rsidRDefault="005F174A">
      <w:pPr>
        <w:numPr>
          <w:ilvl w:val="0"/>
          <w:numId w:val="10"/>
        </w:numPr>
      </w:pPr>
      <w:r w:rsidRPr="005F174A">
        <w:t>Najväčšie nárasty korelácie:</w:t>
      </w:r>
    </w:p>
    <w:p w14:paraId="004B0235" w14:textId="77777777" w:rsidR="005F174A" w:rsidRPr="005F174A" w:rsidRDefault="005F174A">
      <w:pPr>
        <w:numPr>
          <w:ilvl w:val="1"/>
          <w:numId w:val="10"/>
        </w:numPr>
      </w:pPr>
      <w:r w:rsidRPr="005F174A">
        <w:rPr>
          <w:b/>
          <w:bCs/>
        </w:rPr>
        <w:t>Automobile Manufacturers ↔ Oil &amp; Gas</w:t>
      </w:r>
      <w:r w:rsidRPr="005F174A">
        <w:t xml:space="preserve"> (0.18 → 0.61)</w:t>
      </w:r>
    </w:p>
    <w:p w14:paraId="58A06B9E" w14:textId="77777777" w:rsidR="005F174A" w:rsidRPr="005F174A" w:rsidRDefault="005F174A">
      <w:pPr>
        <w:numPr>
          <w:ilvl w:val="1"/>
          <w:numId w:val="10"/>
        </w:numPr>
      </w:pPr>
      <w:r w:rsidRPr="005F174A">
        <w:rPr>
          <w:b/>
          <w:bCs/>
        </w:rPr>
        <w:t>Movie &amp; Entertainment ↔ Diversified Banks</w:t>
      </w:r>
      <w:r w:rsidRPr="005F174A">
        <w:t xml:space="preserve"> (0.50 → 0.94)</w:t>
      </w:r>
    </w:p>
    <w:p w14:paraId="7B27C5B4" w14:textId="77777777" w:rsidR="005F174A" w:rsidRPr="005F174A" w:rsidRDefault="005F174A" w:rsidP="005F174A">
      <w:r w:rsidRPr="005F174A">
        <w:t>Najviac zasiahnuté odvetvia vytvorili homogénny cluster:</w:t>
      </w:r>
    </w:p>
    <w:p w14:paraId="18C6D4B6" w14:textId="77777777" w:rsidR="005F174A" w:rsidRDefault="005F174A">
      <w:pPr>
        <w:numPr>
          <w:ilvl w:val="0"/>
          <w:numId w:val="11"/>
        </w:numPr>
      </w:pPr>
      <w:r w:rsidRPr="005F174A">
        <w:t>Apparel &amp; Luxury Goods</w:t>
      </w:r>
    </w:p>
    <w:p w14:paraId="6DB4C425" w14:textId="1F158CCA" w:rsidR="005F174A" w:rsidRPr="005F174A" w:rsidRDefault="005F174A">
      <w:pPr>
        <w:numPr>
          <w:ilvl w:val="0"/>
          <w:numId w:val="11"/>
        </w:numPr>
      </w:pPr>
      <w:r w:rsidRPr="005F174A">
        <w:t>Hotels, Resorts &amp; Cruise Lines</w:t>
      </w:r>
    </w:p>
    <w:p w14:paraId="4AD5A319" w14:textId="77777777" w:rsidR="005F174A" w:rsidRPr="005F174A" w:rsidRDefault="005F174A">
      <w:pPr>
        <w:numPr>
          <w:ilvl w:val="0"/>
          <w:numId w:val="11"/>
        </w:numPr>
      </w:pPr>
      <w:r w:rsidRPr="005F174A">
        <w:t>Restaurants</w:t>
      </w:r>
    </w:p>
    <w:p w14:paraId="00DEC00A" w14:textId="77777777" w:rsidR="005F174A" w:rsidRPr="005F174A" w:rsidRDefault="005F174A">
      <w:pPr>
        <w:numPr>
          <w:ilvl w:val="0"/>
          <w:numId w:val="11"/>
        </w:numPr>
      </w:pPr>
      <w:r w:rsidRPr="005F174A">
        <w:t>Airlines</w:t>
      </w:r>
    </w:p>
    <w:p w14:paraId="54AF45D3" w14:textId="774E5390" w:rsidR="005F174A" w:rsidRDefault="005F174A">
      <w:pPr>
        <w:numPr>
          <w:ilvl w:val="0"/>
          <w:numId w:val="11"/>
        </w:numPr>
      </w:pPr>
      <w:r w:rsidRPr="005F174A">
        <w:t>Automobile</w:t>
      </w:r>
    </w:p>
    <w:p w14:paraId="7DBA6B21" w14:textId="6B2F19E2" w:rsidR="005F174A" w:rsidRPr="005F174A" w:rsidRDefault="005F174A" w:rsidP="000A2A0D">
      <w:pPr>
        <w:ind w:firstLine="360"/>
      </w:pPr>
      <w:r w:rsidRPr="005F174A">
        <w:t>COVID</w:t>
      </w:r>
      <w:r w:rsidRPr="005F174A">
        <w:noBreakHyphen/>
        <w:t xml:space="preserve">19 spôsobil </w:t>
      </w:r>
      <w:r w:rsidRPr="005F174A">
        <w:rPr>
          <w:b/>
          <w:bCs/>
        </w:rPr>
        <w:t>synchronizáciu volatility</w:t>
      </w:r>
      <w:r w:rsidRPr="005F174A">
        <w:t xml:space="preserve"> naprieč odvetviami.</w:t>
      </w:r>
      <w:r>
        <w:t xml:space="preserve"> </w:t>
      </w:r>
      <w:r w:rsidRPr="005F174A">
        <w:t>Odvetvia, ktoré boli pred pandémiou od seba vzdialené, sa počas pandémie správali podobne.</w:t>
      </w:r>
      <w:r>
        <w:t xml:space="preserve"> </w:t>
      </w:r>
      <w:r w:rsidRPr="005F174A">
        <w:t>E</w:t>
      </w:r>
      <w:r w:rsidRPr="005F174A">
        <w:noBreakHyphen/>
        <w:t xml:space="preserve">commerce odvetvie sa od zvyšku trhu </w:t>
      </w:r>
      <w:r w:rsidRPr="005F174A">
        <w:rPr>
          <w:b/>
          <w:bCs/>
        </w:rPr>
        <w:t>odpojilo</w:t>
      </w:r>
      <w:r w:rsidRPr="005F174A">
        <w:t xml:space="preserve"> vďaka prudkému rastu.</w:t>
      </w:r>
    </w:p>
    <w:p w14:paraId="40921B3C" w14:textId="77777777" w:rsidR="005F174A" w:rsidRPr="005F174A" w:rsidRDefault="005F174A" w:rsidP="005F174A"/>
    <w:p w14:paraId="4E1E2239" w14:textId="5F6D7D57" w:rsidR="005F174A" w:rsidRDefault="000A2A0D" w:rsidP="000A2A0D">
      <w:pPr>
        <w:jc w:val="center"/>
        <w:rPr>
          <w:b/>
          <w:bCs/>
          <w:sz w:val="24"/>
          <w:szCs w:val="24"/>
        </w:rPr>
      </w:pPr>
      <w:r w:rsidRPr="000A2A0D">
        <w:rPr>
          <w:b/>
          <w:bCs/>
          <w:sz w:val="24"/>
          <w:szCs w:val="24"/>
        </w:rPr>
        <w:lastRenderedPageBreak/>
        <w:t>Unleashing the pandemic volatility: A glimpse into the stock market performance of developed economies during COVID-19</w:t>
      </w:r>
    </w:p>
    <w:p w14:paraId="64603115" w14:textId="4A43A9A0" w:rsidR="000A2A0D" w:rsidRPr="000A2A0D" w:rsidRDefault="000A2A0D" w:rsidP="000A2A0D">
      <w:r>
        <w:tab/>
      </w:r>
      <w:r w:rsidRPr="000A2A0D">
        <w:t>Štúdia analyzuje volatilitu akciových trhov vyspelých ekonomík počas COVID</w:t>
      </w:r>
      <w:r w:rsidRPr="000A2A0D">
        <w:noBreakHyphen/>
        <w:t>19 pomocou GJR</w:t>
      </w:r>
      <w:r w:rsidRPr="000A2A0D">
        <w:noBreakHyphen/>
        <w:t>GARCH(1,1) modelu. Cieľom je porovnať správanie trhov pred pandémiou a počas nej a identifikovať kľúčové charakteristiky volatility.</w:t>
      </w:r>
    </w:p>
    <w:p w14:paraId="68EA9A5D" w14:textId="77777777" w:rsidR="000A2A0D" w:rsidRPr="000A2A0D" w:rsidRDefault="000A2A0D" w:rsidP="000A2A0D">
      <w:pPr>
        <w:rPr>
          <w:b/>
          <w:bCs/>
        </w:rPr>
      </w:pPr>
      <w:r w:rsidRPr="000A2A0D">
        <w:rPr>
          <w:b/>
          <w:bCs/>
        </w:rPr>
        <w:t>GJR</w:t>
      </w:r>
      <w:r w:rsidRPr="000A2A0D">
        <w:rPr>
          <w:b/>
          <w:bCs/>
        </w:rPr>
        <w:noBreakHyphen/>
        <w:t>GARCH potvrdzuje leverage efekt</w:t>
      </w:r>
    </w:p>
    <w:p w14:paraId="0B30C7F4" w14:textId="77777777" w:rsidR="000A2A0D" w:rsidRPr="000A2A0D" w:rsidRDefault="000A2A0D">
      <w:pPr>
        <w:numPr>
          <w:ilvl w:val="0"/>
          <w:numId w:val="12"/>
        </w:numPr>
      </w:pPr>
      <w:r w:rsidRPr="000A2A0D">
        <w:t xml:space="preserve">Negatívne šoky zvyšujú volatilitu </w:t>
      </w:r>
      <w:r w:rsidRPr="000A2A0D">
        <w:rPr>
          <w:b/>
          <w:bCs/>
        </w:rPr>
        <w:t>silnejšie</w:t>
      </w:r>
      <w:r w:rsidRPr="000A2A0D">
        <w:t xml:space="preserve"> než pozitívne.</w:t>
      </w:r>
    </w:p>
    <w:p w14:paraId="6973957C" w14:textId="77777777" w:rsidR="000A2A0D" w:rsidRPr="000A2A0D" w:rsidRDefault="000A2A0D">
      <w:pPr>
        <w:numPr>
          <w:ilvl w:val="0"/>
          <w:numId w:val="12"/>
        </w:numPr>
      </w:pPr>
      <w:r w:rsidRPr="000A2A0D">
        <w:t>Počas COVID</w:t>
      </w:r>
      <w:r w:rsidRPr="000A2A0D">
        <w:noBreakHyphen/>
        <w:t xml:space="preserve">19 je leverage efekt </w:t>
      </w:r>
      <w:r w:rsidRPr="000A2A0D">
        <w:rPr>
          <w:b/>
          <w:bCs/>
        </w:rPr>
        <w:t>výraznejší</w:t>
      </w:r>
      <w:r w:rsidRPr="000A2A0D">
        <w:t xml:space="preserve"> takmer vo všetkých indexoch.</w:t>
      </w:r>
    </w:p>
    <w:p w14:paraId="57DF9AD2" w14:textId="314F57B8" w:rsidR="000A2A0D" w:rsidRDefault="000A2A0D" w:rsidP="00A81907">
      <w:r w:rsidRPr="000A2A0D">
        <w:t>Dáta: denné výnosy 21 vyspelých trhov (2019–2020).</w:t>
      </w:r>
    </w:p>
    <w:p w14:paraId="1E06F508" w14:textId="4E018FBF" w:rsidR="000A2A0D" w:rsidRDefault="000A2A0D" w:rsidP="00A81907">
      <w:pPr>
        <w:rPr>
          <w:b/>
          <w:bCs/>
        </w:rPr>
      </w:pPr>
      <w:r w:rsidRPr="000A2A0D">
        <w:rPr>
          <w:b/>
          <w:bCs/>
        </w:rPr>
        <w:t>COVID</w:t>
      </w:r>
      <w:r w:rsidRPr="000A2A0D">
        <w:rPr>
          <w:b/>
          <w:bCs/>
        </w:rPr>
        <w:noBreakHyphen/>
        <w:t>19 spôsobil globálny nárast volatility vo všetkých vyspelých trhoch.</w:t>
      </w:r>
    </w:p>
    <w:p w14:paraId="2D3FBBD6" w14:textId="77777777" w:rsidR="000A2A0D" w:rsidRPr="000A2A0D" w:rsidRDefault="000A2A0D" w:rsidP="000A2A0D">
      <w:pPr>
        <w:jc w:val="center"/>
        <w:rPr>
          <w:b/>
          <w:bCs/>
          <w:sz w:val="24"/>
          <w:szCs w:val="24"/>
        </w:rPr>
      </w:pPr>
    </w:p>
    <w:p w14:paraId="3D2A866A" w14:textId="645864EB" w:rsidR="000A2A0D" w:rsidRDefault="000A2A0D" w:rsidP="000A2A0D">
      <w:pPr>
        <w:jc w:val="center"/>
        <w:rPr>
          <w:b/>
          <w:bCs/>
          <w:sz w:val="24"/>
          <w:szCs w:val="24"/>
        </w:rPr>
      </w:pPr>
      <w:r w:rsidRPr="000A2A0D">
        <w:rPr>
          <w:b/>
          <w:bCs/>
          <w:sz w:val="24"/>
          <w:szCs w:val="24"/>
        </w:rPr>
        <w:t>EFFECT OF HEALTH SYSTEM PERFORMANCE ON VOLATILITY DURING THE COVID-19 PANDEMIC: A NEURAL NETWORK APPROACH</w:t>
      </w:r>
    </w:p>
    <w:p w14:paraId="16C1D65E" w14:textId="763E1D5E" w:rsidR="000A2A0D" w:rsidRDefault="000A2A0D" w:rsidP="000A2A0D">
      <w:r>
        <w:tab/>
      </w:r>
      <w:r w:rsidRPr="000A2A0D">
        <w:t>Štúdia skúma vzťah medzi výkonnosťou národných zdravotných systémov (GHSI) a volatilitou akciových trhov počas pandémie COVID</w:t>
      </w:r>
      <w:r w:rsidRPr="000A2A0D">
        <w:noBreakHyphen/>
        <w:t>19. Autori analyzujú 60 krajín a používajú multilayer perceptron (MLP) neural network, aby zistili, či zdravotná pripravenosť štátu ovplyvňuje správanie jeho kapitálového trhu.</w:t>
      </w:r>
    </w:p>
    <w:p w14:paraId="55AEA6E7" w14:textId="3001030D" w:rsidR="000A2A0D" w:rsidRDefault="000A2A0D" w:rsidP="000A2A0D">
      <w:r w:rsidRPr="000A2A0D">
        <w:t xml:space="preserve">V roku </w:t>
      </w:r>
      <w:r w:rsidRPr="000A2A0D">
        <w:rPr>
          <w:b/>
          <w:bCs/>
        </w:rPr>
        <w:t>2021</w:t>
      </w:r>
      <w:r w:rsidRPr="000A2A0D">
        <w:t xml:space="preserve"> sa ukázalo, že </w:t>
      </w:r>
      <w:r w:rsidRPr="000A2A0D">
        <w:rPr>
          <w:b/>
          <w:bCs/>
        </w:rPr>
        <w:t>krajiny s lepším zdravotným systémom</w:t>
      </w:r>
      <w:r w:rsidRPr="000A2A0D">
        <w:t xml:space="preserve"> mali </w:t>
      </w:r>
      <w:r w:rsidRPr="000A2A0D">
        <w:rPr>
          <w:b/>
          <w:bCs/>
        </w:rPr>
        <w:t>nižšiu volatilitu</w:t>
      </w:r>
      <w:r w:rsidRPr="000A2A0D">
        <w:t>, zatiaľ čo slabšie systémy boli spojené s prudšími výkyvmi.</w:t>
      </w:r>
    </w:p>
    <w:p w14:paraId="0F1EF5D9" w14:textId="043FFB15" w:rsidR="000A2A0D" w:rsidRDefault="000A2A0D" w:rsidP="000A2A0D">
      <w:r w:rsidRPr="000A2A0D">
        <w:t>MLP model dokázal zachytiť komplexné väzby medzi zdravotnými indikátormi a trhovou volatilitou lepšie než tradičné ekonometrické modely.</w:t>
      </w:r>
    </w:p>
    <w:p w14:paraId="7BB1A83A" w14:textId="77777777" w:rsidR="000A2A0D" w:rsidRPr="000A2A0D" w:rsidRDefault="000A2A0D" w:rsidP="000A2A0D">
      <w:r w:rsidRPr="000A2A0D">
        <w:t>Dáta:</w:t>
      </w:r>
    </w:p>
    <w:p w14:paraId="698FBED1" w14:textId="77777777" w:rsidR="000A2A0D" w:rsidRPr="000A2A0D" w:rsidRDefault="000A2A0D">
      <w:pPr>
        <w:numPr>
          <w:ilvl w:val="0"/>
          <w:numId w:val="13"/>
        </w:numPr>
      </w:pPr>
      <w:r w:rsidRPr="000A2A0D">
        <w:rPr>
          <w:b/>
          <w:bCs/>
        </w:rPr>
        <w:t>GHSI 2019 a 2021</w:t>
      </w:r>
      <w:r w:rsidRPr="000A2A0D">
        <w:t xml:space="preserve"> (6 kategórií, 87 indikátorov)</w:t>
      </w:r>
    </w:p>
    <w:p w14:paraId="4A983A9B" w14:textId="77777777" w:rsidR="000A2A0D" w:rsidRPr="000A2A0D" w:rsidRDefault="000A2A0D">
      <w:pPr>
        <w:numPr>
          <w:ilvl w:val="0"/>
          <w:numId w:val="13"/>
        </w:numPr>
      </w:pPr>
      <w:r w:rsidRPr="000A2A0D">
        <w:t>Denné výnosy hlavných akciových indexov 60 krajín</w:t>
      </w:r>
    </w:p>
    <w:p w14:paraId="6AF4ECB5" w14:textId="04DF72A8" w:rsidR="000A2A0D" w:rsidRDefault="000A2A0D" w:rsidP="000A2A0D">
      <w:pPr>
        <w:ind w:firstLine="708"/>
      </w:pPr>
      <w:r w:rsidRPr="000A2A0D">
        <w:t xml:space="preserve">Počas pandémie sa zdravotné systémy stali </w:t>
      </w:r>
      <w:r w:rsidRPr="000A2A0D">
        <w:rPr>
          <w:b/>
          <w:bCs/>
        </w:rPr>
        <w:t>kľúčovým faktorom</w:t>
      </w:r>
      <w:r w:rsidRPr="000A2A0D">
        <w:t xml:space="preserve"> ovplyvňujúcim správanie finančných trhov.</w:t>
      </w:r>
    </w:p>
    <w:p w14:paraId="34CF8D0A" w14:textId="77777777" w:rsidR="000A2A0D" w:rsidRPr="000A2A0D" w:rsidRDefault="000A2A0D" w:rsidP="000A2A0D">
      <w:pPr>
        <w:jc w:val="center"/>
        <w:rPr>
          <w:b/>
          <w:bCs/>
        </w:rPr>
      </w:pPr>
    </w:p>
    <w:p w14:paraId="34A2B358" w14:textId="60C71202" w:rsidR="00BE5595" w:rsidRPr="009E0B68" w:rsidRDefault="000A2A0D" w:rsidP="00BE5595">
      <w:pPr>
        <w:jc w:val="center"/>
        <w:rPr>
          <w:b/>
          <w:bCs/>
          <w:sz w:val="24"/>
          <w:szCs w:val="24"/>
        </w:rPr>
      </w:pPr>
      <w:r w:rsidRPr="009E0B68">
        <w:rPr>
          <w:b/>
          <w:bCs/>
          <w:sz w:val="24"/>
          <w:szCs w:val="24"/>
        </w:rPr>
        <w:t>Co-movement dynamics of US and Chinese stock market: evidence from COVID-19 crisis</w:t>
      </w:r>
    </w:p>
    <w:p w14:paraId="4EE0753A" w14:textId="77777777" w:rsidR="00BE5595" w:rsidRPr="00BE5595" w:rsidRDefault="00BE5595" w:rsidP="00BE5595">
      <w:r w:rsidRPr="00BE5595">
        <w:tab/>
        <w:t>Štúdia skúma prepojenosť amerického a čínskeho akciového trhu v období 2010–2021, so zameraním na rozdiely pred COVID</w:t>
      </w:r>
      <w:r w:rsidRPr="00BE5595">
        <w:noBreakHyphen/>
        <w:t>19 a počas pandémie. Autori analyzujú:</w:t>
      </w:r>
    </w:p>
    <w:p w14:paraId="13FE1F9E" w14:textId="77777777" w:rsidR="00BE5595" w:rsidRPr="00BE5595" w:rsidRDefault="00BE5595">
      <w:pPr>
        <w:numPr>
          <w:ilvl w:val="0"/>
          <w:numId w:val="14"/>
        </w:numPr>
      </w:pPr>
      <w:r w:rsidRPr="00BE5595">
        <w:t>dlhodobú integráciu trhov,</w:t>
      </w:r>
    </w:p>
    <w:p w14:paraId="170FB94E" w14:textId="77777777" w:rsidR="00BE5595" w:rsidRPr="00BE5595" w:rsidRDefault="00BE5595">
      <w:pPr>
        <w:numPr>
          <w:ilvl w:val="0"/>
          <w:numId w:val="14"/>
        </w:numPr>
      </w:pPr>
      <w:r w:rsidRPr="00BE5595">
        <w:t>krátkodobú kauzalitu,</w:t>
      </w:r>
    </w:p>
    <w:p w14:paraId="5144B50F" w14:textId="70D75BFB" w:rsidR="00BE5595" w:rsidRDefault="00BE5595">
      <w:pPr>
        <w:numPr>
          <w:ilvl w:val="0"/>
          <w:numId w:val="14"/>
        </w:numPr>
      </w:pPr>
      <w:r w:rsidRPr="00BE5595">
        <w:t>volatility spillover pomocou EGARCH</w:t>
      </w:r>
      <w:r>
        <w:t>.</w:t>
      </w:r>
    </w:p>
    <w:p w14:paraId="1E48C0F0" w14:textId="77777777" w:rsidR="00BE5595" w:rsidRPr="00BE5595" w:rsidRDefault="00BE5595" w:rsidP="00BE5595">
      <w:pPr>
        <w:rPr>
          <w:b/>
          <w:bCs/>
        </w:rPr>
      </w:pPr>
      <w:r w:rsidRPr="00BE5595">
        <w:rPr>
          <w:b/>
          <w:bCs/>
        </w:rPr>
        <w:t>USA a Čína sú dlhodobo integrované</w:t>
      </w:r>
    </w:p>
    <w:p w14:paraId="681E6FC2" w14:textId="77777777" w:rsidR="00BE5595" w:rsidRPr="00BE5595" w:rsidRDefault="00BE5595">
      <w:pPr>
        <w:numPr>
          <w:ilvl w:val="0"/>
          <w:numId w:val="15"/>
        </w:numPr>
      </w:pPr>
      <w:r w:rsidRPr="00BE5595">
        <w:t>Johansenova cointegrácia potvrdzuje silnú dlhodobú väzbu medzi trhmi v oboch obdobiach.</w:t>
      </w:r>
    </w:p>
    <w:p w14:paraId="72B25BA3" w14:textId="77777777" w:rsidR="00BE5595" w:rsidRDefault="00BE5595">
      <w:pPr>
        <w:numPr>
          <w:ilvl w:val="0"/>
          <w:numId w:val="15"/>
        </w:numPr>
      </w:pPr>
      <w:r w:rsidRPr="00BE5595">
        <w:lastRenderedPageBreak/>
        <w:t>Počas COVID</w:t>
      </w:r>
      <w:r w:rsidRPr="00BE5595">
        <w:noBreakHyphen/>
        <w:t>19 je integrácia ešte silnejšia → trhy sa pohybujú takmer identicky.</w:t>
      </w:r>
    </w:p>
    <w:p w14:paraId="2FA38005" w14:textId="77777777" w:rsidR="00BE5595" w:rsidRPr="00BE5595" w:rsidRDefault="00BE5595" w:rsidP="00BE5595">
      <w:pPr>
        <w:rPr>
          <w:b/>
          <w:bCs/>
        </w:rPr>
      </w:pPr>
      <w:r w:rsidRPr="00BE5595">
        <w:rPr>
          <w:b/>
          <w:bCs/>
        </w:rPr>
        <w:t>Volatility spillover je asymetrický a silnejší počas pandémie</w:t>
      </w:r>
    </w:p>
    <w:p w14:paraId="2E72FF22" w14:textId="77777777" w:rsidR="00BE5595" w:rsidRPr="00BE5595" w:rsidRDefault="00BE5595">
      <w:pPr>
        <w:numPr>
          <w:ilvl w:val="0"/>
          <w:numId w:val="16"/>
        </w:numPr>
      </w:pPr>
      <w:r w:rsidRPr="00BE5595">
        <w:t>EGARCH ukazuje:</w:t>
      </w:r>
    </w:p>
    <w:p w14:paraId="0CB2817D" w14:textId="77777777" w:rsidR="00BE5595" w:rsidRPr="00BE5595" w:rsidRDefault="00BE5595">
      <w:pPr>
        <w:numPr>
          <w:ilvl w:val="1"/>
          <w:numId w:val="16"/>
        </w:numPr>
      </w:pPr>
      <w:r w:rsidRPr="00BE5595">
        <w:rPr>
          <w:b/>
          <w:bCs/>
        </w:rPr>
        <w:t>asymetrické efekty</w:t>
      </w:r>
      <w:r w:rsidRPr="00BE5595">
        <w:t xml:space="preserve"> – negatívne šoky zvyšujú volatilitu viac než pozitívne,</w:t>
      </w:r>
    </w:p>
    <w:p w14:paraId="371E4C7C" w14:textId="77777777" w:rsidR="00BE5595" w:rsidRPr="00BE5595" w:rsidRDefault="00BE5595">
      <w:pPr>
        <w:numPr>
          <w:ilvl w:val="1"/>
          <w:numId w:val="16"/>
        </w:numPr>
      </w:pPr>
      <w:r w:rsidRPr="00BE5595">
        <w:rPr>
          <w:b/>
          <w:bCs/>
        </w:rPr>
        <w:t>obojstranné spillover efekty</w:t>
      </w:r>
      <w:r w:rsidRPr="00BE5595">
        <w:t xml:space="preserve"> – USA ovplyvňuje Čínu a Čína USA,</w:t>
      </w:r>
    </w:p>
    <w:p w14:paraId="252A484F" w14:textId="076BD02F" w:rsidR="00BE5595" w:rsidRDefault="00BE5595" w:rsidP="00BE5595">
      <w:r w:rsidRPr="00BE5595">
        <w:t xml:space="preserve">Dáta: denné výnosy </w:t>
      </w:r>
      <w:r w:rsidRPr="00BE5595">
        <w:rPr>
          <w:b/>
          <w:bCs/>
        </w:rPr>
        <w:t>S&amp;P 500</w:t>
      </w:r>
      <w:r w:rsidRPr="00BE5595">
        <w:t xml:space="preserve"> a čínskeho akciového indexu (2010–2021).</w:t>
      </w:r>
    </w:p>
    <w:p w14:paraId="051ED1BF" w14:textId="77777777" w:rsidR="00BE5595" w:rsidRDefault="00BE5595" w:rsidP="00BE5595"/>
    <w:p w14:paraId="4F299AF9" w14:textId="76654BEF" w:rsidR="00BE5595" w:rsidRPr="00BE5595" w:rsidRDefault="00BE5595" w:rsidP="00BE5595">
      <w:pPr>
        <w:jc w:val="center"/>
        <w:rPr>
          <w:b/>
          <w:bCs/>
        </w:rPr>
      </w:pPr>
      <w:r w:rsidRPr="00BE5595">
        <w:rPr>
          <w:b/>
          <w:bCs/>
          <w:sz w:val="24"/>
          <w:szCs w:val="24"/>
        </w:rPr>
        <w:t>Covid-19 and stock market liquidity: international evidence</w:t>
      </w:r>
    </w:p>
    <w:p w14:paraId="23889E8D" w14:textId="77777777" w:rsidR="00BF2C0D" w:rsidRPr="00BF2C0D" w:rsidRDefault="00BF2C0D" w:rsidP="00BF2C0D">
      <w:pPr>
        <w:ind w:firstLine="708"/>
      </w:pPr>
      <w:r w:rsidRPr="00BF2C0D">
        <w:t>Štúdia skúma, ako Covid</w:t>
      </w:r>
      <w:r w:rsidRPr="00BF2C0D">
        <w:noBreakHyphen/>
        <w:t>19 ovplyvnil likviditu akciových trhov v piatich najviac zasiahnutých krajinách:</w:t>
      </w:r>
    </w:p>
    <w:p w14:paraId="0033484F" w14:textId="3D5F5E51" w:rsidR="00BF2C0D" w:rsidRPr="00BF2C0D" w:rsidRDefault="00BF2C0D">
      <w:pPr>
        <w:numPr>
          <w:ilvl w:val="0"/>
          <w:numId w:val="17"/>
        </w:numPr>
      </w:pPr>
      <w:r w:rsidRPr="00BF2C0D">
        <w:t>USA, Čína, Brazília, India, Rusko.</w:t>
      </w:r>
    </w:p>
    <w:p w14:paraId="73B652D3" w14:textId="77777777" w:rsidR="00BF2C0D" w:rsidRPr="00BF2C0D" w:rsidRDefault="00BF2C0D" w:rsidP="00BF2C0D">
      <w:pPr>
        <w:rPr>
          <w:b/>
          <w:bCs/>
        </w:rPr>
      </w:pPr>
      <w:r w:rsidRPr="00BF2C0D">
        <w:rPr>
          <w:b/>
          <w:bCs/>
        </w:rPr>
        <w:t>Covid</w:t>
      </w:r>
      <w:r w:rsidRPr="00BF2C0D">
        <w:rPr>
          <w:b/>
          <w:bCs/>
        </w:rPr>
        <w:noBreakHyphen/>
        <w:t>19 spôsobil okamžitý nárast illiquidity vo všetkých trhoch</w:t>
      </w:r>
    </w:p>
    <w:p w14:paraId="349452AD" w14:textId="77777777" w:rsidR="00BF2C0D" w:rsidRPr="00BF2C0D" w:rsidRDefault="00BF2C0D">
      <w:pPr>
        <w:numPr>
          <w:ilvl w:val="0"/>
          <w:numId w:val="18"/>
        </w:numPr>
      </w:pPr>
      <w:r w:rsidRPr="00BF2C0D">
        <w:t>Všetky krajiny zaznamenali prudký nárast illiquidity pri vypuknutí pandémie.</w:t>
      </w:r>
    </w:p>
    <w:p w14:paraId="39349196" w14:textId="77777777" w:rsidR="00BF2C0D" w:rsidRPr="00BF2C0D" w:rsidRDefault="00BF2C0D">
      <w:pPr>
        <w:numPr>
          <w:ilvl w:val="0"/>
          <w:numId w:val="18"/>
        </w:numPr>
      </w:pPr>
      <w:r w:rsidRPr="00BF2C0D">
        <w:t>Najsilnejšia reakcia: USA a India.</w:t>
      </w:r>
    </w:p>
    <w:p w14:paraId="0D4CA160" w14:textId="3B554BCF" w:rsidR="00BF2C0D" w:rsidRPr="00BF2C0D" w:rsidRDefault="00BF2C0D" w:rsidP="00BF2C0D">
      <w:pPr>
        <w:ind w:firstLine="708"/>
      </w:pPr>
      <w:r w:rsidRPr="00BF2C0D">
        <w:t>Covid</w:t>
      </w:r>
      <w:r w:rsidRPr="00BF2C0D">
        <w:noBreakHyphen/>
        <w:t>19 zvýšil illiquidity, ale len krátkodobo. Neexistuje dlhodobý ani krátkodobý stabilný vzťah medzi Covid</w:t>
      </w:r>
      <w:r w:rsidRPr="00BF2C0D">
        <w:noBreakHyphen/>
        <w:t>19 a likviditou. Likvidita sa po šoku rýchlo obnovila. VAR výsledky naznačujú, že Covid premenné nemusia byť vhodné prediktory pre likviditu.</w:t>
      </w:r>
    </w:p>
    <w:p w14:paraId="47DFDDC1" w14:textId="77777777" w:rsidR="00BF2C0D" w:rsidRPr="00BF2C0D" w:rsidRDefault="00BF2C0D" w:rsidP="00BF2C0D">
      <w:pPr>
        <w:jc w:val="center"/>
        <w:rPr>
          <w:b/>
          <w:bCs/>
          <w:sz w:val="24"/>
          <w:szCs w:val="24"/>
        </w:rPr>
      </w:pPr>
    </w:p>
    <w:p w14:paraId="792EEA51" w14:textId="17E01FDD" w:rsidR="00BF2C0D" w:rsidRDefault="00BF2C0D" w:rsidP="00BF2C0D">
      <w:pPr>
        <w:jc w:val="center"/>
        <w:rPr>
          <w:b/>
          <w:bCs/>
          <w:sz w:val="24"/>
          <w:szCs w:val="24"/>
        </w:rPr>
      </w:pPr>
      <w:r w:rsidRPr="00BF2C0D">
        <w:rPr>
          <w:b/>
          <w:bCs/>
          <w:sz w:val="24"/>
          <w:szCs w:val="24"/>
        </w:rPr>
        <w:t>Multifractal Behaviors of Stock Indices and Their Ability to Improve Forecasting in a Volatility Clustering Period</w:t>
      </w:r>
    </w:p>
    <w:p w14:paraId="1D90DB72" w14:textId="1AB4957A" w:rsidR="00BF2C0D" w:rsidRPr="00BF2C0D" w:rsidRDefault="00BF2C0D" w:rsidP="00BF2C0D">
      <w:r w:rsidRPr="00BF2C0D">
        <w:tab/>
        <w:t>Autori skúmajú multifraktálne správanie intradenných výnosov indexov CSI300 (Čína) a S&amp;P 500 (USA) počas troch období pandémie COVID</w:t>
      </w:r>
      <w:r w:rsidRPr="00BF2C0D">
        <w:noBreakHyphen/>
        <w:t>19. Pandémia zásadne mení štruktúru volatility</w:t>
      </w:r>
    </w:p>
    <w:p w14:paraId="117CD492" w14:textId="77777777" w:rsidR="00BF2C0D" w:rsidRPr="00BF2C0D" w:rsidRDefault="00BF2C0D">
      <w:pPr>
        <w:pStyle w:val="Odsekzoznamu"/>
        <w:numPr>
          <w:ilvl w:val="0"/>
          <w:numId w:val="19"/>
        </w:numPr>
      </w:pPr>
      <w:r w:rsidRPr="00BF2C0D">
        <w:t>Pandémia zvyšuje multifraktálnosť, najmä v USA.</w:t>
      </w:r>
    </w:p>
    <w:p w14:paraId="58481C16" w14:textId="77777777" w:rsidR="00BF2C0D" w:rsidRPr="00BF2C0D" w:rsidRDefault="00BF2C0D">
      <w:pPr>
        <w:pStyle w:val="Odsekzoznamu"/>
        <w:numPr>
          <w:ilvl w:val="0"/>
          <w:numId w:val="19"/>
        </w:numPr>
      </w:pPr>
      <w:r w:rsidRPr="00BF2C0D">
        <w:t>Trhy po panike zostávajú menej efektívne než pred pandémiou.</w:t>
      </w:r>
    </w:p>
    <w:p w14:paraId="12DC5975" w14:textId="77777777" w:rsidR="00BF2C0D" w:rsidRPr="00BF2C0D" w:rsidRDefault="00BF2C0D">
      <w:pPr>
        <w:pStyle w:val="Odsekzoznamu"/>
        <w:numPr>
          <w:ilvl w:val="0"/>
          <w:numId w:val="19"/>
        </w:numPr>
      </w:pPr>
      <w:r w:rsidRPr="00BF2C0D">
        <w:t>Hurstov index a Hurstcorr sú užitočné pri predikcii počas extrémnej volatility.</w:t>
      </w:r>
    </w:p>
    <w:p w14:paraId="1EF79C29" w14:textId="77777777" w:rsidR="00BF2C0D" w:rsidRPr="00BF2C0D" w:rsidRDefault="00BF2C0D">
      <w:pPr>
        <w:pStyle w:val="Odsekzoznamu"/>
        <w:numPr>
          <w:ilvl w:val="0"/>
          <w:numId w:val="19"/>
        </w:numPr>
      </w:pPr>
      <w:r w:rsidRPr="00BF2C0D">
        <w:t>GRU + Hurstcorr poskytuje najlepšie výsledky v období volatility clusteringu.</w:t>
      </w:r>
    </w:p>
    <w:p w14:paraId="505C9EAC" w14:textId="0485E039" w:rsidR="00BF2C0D" w:rsidRPr="00BF2C0D" w:rsidRDefault="00BF2C0D">
      <w:pPr>
        <w:pStyle w:val="Odsekzoznamu"/>
        <w:numPr>
          <w:ilvl w:val="0"/>
          <w:numId w:val="19"/>
        </w:numPr>
      </w:pPr>
      <w:r w:rsidRPr="00BF2C0D">
        <w:t>USA vykazujú vyššiu komplexnosť a horšiu predikovateľnosť než Čína.</w:t>
      </w:r>
    </w:p>
    <w:p w14:paraId="603D4084" w14:textId="0BBED3C5" w:rsidR="00BF2C0D" w:rsidRDefault="00BF2C0D" w:rsidP="009E0B68">
      <w:pPr>
        <w:rPr>
          <w:b/>
          <w:bCs/>
        </w:rPr>
      </w:pPr>
      <w:r w:rsidRPr="00BF2C0D">
        <w:rPr>
          <w:b/>
          <w:bCs/>
        </w:rPr>
        <w:t>Výsledky naznačujú, že USA sú citlivejšie na globálne šoky než Čína</w:t>
      </w:r>
      <w:r w:rsidR="009E0B68">
        <w:rPr>
          <w:b/>
          <w:bCs/>
        </w:rPr>
        <w:t>.</w:t>
      </w:r>
    </w:p>
    <w:p w14:paraId="273CB201" w14:textId="77777777" w:rsidR="00BF2C0D" w:rsidRDefault="00BF2C0D" w:rsidP="00BF2C0D">
      <w:pPr>
        <w:rPr>
          <w:b/>
          <w:bCs/>
        </w:rPr>
      </w:pPr>
    </w:p>
    <w:p w14:paraId="445BD28D" w14:textId="7F4AB62F" w:rsidR="00BF2C0D" w:rsidRDefault="00BF2C0D" w:rsidP="00BF2C0D">
      <w:pPr>
        <w:jc w:val="center"/>
        <w:rPr>
          <w:b/>
          <w:bCs/>
          <w:sz w:val="24"/>
          <w:szCs w:val="24"/>
        </w:rPr>
      </w:pPr>
      <w:r w:rsidRPr="00BF2C0D">
        <w:rPr>
          <w:b/>
          <w:bCs/>
          <w:sz w:val="24"/>
          <w:szCs w:val="24"/>
        </w:rPr>
        <w:t>Intraday Volatility Spillovers among European Financial Markets during COVID-19</w:t>
      </w:r>
    </w:p>
    <w:p w14:paraId="4E81D45F" w14:textId="235DD839" w:rsidR="000C25AC" w:rsidRPr="000C25AC" w:rsidRDefault="00BF2C0D" w:rsidP="00BF2C0D">
      <w:r>
        <w:tab/>
      </w:r>
      <w:r w:rsidR="000C25AC" w:rsidRPr="000C25AC">
        <w:t>Štúdia analyzuje intradenné volatilné spillover efekty medzi 12 európskymi akciovými trhmi počas COVID</w:t>
      </w:r>
      <w:r w:rsidR="000C25AC" w:rsidRPr="000C25AC">
        <w:noBreakHyphen/>
        <w:t>19. Používa 5</w:t>
      </w:r>
      <w:r w:rsidR="000C25AC" w:rsidRPr="000C25AC">
        <w:noBreakHyphen/>
        <w:t>minútové dáta (10 990 pozorovaní).</w:t>
      </w:r>
    </w:p>
    <w:p w14:paraId="04E0511A" w14:textId="77777777" w:rsidR="000C25AC" w:rsidRPr="000C25AC" w:rsidRDefault="000C25AC" w:rsidP="000C25AC">
      <w:pPr>
        <w:rPr>
          <w:b/>
          <w:bCs/>
        </w:rPr>
      </w:pPr>
      <w:r w:rsidRPr="000C25AC">
        <w:rPr>
          <w:b/>
          <w:bCs/>
        </w:rPr>
        <w:t>Európske trhy boli počas COVID</w:t>
      </w:r>
      <w:r w:rsidRPr="000C25AC">
        <w:rPr>
          <w:b/>
          <w:bCs/>
        </w:rPr>
        <w:noBreakHyphen/>
        <w:t>19 extrémne prepojené</w:t>
      </w:r>
    </w:p>
    <w:p w14:paraId="2C940D1E" w14:textId="77777777" w:rsidR="000C25AC" w:rsidRPr="000C25AC" w:rsidRDefault="000C25AC">
      <w:pPr>
        <w:numPr>
          <w:ilvl w:val="0"/>
          <w:numId w:val="20"/>
        </w:numPr>
      </w:pPr>
      <w:r w:rsidRPr="000C25AC">
        <w:t>77.8 % intradenného forecast error variance pochádza zo spilloverov medzi trhmi.</w:t>
      </w:r>
    </w:p>
    <w:p w14:paraId="4F6ACC22" w14:textId="4A933D3F" w:rsidR="000C25AC" w:rsidRPr="000C25AC" w:rsidRDefault="000C25AC">
      <w:pPr>
        <w:numPr>
          <w:ilvl w:val="0"/>
          <w:numId w:val="20"/>
        </w:numPr>
      </w:pPr>
      <w:r w:rsidRPr="000C25AC">
        <w:lastRenderedPageBreak/>
        <w:t>To znamená veľmi vysokú úroveň prepojenosti a nízku diverzifikovateľnosť.</w:t>
      </w:r>
    </w:p>
    <w:p w14:paraId="214E93F8" w14:textId="55933D1C" w:rsidR="000C25AC" w:rsidRPr="000C25AC" w:rsidRDefault="000C25AC" w:rsidP="000C25AC">
      <w:r w:rsidRPr="000C25AC">
        <w:rPr>
          <w:b/>
          <w:bCs/>
        </w:rPr>
        <w:t>Holandsko (AEX)</w:t>
      </w:r>
      <w:r w:rsidRPr="000C25AC">
        <w:t xml:space="preserve"> – najvyšší smerový spillover TO others (100.16).</w:t>
      </w:r>
    </w:p>
    <w:p w14:paraId="5E8F6610" w14:textId="1FB65C35" w:rsidR="000C25AC" w:rsidRDefault="000C25AC" w:rsidP="000C25AC">
      <w:r w:rsidRPr="000C25AC">
        <w:rPr>
          <w:b/>
          <w:bCs/>
        </w:rPr>
        <w:t>Nemecko (DAX)</w:t>
      </w:r>
      <w:r w:rsidRPr="000C25AC">
        <w:t xml:space="preserve"> – druhý najsilnejší vysielač (99.54).</w:t>
      </w:r>
    </w:p>
    <w:p w14:paraId="00EF59AB" w14:textId="1AD1520F" w:rsidR="000C25AC" w:rsidRDefault="000C25AC" w:rsidP="000C25AC">
      <w:pPr>
        <w:ind w:firstLine="708"/>
      </w:pPr>
      <w:r w:rsidRPr="000C25AC">
        <w:t>Európske trhy boli počas COVID</w:t>
      </w:r>
      <w:r w:rsidRPr="000C25AC">
        <w:noBreakHyphen/>
        <w:t xml:space="preserve">19 </w:t>
      </w:r>
      <w:r w:rsidRPr="000C25AC">
        <w:rPr>
          <w:b/>
          <w:bCs/>
        </w:rPr>
        <w:t>silne prepojené</w:t>
      </w:r>
      <w:r w:rsidRPr="000C25AC">
        <w:t>, čo znižuje diverzifikačné možnosti.</w:t>
      </w:r>
      <w:r>
        <w:t xml:space="preserve"> </w:t>
      </w:r>
      <w:r w:rsidRPr="000C25AC">
        <w:t xml:space="preserve">Volatilita sa prenášala </w:t>
      </w:r>
      <w:r w:rsidRPr="000C25AC">
        <w:rPr>
          <w:b/>
          <w:bCs/>
        </w:rPr>
        <w:t>rýchlo a intenzívne</w:t>
      </w:r>
      <w:r w:rsidRPr="000C25AC">
        <w:t xml:space="preserve"> naprieč regiónmi.</w:t>
      </w:r>
      <w:r>
        <w:t xml:space="preserve"> </w:t>
      </w:r>
      <w:r w:rsidRPr="000C25AC">
        <w:t xml:space="preserve">Holandsko a Nemecko sú </w:t>
      </w:r>
      <w:r w:rsidRPr="000C25AC">
        <w:rPr>
          <w:b/>
          <w:bCs/>
        </w:rPr>
        <w:t>kľúčové uzly</w:t>
      </w:r>
      <w:r w:rsidRPr="000C25AC">
        <w:t xml:space="preserve"> prenosu volatility.</w:t>
      </w:r>
    </w:p>
    <w:p w14:paraId="191249B8" w14:textId="77777777" w:rsidR="000C25AC" w:rsidRDefault="000C25AC" w:rsidP="000C25AC">
      <w:pPr>
        <w:ind w:firstLine="708"/>
      </w:pPr>
    </w:p>
    <w:p w14:paraId="71EB6E09" w14:textId="43EFD411" w:rsidR="000C25AC" w:rsidRPr="000C25AC" w:rsidRDefault="000C25AC" w:rsidP="000C25AC">
      <w:pPr>
        <w:jc w:val="center"/>
        <w:rPr>
          <w:b/>
          <w:bCs/>
          <w:sz w:val="24"/>
          <w:szCs w:val="24"/>
        </w:rPr>
      </w:pPr>
      <w:r w:rsidRPr="000C25AC">
        <w:rPr>
          <w:b/>
          <w:bCs/>
          <w:sz w:val="24"/>
          <w:szCs w:val="24"/>
        </w:rPr>
        <w:t>Impact of COVID-19 on the Stock Market Performance of Global IT Sector</w:t>
      </w:r>
    </w:p>
    <w:p w14:paraId="30622D5B" w14:textId="7D9BA7AC" w:rsidR="000C25AC" w:rsidRPr="000C25AC" w:rsidRDefault="000C25AC" w:rsidP="000C25AC">
      <w:r>
        <w:tab/>
      </w:r>
      <w:r w:rsidRPr="000C25AC">
        <w:t>Autori skúmajú, ako COVID</w:t>
      </w:r>
      <w:r w:rsidRPr="000C25AC">
        <w:noBreakHyphen/>
        <w:t>19 ovplyvnil výnosy a volatilitu IT sektorových indexov v deviatich technologicky najvyspelejších krajinách (USA, Kanada, Nemecko, Francúzsko, UK, India, Kórea, Čína, Japonsko). Používajú GARCH(1,1).</w:t>
      </w:r>
    </w:p>
    <w:p w14:paraId="39CE8F22" w14:textId="77777777" w:rsidR="000C25AC" w:rsidRPr="000C25AC" w:rsidRDefault="000C25AC" w:rsidP="000C25AC">
      <w:pPr>
        <w:rPr>
          <w:b/>
          <w:bCs/>
        </w:rPr>
      </w:pPr>
      <w:r w:rsidRPr="000C25AC">
        <w:rPr>
          <w:b/>
          <w:bCs/>
        </w:rPr>
        <w:t>Počas COVID</w:t>
      </w:r>
      <w:r w:rsidRPr="000C25AC">
        <w:rPr>
          <w:b/>
          <w:bCs/>
        </w:rPr>
        <w:noBreakHyphen/>
        <w:t>19 rástli priemerné denné výnosy IT indexov</w:t>
      </w:r>
    </w:p>
    <w:p w14:paraId="4455DF0C" w14:textId="77777777" w:rsidR="000C25AC" w:rsidRPr="000C25AC" w:rsidRDefault="000C25AC">
      <w:pPr>
        <w:numPr>
          <w:ilvl w:val="0"/>
          <w:numId w:val="21"/>
        </w:numPr>
      </w:pPr>
      <w:r w:rsidRPr="000C25AC">
        <w:t>8 z 9 krajín vykazuje pozitívne denné výnosy počas pandémie.</w:t>
      </w:r>
    </w:p>
    <w:p w14:paraId="2D5AA514" w14:textId="77777777" w:rsidR="000C25AC" w:rsidRPr="000C25AC" w:rsidRDefault="000C25AC">
      <w:pPr>
        <w:numPr>
          <w:ilvl w:val="0"/>
          <w:numId w:val="21"/>
        </w:numPr>
      </w:pPr>
      <w:r w:rsidRPr="000C25AC">
        <w:t>V 6 krajinách dokonca vidno uptrend výnosov oproti obdobiu pred pandémiou.</w:t>
      </w:r>
    </w:p>
    <w:p w14:paraId="097BC251" w14:textId="77777777" w:rsidR="000C25AC" w:rsidRPr="000C25AC" w:rsidRDefault="000C25AC">
      <w:pPr>
        <w:numPr>
          <w:ilvl w:val="0"/>
          <w:numId w:val="21"/>
        </w:numPr>
      </w:pPr>
      <w:r w:rsidRPr="000C25AC">
        <w:t>Najsilnejší rast: Nemecko, Kórea, Kanada, India.</w:t>
      </w:r>
    </w:p>
    <w:p w14:paraId="5D8644B6" w14:textId="18659B2D" w:rsidR="000C25AC" w:rsidRDefault="000C25AC" w:rsidP="000C25AC">
      <w:r w:rsidRPr="000C25AC">
        <w:t>Všetky IT indexy vykazujú silnejšiu pozitívnu koreláciu než pred pandémiou. Väčšina IT trhov zaznamenala pozitívne výnosy aj počas krízy. IT sektor je mean</w:t>
      </w:r>
      <w:r w:rsidRPr="000C25AC">
        <w:noBreakHyphen/>
        <w:t>reverting, ale šoky sa vytrácajú pomaly. Pandémia posilnila globálnu prepojenosť IT trhov.</w:t>
      </w:r>
    </w:p>
    <w:p w14:paraId="256322E0" w14:textId="77777777" w:rsidR="000C25AC" w:rsidRDefault="000C25AC" w:rsidP="000C25AC"/>
    <w:p w14:paraId="46B56CCF" w14:textId="0EA365EF" w:rsidR="000C25AC" w:rsidRPr="000C25AC" w:rsidRDefault="000C25AC" w:rsidP="000C25AC">
      <w:pPr>
        <w:jc w:val="center"/>
        <w:rPr>
          <w:b/>
          <w:bCs/>
        </w:rPr>
      </w:pPr>
      <w:r w:rsidRPr="000C25AC">
        <w:rPr>
          <w:b/>
          <w:bCs/>
          <w:sz w:val="24"/>
          <w:szCs w:val="24"/>
        </w:rPr>
        <w:t>How the effective reproductive number impacts global stock markets</w:t>
      </w:r>
    </w:p>
    <w:p w14:paraId="5B8145ED" w14:textId="00A2C072" w:rsidR="000C25AC" w:rsidRPr="00B04CC1" w:rsidRDefault="000C25AC" w:rsidP="000C25AC">
      <w:r>
        <w:tab/>
      </w:r>
      <w:r w:rsidRPr="00B04CC1">
        <w:t>Autori skúmajú, ako zmeny efektívneho reprodukčného čísla (Rt) – teda rýchlosti šírenia COVID</w:t>
      </w:r>
      <w:r w:rsidRPr="00B04CC1">
        <w:noBreakHyphen/>
        <w:t>19 – ovplyvňujú výnosy a volatilitu akciových trhov v 26 krajinách (32 indexov). Používajú rozsiahlu sadu ARCH/GARCH modelov, vrátane EGARCH, P</w:t>
      </w:r>
      <w:r w:rsidRPr="00B04CC1">
        <w:noBreakHyphen/>
        <w:t>GARCH, TARCH a ďalších.</w:t>
      </w:r>
    </w:p>
    <w:p w14:paraId="41A2397A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Rt má významný vplyv na výnosy akciových trhov</w:t>
      </w:r>
    </w:p>
    <w:p w14:paraId="275C5E18" w14:textId="31CAD639" w:rsidR="00B04CC1" w:rsidRPr="00B04CC1" w:rsidRDefault="00B04CC1">
      <w:pPr>
        <w:numPr>
          <w:ilvl w:val="0"/>
          <w:numId w:val="22"/>
        </w:numPr>
      </w:pPr>
      <w:r w:rsidRPr="00B04CC1">
        <w:t>37.5 % indexov reaguje na zmeny Rt negatívne → vyšší Rt = pokles výnosov.</w:t>
      </w:r>
    </w:p>
    <w:p w14:paraId="6F38CE23" w14:textId="47061C53" w:rsidR="000C25AC" w:rsidRPr="00B04CC1" w:rsidRDefault="000C25AC" w:rsidP="000C25AC">
      <w:pPr>
        <w:ind w:firstLine="708"/>
      </w:pPr>
      <w:r w:rsidRPr="00B04CC1">
        <w:t>Rt je dôležitý indikátor pre finančné trhy, často významnejší než samotné počty prípadov. Vyšší Rt (nekontrolované šírenie) zvyčajne znižuje výnosy a zvyšuje volatilitu. Vplyv Rt nie je jednotný – závisí od krajiny, reakcie vlády, dôvery investorov a štruktúry trhu. EGARCH je najspoľahlivejší model na zachytenie asymetrických reakcií trhov počas pandémie.</w:t>
      </w:r>
    </w:p>
    <w:p w14:paraId="40597C2B" w14:textId="77777777" w:rsidR="00B04CC1" w:rsidRDefault="00B04CC1" w:rsidP="00B04CC1"/>
    <w:p w14:paraId="69E0123A" w14:textId="1DE0ECF6" w:rsidR="00B04CC1" w:rsidRPr="00B04CC1" w:rsidRDefault="00B04CC1" w:rsidP="00B04CC1">
      <w:pPr>
        <w:jc w:val="center"/>
        <w:rPr>
          <w:b/>
          <w:bCs/>
          <w:sz w:val="24"/>
          <w:szCs w:val="24"/>
        </w:rPr>
      </w:pPr>
      <w:r w:rsidRPr="00B04CC1">
        <w:rPr>
          <w:b/>
          <w:bCs/>
          <w:sz w:val="24"/>
          <w:szCs w:val="24"/>
        </w:rPr>
        <w:t>Explainable Hybrid Modeling of Stock Market Turning Points: An Integrated ARIMA-LSTM-SHAP Approach</w:t>
      </w:r>
    </w:p>
    <w:p w14:paraId="2CA2837C" w14:textId="77777777" w:rsidR="00B04CC1" w:rsidRPr="00B04CC1" w:rsidRDefault="00B04CC1" w:rsidP="00B04CC1">
      <w:r>
        <w:tab/>
      </w:r>
      <w:r w:rsidRPr="00B04CC1">
        <w:t>Článok predstavuje nový, vysvetliteľný hybridný model na detekciu a predikciu turning points (bodov obratu) na akciových trhoch. Model kombinuje:</w:t>
      </w:r>
    </w:p>
    <w:p w14:paraId="719AF3FA" w14:textId="77777777" w:rsidR="00B04CC1" w:rsidRPr="00B04CC1" w:rsidRDefault="00B04CC1">
      <w:pPr>
        <w:numPr>
          <w:ilvl w:val="0"/>
          <w:numId w:val="23"/>
        </w:numPr>
      </w:pPr>
      <w:r w:rsidRPr="00B04CC1">
        <w:rPr>
          <w:b/>
          <w:bCs/>
        </w:rPr>
        <w:t>ARIMA</w:t>
      </w:r>
      <w:r w:rsidRPr="00B04CC1">
        <w:t xml:space="preserve"> – zachytáva lineárne trendy a štruktúru trhu,</w:t>
      </w:r>
    </w:p>
    <w:p w14:paraId="608EA60B" w14:textId="77777777" w:rsidR="00B04CC1" w:rsidRPr="00B04CC1" w:rsidRDefault="00B04CC1">
      <w:pPr>
        <w:numPr>
          <w:ilvl w:val="0"/>
          <w:numId w:val="23"/>
        </w:numPr>
      </w:pPr>
      <w:r w:rsidRPr="00B04CC1">
        <w:rPr>
          <w:b/>
          <w:bCs/>
        </w:rPr>
        <w:lastRenderedPageBreak/>
        <w:t>BiLSTM</w:t>
      </w:r>
      <w:r w:rsidRPr="00B04CC1">
        <w:t xml:space="preserve"> – modeluje nelineárne, behaviorálne a časové vzorce,</w:t>
      </w:r>
    </w:p>
    <w:p w14:paraId="5B84E74F" w14:textId="77777777" w:rsidR="00B04CC1" w:rsidRPr="00B04CC1" w:rsidRDefault="00B04CC1">
      <w:pPr>
        <w:numPr>
          <w:ilvl w:val="0"/>
          <w:numId w:val="23"/>
        </w:numPr>
      </w:pPr>
      <w:r w:rsidRPr="00B04CC1">
        <w:rPr>
          <w:b/>
          <w:bCs/>
        </w:rPr>
        <w:t>SHAP</w:t>
      </w:r>
      <w:r w:rsidRPr="00B04CC1">
        <w:t xml:space="preserve"> – poskytuje interpretovateľnosť a stabilitu vysvetlení.</w:t>
      </w:r>
    </w:p>
    <w:p w14:paraId="14AAB072" w14:textId="77777777" w:rsidR="00B04CC1" w:rsidRDefault="00B04CC1" w:rsidP="00B04CC1">
      <w:pPr>
        <w:rPr>
          <w:b/>
          <w:bCs/>
        </w:rPr>
      </w:pPr>
      <w:r w:rsidRPr="00B04CC1">
        <w:rPr>
          <w:b/>
          <w:bCs/>
        </w:rPr>
        <w:t xml:space="preserve">Cieľ: spoľahlivo identifikovať obraty trendu, znížiť falošné signály a zároveň vysvetliť, </w:t>
      </w:r>
      <w:r w:rsidRPr="00B04CC1">
        <w:rPr>
          <w:b/>
          <w:bCs/>
          <w:i/>
          <w:iCs/>
        </w:rPr>
        <w:t>prečo</w:t>
      </w:r>
      <w:r w:rsidRPr="00B04CC1">
        <w:rPr>
          <w:b/>
          <w:bCs/>
        </w:rPr>
        <w:t xml:space="preserve"> model rozhoduje tak, ako rozhoduje.</w:t>
      </w:r>
    </w:p>
    <w:p w14:paraId="6A4886B3" w14:textId="00B4C83E" w:rsidR="00B04CC1" w:rsidRPr="00B04CC1" w:rsidRDefault="00B04CC1" w:rsidP="00B04CC1">
      <w:r w:rsidRPr="00B04CC1">
        <w:t>Model dosahuje najlepší kompromis medzi presnosťou, stabilitou a ekonomickou hodnotou signálov. SHAP prináša interpretovateľnosť a stabilitu.</w:t>
      </w:r>
    </w:p>
    <w:p w14:paraId="03FF3A89" w14:textId="77777777" w:rsidR="00B04CC1" w:rsidRPr="00B04CC1" w:rsidRDefault="00B04CC1" w:rsidP="00B04CC1">
      <w:r w:rsidRPr="00B04CC1">
        <w:t>Hybridné modely sú porovnané v širokom experimente</w:t>
      </w:r>
    </w:p>
    <w:p w14:paraId="71755B7B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Testované architektúry:</w:t>
      </w:r>
    </w:p>
    <w:p w14:paraId="3E4362FD" w14:textId="77777777" w:rsidR="00B04CC1" w:rsidRPr="00B04CC1" w:rsidRDefault="00B04CC1">
      <w:pPr>
        <w:numPr>
          <w:ilvl w:val="0"/>
          <w:numId w:val="24"/>
        </w:numPr>
      </w:pPr>
      <w:r w:rsidRPr="00B04CC1">
        <w:t>ARIMA</w:t>
      </w:r>
    </w:p>
    <w:p w14:paraId="3A394D91" w14:textId="77777777" w:rsidR="00B04CC1" w:rsidRPr="00B04CC1" w:rsidRDefault="00B04CC1">
      <w:pPr>
        <w:numPr>
          <w:ilvl w:val="0"/>
          <w:numId w:val="24"/>
        </w:numPr>
      </w:pPr>
      <w:r w:rsidRPr="00B04CC1">
        <w:t>XGBoost</w:t>
      </w:r>
    </w:p>
    <w:p w14:paraId="43617C5B" w14:textId="77777777" w:rsidR="00B04CC1" w:rsidRPr="00B04CC1" w:rsidRDefault="00B04CC1">
      <w:pPr>
        <w:numPr>
          <w:ilvl w:val="0"/>
          <w:numId w:val="24"/>
        </w:numPr>
      </w:pPr>
      <w:r w:rsidRPr="00B04CC1">
        <w:t>LSTM</w:t>
      </w:r>
    </w:p>
    <w:p w14:paraId="0DEC903E" w14:textId="77777777" w:rsidR="00B04CC1" w:rsidRPr="00B04CC1" w:rsidRDefault="00B04CC1">
      <w:pPr>
        <w:numPr>
          <w:ilvl w:val="0"/>
          <w:numId w:val="24"/>
        </w:numPr>
      </w:pPr>
      <w:r w:rsidRPr="00B04CC1">
        <w:t>CNN</w:t>
      </w:r>
      <w:r w:rsidRPr="00B04CC1">
        <w:noBreakHyphen/>
        <w:t>BiLSTM</w:t>
      </w:r>
      <w:r w:rsidRPr="00B04CC1">
        <w:noBreakHyphen/>
        <w:t>Attention</w:t>
      </w:r>
    </w:p>
    <w:p w14:paraId="4766648D" w14:textId="77777777" w:rsidR="00B04CC1" w:rsidRPr="00B04CC1" w:rsidRDefault="00B04CC1">
      <w:pPr>
        <w:numPr>
          <w:ilvl w:val="0"/>
          <w:numId w:val="24"/>
        </w:numPr>
      </w:pPr>
      <w:r w:rsidRPr="00B04CC1">
        <w:t>VMD/STL</w:t>
      </w:r>
      <w:r w:rsidRPr="00B04CC1">
        <w:noBreakHyphen/>
        <w:t>LSTM</w:t>
      </w:r>
      <w:r w:rsidRPr="00B04CC1">
        <w:noBreakHyphen/>
        <w:t>SHAP</w:t>
      </w:r>
    </w:p>
    <w:p w14:paraId="3E2C60BF" w14:textId="77777777" w:rsidR="00B04CC1" w:rsidRPr="00B04CC1" w:rsidRDefault="00B04CC1">
      <w:pPr>
        <w:numPr>
          <w:ilvl w:val="0"/>
          <w:numId w:val="24"/>
        </w:numPr>
      </w:pPr>
      <w:r w:rsidRPr="00B04CC1">
        <w:t>Stacking (XGB + LSTM + Transformer)</w:t>
      </w:r>
    </w:p>
    <w:p w14:paraId="47884BF7" w14:textId="77777777" w:rsidR="00B04CC1" w:rsidRPr="00B04CC1" w:rsidRDefault="00B04CC1">
      <w:pPr>
        <w:numPr>
          <w:ilvl w:val="0"/>
          <w:numId w:val="24"/>
        </w:numPr>
      </w:pPr>
      <w:r w:rsidRPr="00B04CC1">
        <w:t>ARIMA</w:t>
      </w:r>
      <w:r w:rsidRPr="00B04CC1">
        <w:noBreakHyphen/>
        <w:t>LSTM</w:t>
      </w:r>
      <w:r w:rsidRPr="00B04CC1">
        <w:noBreakHyphen/>
        <w:t>SHAP (najlepší ekonomicky)</w:t>
      </w:r>
    </w:p>
    <w:p w14:paraId="52D70EA2" w14:textId="77777777" w:rsidR="00B04CC1" w:rsidRDefault="00B04CC1" w:rsidP="00B04CC1">
      <w:r w:rsidRPr="00B04CC1">
        <w:rPr>
          <w:b/>
          <w:bCs/>
        </w:rPr>
        <w:t>Najlepší F1:</w:t>
      </w:r>
      <w:r w:rsidRPr="00B04CC1">
        <w:t xml:space="preserve"> XGBoost</w:t>
      </w:r>
      <w:r w:rsidRPr="00B04CC1">
        <w:noBreakHyphen/>
        <w:t xml:space="preserve">LSTM </w:t>
      </w:r>
    </w:p>
    <w:p w14:paraId="187BBB24" w14:textId="27ECB645" w:rsidR="00B04CC1" w:rsidRDefault="00B04CC1" w:rsidP="00B04CC1">
      <w:pPr>
        <w:rPr>
          <w:b/>
          <w:bCs/>
        </w:rPr>
      </w:pPr>
      <w:r w:rsidRPr="00B04CC1">
        <w:t xml:space="preserve">Dáta: </w:t>
      </w:r>
      <w:r w:rsidRPr="00B04CC1">
        <w:rPr>
          <w:b/>
          <w:bCs/>
        </w:rPr>
        <w:t>10 globálnych indexov (2010–2025)</w:t>
      </w:r>
      <w:r>
        <w:rPr>
          <w:b/>
          <w:bCs/>
        </w:rPr>
        <w:t>.</w:t>
      </w:r>
    </w:p>
    <w:p w14:paraId="51DF83AF" w14:textId="55A6C330" w:rsidR="00B04CC1" w:rsidRDefault="00B04CC1" w:rsidP="00B04CC1">
      <w:pPr>
        <w:ind w:firstLine="708"/>
      </w:pPr>
      <w:r w:rsidRPr="00B04CC1">
        <w:t>Hybridné modely sú najlepšie na detekciu obratov trendu.</w:t>
      </w:r>
      <w:r>
        <w:t xml:space="preserve"> </w:t>
      </w:r>
      <w:r w:rsidRPr="00B04CC1">
        <w:t>Interpretovateľnosť (SHAP) je kľúčová pre reálne použitie v investovaní.</w:t>
      </w:r>
    </w:p>
    <w:p w14:paraId="1E5636D8" w14:textId="77777777" w:rsidR="00B04CC1" w:rsidRDefault="00B04CC1" w:rsidP="00B04CC1"/>
    <w:p w14:paraId="6C48ACB9" w14:textId="0443AC7A" w:rsidR="00B04CC1" w:rsidRPr="00B04CC1" w:rsidRDefault="00B04CC1" w:rsidP="00B04CC1">
      <w:pPr>
        <w:jc w:val="center"/>
        <w:rPr>
          <w:b/>
          <w:bCs/>
          <w:sz w:val="24"/>
          <w:szCs w:val="24"/>
        </w:rPr>
      </w:pPr>
      <w:r w:rsidRPr="00B04CC1">
        <w:rPr>
          <w:b/>
          <w:bCs/>
          <w:sz w:val="24"/>
          <w:szCs w:val="24"/>
        </w:rPr>
        <w:t>Bayesian neural networks for stock price forecasting before and during COVID-19 pandemic</w:t>
      </w:r>
    </w:p>
    <w:p w14:paraId="48F7CBD3" w14:textId="680E672E" w:rsidR="00B04CC1" w:rsidRPr="00B04CC1" w:rsidRDefault="00B04CC1" w:rsidP="00B04CC1">
      <w:r>
        <w:tab/>
      </w:r>
      <w:r w:rsidRPr="00B04CC1">
        <w:t>Autori skúmajú, či Bayesovské neurónové siete (BNN) dokážu spoľahlivo predpovedať ceny akcií pred pandémiou COVID</w:t>
      </w:r>
      <w:r w:rsidRPr="00B04CC1">
        <w:noBreakHyphen/>
        <w:t>19 a počas nej, a či dokážu poskytnúť robustnú kvantifikáciu neistoty pri vysokej volatilite.</w:t>
      </w:r>
    </w:p>
    <w:p w14:paraId="3137D5D9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Pred COVID</w:t>
      </w:r>
      <w:r w:rsidRPr="00B04CC1">
        <w:rPr>
          <w:b/>
          <w:bCs/>
        </w:rPr>
        <w:noBreakHyphen/>
        <w:t>19 BNN prekonáva klasické neurónové siete</w:t>
      </w:r>
    </w:p>
    <w:p w14:paraId="4613B3AF" w14:textId="77777777" w:rsidR="00B04CC1" w:rsidRPr="00B04CC1" w:rsidRDefault="00B04CC1">
      <w:pPr>
        <w:numPr>
          <w:ilvl w:val="0"/>
          <w:numId w:val="25"/>
        </w:numPr>
      </w:pPr>
      <w:r w:rsidRPr="00B04CC1">
        <w:t>BNN má najnižšie RMSE pri väčšine predikčných horizontov.</w:t>
      </w:r>
    </w:p>
    <w:p w14:paraId="50601F28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Počas COVID</w:t>
      </w:r>
      <w:r w:rsidRPr="00B04CC1">
        <w:rPr>
          <w:b/>
          <w:bCs/>
        </w:rPr>
        <w:noBreakHyphen/>
        <w:t>19 je predikcia výrazne náročnejšia</w:t>
      </w:r>
    </w:p>
    <w:p w14:paraId="12983034" w14:textId="77777777" w:rsidR="00B04CC1" w:rsidRPr="00B04CC1" w:rsidRDefault="00B04CC1">
      <w:pPr>
        <w:numPr>
          <w:ilvl w:val="0"/>
          <w:numId w:val="26"/>
        </w:numPr>
      </w:pPr>
      <w:r w:rsidRPr="00B04CC1">
        <w:t>Volatilita prudko rastie → predikcie sú menej presné.</w:t>
      </w:r>
    </w:p>
    <w:p w14:paraId="737DF93A" w14:textId="77777777" w:rsidR="00B04CC1" w:rsidRPr="00B04CC1" w:rsidRDefault="00B04CC1">
      <w:pPr>
        <w:numPr>
          <w:ilvl w:val="0"/>
          <w:numId w:val="26"/>
        </w:numPr>
      </w:pPr>
      <w:r w:rsidRPr="00B04CC1">
        <w:t>BNN však stále poskytuje rozumné predikcie a navyše spoľahlivú kvantifikáciu neistoty.</w:t>
      </w:r>
    </w:p>
    <w:p w14:paraId="1EA6CF8F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COVID</w:t>
      </w:r>
      <w:r w:rsidRPr="00B04CC1">
        <w:rPr>
          <w:b/>
          <w:bCs/>
        </w:rPr>
        <w:noBreakHyphen/>
        <w:t>19 dramaticky zvýšil volatilitu všetkých akcií</w:t>
      </w:r>
    </w:p>
    <w:p w14:paraId="11E0E999" w14:textId="56BDA029" w:rsidR="00B04CC1" w:rsidRDefault="00B04CC1">
      <w:pPr>
        <w:numPr>
          <w:ilvl w:val="0"/>
          <w:numId w:val="27"/>
        </w:numPr>
      </w:pPr>
      <w:r w:rsidRPr="00B04CC1">
        <w:t>Grafy ukazujú prudké nárasty mesačnej volatility v marci–apríli 2020.</w:t>
      </w:r>
    </w:p>
    <w:p w14:paraId="37D95B69" w14:textId="1356B1EF" w:rsidR="00B04CC1" w:rsidRDefault="00B04CC1" w:rsidP="00B04CC1">
      <w:r>
        <w:t xml:space="preserve">Dáta: </w:t>
      </w:r>
      <w:r w:rsidRPr="00B04CC1">
        <w:t>Štyri akcie zo štyroch krajín: USA (MMM), Čína (600118.SS), Austrália (CBA.AX), Nemecko (DAI.DE).</w:t>
      </w:r>
      <w:r>
        <w:t xml:space="preserve"> </w:t>
      </w:r>
      <w:r w:rsidRPr="00B04CC1">
        <w:t>Obdobie: 2012–2020.</w:t>
      </w:r>
    </w:p>
    <w:p w14:paraId="62FFE2D4" w14:textId="46A12A87" w:rsidR="00B04CC1" w:rsidRPr="00AF2848" w:rsidRDefault="00B04CC1" w:rsidP="00AF2848">
      <w:pPr>
        <w:ind w:firstLine="708"/>
      </w:pPr>
      <w:r w:rsidRPr="00AF2848">
        <w:lastRenderedPageBreak/>
        <w:t>BNN sú vhodné na predikciu akcií, najmä v prostredí vysokej volatility. Neistota je rovnako dôležitá ako samotná predikcia – počas kríz je nevyhnutná. Tréning na dátach z extrémnych období výrazne zlepšuje presnosť.</w:t>
      </w:r>
    </w:p>
    <w:p w14:paraId="6CEBF5B4" w14:textId="77777777" w:rsidR="00B04CC1" w:rsidRDefault="00B04CC1" w:rsidP="00B04CC1"/>
    <w:p w14:paraId="25A8A56D" w14:textId="6748B37D" w:rsidR="00B04CC1" w:rsidRPr="00B04CC1" w:rsidRDefault="00B04CC1" w:rsidP="00B04CC1">
      <w:pPr>
        <w:jc w:val="center"/>
      </w:pPr>
      <w:r w:rsidRPr="00B04CC1">
        <w:rPr>
          <w:b/>
          <w:bCs/>
          <w:sz w:val="24"/>
          <w:szCs w:val="24"/>
        </w:rPr>
        <w:t>Investor attention fluctuation and stock market volatility: Evidence from China</w:t>
      </w:r>
    </w:p>
    <w:p w14:paraId="3D208655" w14:textId="1D662A79" w:rsidR="00B04CC1" w:rsidRPr="00B04CC1" w:rsidRDefault="00B04CC1" w:rsidP="00B04CC1">
      <w:r>
        <w:tab/>
      </w:r>
      <w:r w:rsidRPr="00B04CC1">
        <w:t>Štúdia skúma, ako kolísanie pozornosti investorov (merané Baidu vyhľadávaním) ovplyvňuje realizovanú volatilitu čínskeho akciového trhu (SSE50). Autori používajú HAR model a rozlišujú štyri úrovne pozornosti (small, medium, large, major).</w:t>
      </w:r>
    </w:p>
    <w:p w14:paraId="7BE030C3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Pred COVID</w:t>
      </w:r>
      <w:r w:rsidRPr="00B04CC1">
        <w:rPr>
          <w:b/>
          <w:bCs/>
        </w:rPr>
        <w:noBreakHyphen/>
        <w:t>19: malé negatívne fluktuácie stabilizujú trh</w:t>
      </w:r>
    </w:p>
    <w:p w14:paraId="62BB95A2" w14:textId="77777777" w:rsidR="00B04CC1" w:rsidRPr="00B04CC1" w:rsidRDefault="00B04CC1">
      <w:pPr>
        <w:numPr>
          <w:ilvl w:val="0"/>
          <w:numId w:val="28"/>
        </w:numPr>
      </w:pPr>
      <w:r w:rsidRPr="00B04CC1">
        <w:t>Negatívne malé zmeny pozornosti (&lt;3 %) výrazne znižujú volatilitu.</w:t>
      </w:r>
    </w:p>
    <w:p w14:paraId="3EF16DD3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Počas a po COVID</w:t>
      </w:r>
      <w:r w:rsidRPr="00B04CC1">
        <w:rPr>
          <w:b/>
          <w:bCs/>
        </w:rPr>
        <w:noBreakHyphen/>
        <w:t>19: veľké pozitívne fluktuácie prudko zvyšujú volatilitu</w:t>
      </w:r>
    </w:p>
    <w:p w14:paraId="4F0F0DBF" w14:textId="77777777" w:rsidR="00B04CC1" w:rsidRPr="00B04CC1" w:rsidRDefault="00B04CC1">
      <w:pPr>
        <w:numPr>
          <w:ilvl w:val="0"/>
          <w:numId w:val="29"/>
        </w:numPr>
      </w:pPr>
      <w:r w:rsidRPr="00B04CC1">
        <w:t>Pozitívne zmeny pozornosti &gt;7 % výrazne zvyšujú volatilitu.</w:t>
      </w:r>
    </w:p>
    <w:p w14:paraId="0F8F26EA" w14:textId="77777777" w:rsidR="00B04CC1" w:rsidRPr="00B04CC1" w:rsidRDefault="00B04CC1">
      <w:pPr>
        <w:numPr>
          <w:ilvl w:val="0"/>
          <w:numId w:val="29"/>
        </w:numPr>
      </w:pPr>
      <w:r w:rsidRPr="00B04CC1">
        <w:t>Po pandémii sa trh stáva citlivejším na „hype“ a prudké nárasty záujmu.</w:t>
      </w:r>
    </w:p>
    <w:p w14:paraId="6DC5ECE3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COVID</w:t>
      </w:r>
      <w:r w:rsidRPr="00B04CC1">
        <w:rPr>
          <w:b/>
          <w:bCs/>
        </w:rPr>
        <w:noBreakHyphen/>
        <w:t>19 mení správanie investorov</w:t>
      </w:r>
    </w:p>
    <w:p w14:paraId="5D1DB966" w14:textId="77777777" w:rsidR="00B04CC1" w:rsidRPr="00B04CC1" w:rsidRDefault="00B04CC1">
      <w:pPr>
        <w:numPr>
          <w:ilvl w:val="0"/>
          <w:numId w:val="30"/>
        </w:numPr>
      </w:pPr>
      <w:r w:rsidRPr="00B04CC1">
        <w:t>Pred pandémiou reagovali na malé signály.</w:t>
      </w:r>
    </w:p>
    <w:p w14:paraId="585E5E7C" w14:textId="77777777" w:rsidR="00B04CC1" w:rsidRPr="00B04CC1" w:rsidRDefault="00B04CC1">
      <w:pPr>
        <w:numPr>
          <w:ilvl w:val="0"/>
          <w:numId w:val="30"/>
        </w:numPr>
      </w:pPr>
      <w:r w:rsidRPr="00B04CC1">
        <w:t>Po pandémii ignorujú „šum“ a reagujú len na výrazné udalosti → vyššia citlivosť na veľké šoky.</w:t>
      </w:r>
    </w:p>
    <w:p w14:paraId="5868E6C3" w14:textId="7777777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Model s dekompozíciou (RV+, RV− + AF+, AF−) je najpresnejší</w:t>
      </w:r>
    </w:p>
    <w:p w14:paraId="4B69B7E8" w14:textId="77777777" w:rsidR="00B04CC1" w:rsidRPr="00B04CC1" w:rsidRDefault="00B04CC1">
      <w:pPr>
        <w:numPr>
          <w:ilvl w:val="0"/>
          <w:numId w:val="31"/>
        </w:numPr>
      </w:pPr>
      <w:r w:rsidRPr="00B04CC1">
        <w:t>Pri krátkodobých aj strednodobých predikciách má najnižšie MSE, MAE, QLIKE.</w:t>
      </w:r>
    </w:p>
    <w:p w14:paraId="62474210" w14:textId="51CAE33A" w:rsidR="00B04CC1" w:rsidRPr="00B04CC1" w:rsidRDefault="00B04CC1" w:rsidP="00B04CC1">
      <w:r w:rsidRPr="00B04CC1">
        <w:t>Dáta: SSE50 (5</w:t>
      </w:r>
      <w:r w:rsidRPr="00B04CC1">
        <w:noBreakHyphen/>
        <w:t>minútové intradenné výnosy), Baidu Index (2017–2022).</w:t>
      </w:r>
    </w:p>
    <w:p w14:paraId="71C4B1C7" w14:textId="0CDBECF7" w:rsidR="00B04CC1" w:rsidRPr="00B04CC1" w:rsidRDefault="00B04CC1" w:rsidP="00B04CC1">
      <w:pPr>
        <w:rPr>
          <w:b/>
          <w:bCs/>
        </w:rPr>
      </w:pPr>
      <w:r w:rsidRPr="00B04CC1">
        <w:rPr>
          <w:b/>
          <w:bCs/>
        </w:rPr>
        <w:t>Pandémia spôsobila zásadný posun v správaní investorov – ignorujú malé signály, reagujú na veľké.</w:t>
      </w:r>
    </w:p>
    <w:p w14:paraId="3543CAEC" w14:textId="733FCAB8" w:rsidR="000C25AC" w:rsidRDefault="000C25AC" w:rsidP="000C25AC"/>
    <w:p w14:paraId="77A15F1A" w14:textId="3BFF300B" w:rsidR="00430C65" w:rsidRDefault="00A545B3" w:rsidP="00A545B3">
      <w:pPr>
        <w:jc w:val="center"/>
        <w:rPr>
          <w:b/>
          <w:bCs/>
          <w:sz w:val="24"/>
          <w:szCs w:val="24"/>
        </w:rPr>
      </w:pPr>
      <w:r w:rsidRPr="00A545B3">
        <w:rPr>
          <w:b/>
          <w:bCs/>
          <w:sz w:val="24"/>
          <w:szCs w:val="24"/>
        </w:rPr>
        <w:t>COVID</w:t>
      </w:r>
      <w:r w:rsidRPr="00A545B3">
        <w:rPr>
          <w:b/>
          <w:bCs/>
          <w:sz w:val="24"/>
          <w:szCs w:val="24"/>
        </w:rPr>
        <w:noBreakHyphen/>
        <w:t>19 Impact on Stock Markets: A Multiscale Event Analysis Perspective</w:t>
      </w:r>
    </w:p>
    <w:p w14:paraId="502B0A9D" w14:textId="410F50AC" w:rsidR="00A545B3" w:rsidRPr="00A545B3" w:rsidRDefault="00A545B3" w:rsidP="00A545B3">
      <w:r w:rsidRPr="00A545B3">
        <w:tab/>
        <w:t>Autori skúmajú, ako COVID</w:t>
      </w:r>
      <w:r w:rsidRPr="00A545B3">
        <w:noBreakHyphen/>
        <w:t>19 ovplyvnil akciové trhy v Číne (SSEC), USA (Nasdaq) a Hongkongu (HSI) pomocou multiscale analýzy založenej na EEMD (Ensemble Empirical Mode Decomposition) a následnej analýze volatility spillover cez BEKK</w:t>
      </w:r>
      <w:r w:rsidRPr="00A545B3">
        <w:noBreakHyphen/>
        <w:t>GARCH model.</w:t>
      </w:r>
    </w:p>
    <w:p w14:paraId="53267D70" w14:textId="77777777" w:rsidR="00A545B3" w:rsidRPr="00A545B3" w:rsidRDefault="00A545B3" w:rsidP="00A545B3">
      <w:pPr>
        <w:rPr>
          <w:b/>
          <w:bCs/>
        </w:rPr>
      </w:pPr>
      <w:r w:rsidRPr="00A545B3">
        <w:rPr>
          <w:b/>
          <w:bCs/>
        </w:rPr>
        <w:t>BEKK</w:t>
      </w:r>
      <w:r w:rsidRPr="00A545B3">
        <w:rPr>
          <w:b/>
          <w:bCs/>
        </w:rPr>
        <w:noBreakHyphen/>
        <w:t>GARCH</w:t>
      </w:r>
    </w:p>
    <w:p w14:paraId="06A70DEE" w14:textId="77777777" w:rsidR="00A545B3" w:rsidRPr="00A545B3" w:rsidRDefault="00A545B3">
      <w:pPr>
        <w:numPr>
          <w:ilvl w:val="0"/>
          <w:numId w:val="50"/>
        </w:numPr>
      </w:pPr>
      <w:r w:rsidRPr="00A545B3">
        <w:t xml:space="preserve">Použitý na analýzu </w:t>
      </w:r>
      <w:r w:rsidRPr="00A545B3">
        <w:rPr>
          <w:b/>
          <w:bCs/>
        </w:rPr>
        <w:t>volatility spillover</w:t>
      </w:r>
      <w:r w:rsidRPr="00A545B3">
        <w:t xml:space="preserve"> medzi trhmi.</w:t>
      </w:r>
    </w:p>
    <w:p w14:paraId="51CE0793" w14:textId="77777777" w:rsidR="00A545B3" w:rsidRPr="00A545B3" w:rsidRDefault="00A545B3">
      <w:pPr>
        <w:numPr>
          <w:ilvl w:val="0"/>
          <w:numId w:val="50"/>
        </w:numPr>
      </w:pPr>
      <w:r w:rsidRPr="00A545B3">
        <w:t>Hodnotí, ako sa šoky na jednom trhu prenášajú na ostatné.</w:t>
      </w:r>
    </w:p>
    <w:p w14:paraId="00053A1C" w14:textId="77777777" w:rsidR="00A545B3" w:rsidRPr="00A545B3" w:rsidRDefault="00A545B3" w:rsidP="00A545B3">
      <w:pPr>
        <w:rPr>
          <w:b/>
          <w:bCs/>
        </w:rPr>
      </w:pPr>
      <w:r w:rsidRPr="00A545B3">
        <w:rPr>
          <w:b/>
          <w:bCs/>
        </w:rPr>
        <w:t>COVID</w:t>
      </w:r>
      <w:r w:rsidRPr="00A545B3">
        <w:rPr>
          <w:b/>
          <w:bCs/>
        </w:rPr>
        <w:noBreakHyphen/>
        <w:t>19 spôsobil výrazný pokles na všetkých trhoch</w:t>
      </w:r>
    </w:p>
    <w:p w14:paraId="6392FD31" w14:textId="77777777" w:rsidR="00A545B3" w:rsidRPr="00A545B3" w:rsidRDefault="00A545B3">
      <w:pPr>
        <w:numPr>
          <w:ilvl w:val="0"/>
          <w:numId w:val="51"/>
        </w:numPr>
      </w:pPr>
      <w:r w:rsidRPr="00A545B3">
        <w:t>Najväčší prepad po udalosti (23. január 2020):</w:t>
      </w:r>
    </w:p>
    <w:p w14:paraId="19082369" w14:textId="77777777" w:rsidR="00A545B3" w:rsidRPr="00A545B3" w:rsidRDefault="00A545B3">
      <w:pPr>
        <w:numPr>
          <w:ilvl w:val="1"/>
          <w:numId w:val="51"/>
        </w:numPr>
      </w:pPr>
      <w:r w:rsidRPr="00A545B3">
        <w:t>Nasdaq (IXIC): −27.03 %</w:t>
      </w:r>
    </w:p>
    <w:p w14:paraId="684335FA" w14:textId="77777777" w:rsidR="00A545B3" w:rsidRPr="00A545B3" w:rsidRDefault="00A545B3">
      <w:pPr>
        <w:numPr>
          <w:ilvl w:val="1"/>
          <w:numId w:val="51"/>
        </w:numPr>
      </w:pPr>
      <w:r w:rsidRPr="00A545B3">
        <w:t>Hang Seng (HSI): −22.26 %</w:t>
      </w:r>
    </w:p>
    <w:p w14:paraId="757AB8EB" w14:textId="77777777" w:rsidR="00A545B3" w:rsidRPr="00A545B3" w:rsidRDefault="00A545B3">
      <w:pPr>
        <w:numPr>
          <w:ilvl w:val="1"/>
          <w:numId w:val="51"/>
        </w:numPr>
      </w:pPr>
      <w:r w:rsidRPr="00A545B3">
        <w:t>Shanghai Composite (SSEC): −10.63 %</w:t>
      </w:r>
    </w:p>
    <w:p w14:paraId="00150E4E" w14:textId="77777777" w:rsidR="00A545B3" w:rsidRPr="00A545B3" w:rsidRDefault="00A545B3">
      <w:pPr>
        <w:numPr>
          <w:ilvl w:val="0"/>
          <w:numId w:val="51"/>
        </w:numPr>
      </w:pPr>
      <w:r w:rsidRPr="00A545B3">
        <w:lastRenderedPageBreak/>
        <w:t>Všetky trhy dosiahli dno 23. marca 2020.</w:t>
      </w:r>
    </w:p>
    <w:p w14:paraId="0B8D2027" w14:textId="2247E624" w:rsidR="00A545B3" w:rsidRDefault="00A545B3" w:rsidP="00A545B3">
      <w:r w:rsidRPr="00A545B3">
        <w:rPr>
          <w:b/>
          <w:bCs/>
        </w:rPr>
        <w:t>Mature markets (USA)</w:t>
      </w:r>
      <w:r w:rsidRPr="00A545B3">
        <w:t xml:space="preserve"> absorbujú informácie rýchlejšie a prenášajú volatilitu do ostatných.</w:t>
      </w:r>
    </w:p>
    <w:p w14:paraId="3602E5DB" w14:textId="77777777" w:rsidR="00A545B3" w:rsidRPr="00A545B3" w:rsidRDefault="00A545B3" w:rsidP="00A545B3">
      <w:r w:rsidRPr="00A545B3">
        <w:t>Pandémia spôsobila:</w:t>
      </w:r>
    </w:p>
    <w:p w14:paraId="2838C2D9" w14:textId="77777777" w:rsidR="00A545B3" w:rsidRPr="00A545B3" w:rsidRDefault="00A545B3">
      <w:pPr>
        <w:numPr>
          <w:ilvl w:val="0"/>
          <w:numId w:val="52"/>
        </w:numPr>
      </w:pPr>
      <w:r w:rsidRPr="00A545B3">
        <w:t>prudké krátkodobé výkyvy,</w:t>
      </w:r>
    </w:p>
    <w:p w14:paraId="2497D2D4" w14:textId="77777777" w:rsidR="00A545B3" w:rsidRPr="00A545B3" w:rsidRDefault="00A545B3">
      <w:pPr>
        <w:numPr>
          <w:ilvl w:val="0"/>
          <w:numId w:val="52"/>
        </w:numPr>
      </w:pPr>
      <w:r w:rsidRPr="00A545B3">
        <w:t>výrazné strednodobé poklesy,</w:t>
      </w:r>
    </w:p>
    <w:p w14:paraId="6F7FDA3E" w14:textId="77777777" w:rsidR="00A545B3" w:rsidRPr="00A545B3" w:rsidRDefault="00A545B3">
      <w:pPr>
        <w:numPr>
          <w:ilvl w:val="0"/>
          <w:numId w:val="52"/>
        </w:numPr>
      </w:pPr>
      <w:r w:rsidRPr="00A545B3">
        <w:t>odlišné rýchlosti zotavenia trhov.</w:t>
      </w:r>
    </w:p>
    <w:p w14:paraId="44EAC9C6" w14:textId="77777777" w:rsidR="00A545B3" w:rsidRPr="00A545B3" w:rsidRDefault="00A545B3" w:rsidP="00A545B3"/>
    <w:p w14:paraId="64B5D31F" w14:textId="09D4AE7D" w:rsidR="00430C65" w:rsidRPr="00F353FE" w:rsidRDefault="00430C65" w:rsidP="00430C65">
      <w:pPr>
        <w:jc w:val="center"/>
        <w:rPr>
          <w:b/>
          <w:bCs/>
          <w:sz w:val="24"/>
          <w:szCs w:val="24"/>
        </w:rPr>
      </w:pPr>
      <w:r w:rsidRPr="00F353FE">
        <w:rPr>
          <w:b/>
          <w:bCs/>
          <w:sz w:val="24"/>
          <w:szCs w:val="24"/>
        </w:rPr>
        <w:t>COVID Asymmetric Impact on the Risk Premium of Developed and Emerging Countries’ Stock Markets</w:t>
      </w:r>
    </w:p>
    <w:p w14:paraId="053F9E5C" w14:textId="77777777" w:rsidR="00430C65" w:rsidRPr="00430C65" w:rsidRDefault="00430C65" w:rsidP="00430C65">
      <w:r w:rsidRPr="00430C65">
        <w:tab/>
        <w:t>Autori skúmajú, ako COVID</w:t>
      </w:r>
      <w:r w:rsidRPr="00430C65">
        <w:noBreakHyphen/>
        <w:t>19 ovplyvnil rizikovú prirážku (risk premium) akciových trhov v 9 krajinách (USA, Kanada, Mexiko, Brazília, Argentína, Japonsko, Kórea, Hongkong, Singapur). Používajú dva modely:</w:t>
      </w:r>
    </w:p>
    <w:p w14:paraId="74AAD110" w14:textId="77777777" w:rsidR="00430C65" w:rsidRPr="00430C65" w:rsidRDefault="00430C65">
      <w:pPr>
        <w:numPr>
          <w:ilvl w:val="0"/>
          <w:numId w:val="32"/>
        </w:numPr>
      </w:pPr>
      <w:r w:rsidRPr="00430C65">
        <w:rPr>
          <w:b/>
          <w:bCs/>
        </w:rPr>
        <w:t>GARCH</w:t>
      </w:r>
      <w:r w:rsidRPr="00430C65">
        <w:rPr>
          <w:b/>
          <w:bCs/>
        </w:rPr>
        <w:noBreakHyphen/>
        <w:t>M(1,1)</w:t>
      </w:r>
      <w:r w:rsidRPr="00430C65">
        <w:t xml:space="preserve"> → meria risk premium pred a počas COVID</w:t>
      </w:r>
      <w:r w:rsidRPr="00430C65">
        <w:noBreakHyphen/>
        <w:t>19</w:t>
      </w:r>
    </w:p>
    <w:p w14:paraId="58234201" w14:textId="77777777" w:rsidR="00430C65" w:rsidRPr="00430C65" w:rsidRDefault="00430C65">
      <w:pPr>
        <w:numPr>
          <w:ilvl w:val="0"/>
          <w:numId w:val="32"/>
        </w:numPr>
      </w:pPr>
      <w:r w:rsidRPr="00430C65">
        <w:rPr>
          <w:b/>
          <w:bCs/>
        </w:rPr>
        <w:t>Markov</w:t>
      </w:r>
      <w:r w:rsidRPr="00430C65">
        <w:rPr>
          <w:b/>
          <w:bCs/>
        </w:rPr>
        <w:noBreakHyphen/>
        <w:t>Switching GARCH (MS</w:t>
      </w:r>
      <w:r w:rsidRPr="00430C65">
        <w:rPr>
          <w:b/>
          <w:bCs/>
        </w:rPr>
        <w:noBreakHyphen/>
        <w:t>GARCH)</w:t>
      </w:r>
      <w:r w:rsidRPr="00430C65">
        <w:t xml:space="preserve"> → identifikuje režimy nízkej a vysokej volatility</w:t>
      </w:r>
    </w:p>
    <w:p w14:paraId="5BA80F7B" w14:textId="77777777" w:rsidR="00430C65" w:rsidRPr="00430C65" w:rsidRDefault="00430C65" w:rsidP="00430C65">
      <w:r w:rsidRPr="00430C65">
        <w:t>Obdobia:</w:t>
      </w:r>
    </w:p>
    <w:p w14:paraId="5966C9D5" w14:textId="77777777" w:rsidR="00430C65" w:rsidRPr="00430C65" w:rsidRDefault="00430C65">
      <w:pPr>
        <w:numPr>
          <w:ilvl w:val="0"/>
          <w:numId w:val="33"/>
        </w:numPr>
      </w:pPr>
      <w:r w:rsidRPr="00430C65">
        <w:rPr>
          <w:b/>
          <w:bCs/>
        </w:rPr>
        <w:t>Pre</w:t>
      </w:r>
      <w:r w:rsidRPr="00430C65">
        <w:rPr>
          <w:b/>
          <w:bCs/>
        </w:rPr>
        <w:noBreakHyphen/>
        <w:t>COVID:</w:t>
      </w:r>
      <w:r w:rsidRPr="00430C65">
        <w:t xml:space="preserve"> 2015–2019</w:t>
      </w:r>
    </w:p>
    <w:p w14:paraId="5759DCA6" w14:textId="77777777" w:rsidR="00430C65" w:rsidRPr="00430C65" w:rsidRDefault="00430C65">
      <w:pPr>
        <w:numPr>
          <w:ilvl w:val="0"/>
          <w:numId w:val="33"/>
        </w:numPr>
      </w:pPr>
      <w:r w:rsidRPr="00430C65">
        <w:rPr>
          <w:b/>
          <w:bCs/>
        </w:rPr>
        <w:t>COVID:</w:t>
      </w:r>
      <w:r w:rsidRPr="00430C65">
        <w:t xml:space="preserve"> 2020–2021</w:t>
      </w:r>
    </w:p>
    <w:p w14:paraId="0BE4BF32" w14:textId="29631721" w:rsidR="00430C65" w:rsidRPr="00430C65" w:rsidRDefault="00430C65" w:rsidP="00430C65">
      <w:pPr>
        <w:ind w:firstLine="708"/>
      </w:pPr>
      <w:r w:rsidRPr="00430C65">
        <w:t>COVID</w:t>
      </w:r>
      <w:r w:rsidRPr="00430C65">
        <w:noBreakHyphen/>
        <w:t>19 výrazne zvýšil volatilitu na všetkých trhoch. Vyspelé krajiny dokázali zvýšiť risk premium, čím kompenzovali riziko. Emerging markets často stratili risk premium – volatilita rástla, ale výnosy nie. MS</w:t>
      </w:r>
      <w:r w:rsidRPr="00430C65">
        <w:noBreakHyphen/>
        <w:t>GARCH ukazuje, že pandémia spôsobila časté prepínanie režimov v menej stabilných ekonomikách.</w:t>
      </w:r>
    </w:p>
    <w:p w14:paraId="746E2A9B" w14:textId="77777777" w:rsidR="00430C65" w:rsidRDefault="00430C65" w:rsidP="00430C65"/>
    <w:p w14:paraId="693386A1" w14:textId="33E6C96E" w:rsidR="00430C65" w:rsidRPr="00F353FE" w:rsidRDefault="00430C65" w:rsidP="00430C65">
      <w:pPr>
        <w:jc w:val="center"/>
        <w:rPr>
          <w:b/>
          <w:bCs/>
          <w:sz w:val="24"/>
          <w:szCs w:val="24"/>
        </w:rPr>
      </w:pPr>
      <w:r w:rsidRPr="00F353FE">
        <w:rPr>
          <w:b/>
          <w:bCs/>
          <w:sz w:val="24"/>
          <w:szCs w:val="24"/>
        </w:rPr>
        <w:t>Analysis of the performance of predictive models during Covid-19 and the Russian Ukrainian war</w:t>
      </w:r>
    </w:p>
    <w:p w14:paraId="5CB8979F" w14:textId="77777777" w:rsidR="00430C65" w:rsidRPr="00430C65" w:rsidRDefault="00430C65" w:rsidP="00430C65">
      <w:r w:rsidRPr="00430C65">
        <w:tab/>
        <w:t xml:space="preserve">Autori porovnávajú tri predikčné modely – </w:t>
      </w:r>
      <w:r w:rsidRPr="00430C65">
        <w:rPr>
          <w:i/>
          <w:iCs/>
        </w:rPr>
        <w:t>decision tree</w:t>
      </w:r>
      <w:r w:rsidRPr="00430C65">
        <w:t xml:space="preserve">, </w:t>
      </w:r>
      <w:r w:rsidRPr="00430C65">
        <w:rPr>
          <w:i/>
          <w:iCs/>
        </w:rPr>
        <w:t>linear regression</w:t>
      </w:r>
      <w:r w:rsidRPr="00430C65">
        <w:t xml:space="preserve"> a </w:t>
      </w:r>
      <w:r w:rsidRPr="00430C65">
        <w:rPr>
          <w:i/>
          <w:iCs/>
        </w:rPr>
        <w:t>LSTM</w:t>
      </w:r>
      <w:r w:rsidRPr="00430C65">
        <w:t xml:space="preserve"> – pri predpovedaní cien akciových indexov v období vysokej volatility spôsobenej Covid</w:t>
      </w:r>
      <w:r w:rsidRPr="00430C65">
        <w:noBreakHyphen/>
        <w:t xml:space="preserve">19 a vojnou na Ukrajine. </w:t>
      </w:r>
    </w:p>
    <w:p w14:paraId="30D2B71F" w14:textId="587A0903" w:rsidR="00430C65" w:rsidRPr="00430C65" w:rsidRDefault="00430C65" w:rsidP="00430C65">
      <w:pPr>
        <w:rPr>
          <w:b/>
          <w:bCs/>
        </w:rPr>
      </w:pPr>
      <w:r w:rsidRPr="00430C65">
        <w:rPr>
          <w:b/>
          <w:bCs/>
        </w:rPr>
        <w:t>Cieľ: zistiť, ktorý model je najpresnejší pri krátkodobých, strednodobých a dlhodobých predikciách.</w:t>
      </w:r>
    </w:p>
    <w:p w14:paraId="6F204431" w14:textId="77777777" w:rsidR="00430C65" w:rsidRPr="00430C65" w:rsidRDefault="00430C65" w:rsidP="00430C65">
      <w:pPr>
        <w:rPr>
          <w:b/>
          <w:bCs/>
        </w:rPr>
      </w:pPr>
      <w:r w:rsidRPr="00430C65">
        <w:rPr>
          <w:b/>
          <w:bCs/>
        </w:rPr>
        <w:t>Decision tree bol najpresnejší zo všetkých modelov</w:t>
      </w:r>
    </w:p>
    <w:p w14:paraId="43E4F4C7" w14:textId="77777777" w:rsidR="00430C65" w:rsidRPr="00430C65" w:rsidRDefault="00430C65">
      <w:pPr>
        <w:numPr>
          <w:ilvl w:val="0"/>
          <w:numId w:val="34"/>
        </w:numPr>
      </w:pPr>
      <w:r w:rsidRPr="00430C65">
        <w:t xml:space="preserve">Najnižšie MAPE hodnoty pri </w:t>
      </w:r>
      <w:r w:rsidRPr="00430C65">
        <w:rPr>
          <w:b/>
          <w:bCs/>
        </w:rPr>
        <w:t>všetkých časových horizontoch</w:t>
      </w:r>
      <w:r w:rsidRPr="00430C65">
        <w:t xml:space="preserve"> (5, 21, 125 dní).</w:t>
      </w:r>
    </w:p>
    <w:p w14:paraId="418F3C34" w14:textId="77777777" w:rsidR="00430C65" w:rsidRPr="00430C65" w:rsidRDefault="00430C65">
      <w:pPr>
        <w:numPr>
          <w:ilvl w:val="0"/>
          <w:numId w:val="34"/>
        </w:numPr>
      </w:pPr>
      <w:r w:rsidRPr="00430C65">
        <w:t xml:space="preserve">Najlepšie výsledky pri indexe </w:t>
      </w:r>
      <w:r w:rsidRPr="00430C65">
        <w:rPr>
          <w:b/>
          <w:bCs/>
        </w:rPr>
        <w:t>CAC40</w:t>
      </w:r>
      <w:r w:rsidRPr="00430C65">
        <w:t>.</w:t>
      </w:r>
    </w:p>
    <w:p w14:paraId="2F055C6D" w14:textId="77777777" w:rsidR="00430C65" w:rsidRPr="00430C65" w:rsidRDefault="00430C65">
      <w:pPr>
        <w:numPr>
          <w:ilvl w:val="0"/>
          <w:numId w:val="34"/>
        </w:numPr>
      </w:pPr>
      <w:r w:rsidRPr="00430C65">
        <w:t xml:space="preserve">Predikcie boli </w:t>
      </w:r>
      <w:r w:rsidRPr="00430C65">
        <w:rPr>
          <w:b/>
          <w:bCs/>
        </w:rPr>
        <w:t>presnejšie počas vojny</w:t>
      </w:r>
      <w:r w:rsidRPr="00430C65">
        <w:t xml:space="preserve"> než počas Covid</w:t>
      </w:r>
      <w:r w:rsidRPr="00430C65">
        <w:noBreakHyphen/>
        <w:t>19.</w:t>
      </w:r>
    </w:p>
    <w:p w14:paraId="68B50191" w14:textId="293463A3" w:rsidR="00BF2C0D" w:rsidRDefault="00430C65" w:rsidP="00BF2C0D">
      <w:r w:rsidRPr="00430C65">
        <w:t>Linear regression bola najslabší model</w:t>
      </w:r>
      <w:r>
        <w:t>.</w:t>
      </w:r>
    </w:p>
    <w:p w14:paraId="76CDC020" w14:textId="77777777" w:rsidR="00430C65" w:rsidRPr="00430C65" w:rsidRDefault="00430C65" w:rsidP="00430C65">
      <w:pPr>
        <w:rPr>
          <w:b/>
          <w:bCs/>
        </w:rPr>
      </w:pPr>
      <w:r w:rsidRPr="00430C65">
        <w:rPr>
          <w:b/>
          <w:bCs/>
        </w:rPr>
        <w:t>LSTM nebol najlepší – prekvapivý výsledok</w:t>
      </w:r>
    </w:p>
    <w:p w14:paraId="4E507D71" w14:textId="77777777" w:rsidR="00430C65" w:rsidRPr="00430C65" w:rsidRDefault="00430C65">
      <w:pPr>
        <w:numPr>
          <w:ilvl w:val="0"/>
          <w:numId w:val="35"/>
        </w:numPr>
      </w:pPr>
      <w:r w:rsidRPr="00430C65">
        <w:lastRenderedPageBreak/>
        <w:t xml:space="preserve">Napriek tomu, že literatúra často uvádza LSTM ako najpresnejší model, </w:t>
      </w:r>
      <w:r w:rsidRPr="00430C65">
        <w:rPr>
          <w:b/>
          <w:bCs/>
        </w:rPr>
        <w:t>v tejto štúdii ho prekonal decision tree</w:t>
      </w:r>
      <w:r w:rsidRPr="00430C65">
        <w:t>.</w:t>
      </w:r>
    </w:p>
    <w:p w14:paraId="00E92E99" w14:textId="77777777" w:rsidR="00430C65" w:rsidRPr="00430C65" w:rsidRDefault="00430C65">
      <w:pPr>
        <w:numPr>
          <w:ilvl w:val="0"/>
          <w:numId w:val="35"/>
        </w:numPr>
      </w:pPr>
      <w:r w:rsidRPr="00430C65">
        <w:t>LSTM mal:</w:t>
      </w:r>
    </w:p>
    <w:p w14:paraId="0CAD4F32" w14:textId="77777777" w:rsidR="00430C65" w:rsidRPr="00430C65" w:rsidRDefault="00430C65">
      <w:pPr>
        <w:numPr>
          <w:ilvl w:val="1"/>
          <w:numId w:val="35"/>
        </w:numPr>
      </w:pPr>
      <w:r w:rsidRPr="00430C65">
        <w:t xml:space="preserve">lepšie výsledky pri </w:t>
      </w:r>
      <w:r w:rsidRPr="00430C65">
        <w:rPr>
          <w:b/>
          <w:bCs/>
        </w:rPr>
        <w:t>dlhších predikciách</w:t>
      </w:r>
      <w:r w:rsidRPr="00430C65">
        <w:t xml:space="preserve"> (125 dní),</w:t>
      </w:r>
    </w:p>
    <w:p w14:paraId="6FC3D9B3" w14:textId="77777777" w:rsidR="00430C65" w:rsidRPr="00430C65" w:rsidRDefault="00430C65">
      <w:pPr>
        <w:numPr>
          <w:ilvl w:val="1"/>
          <w:numId w:val="35"/>
        </w:numPr>
      </w:pPr>
      <w:r w:rsidRPr="00430C65">
        <w:t xml:space="preserve">presnejšie predikcie počas </w:t>
      </w:r>
      <w:r w:rsidRPr="00430C65">
        <w:rPr>
          <w:b/>
          <w:bCs/>
        </w:rPr>
        <w:t>vojny</w:t>
      </w:r>
      <w:r w:rsidRPr="00430C65">
        <w:t xml:space="preserve"> než počas Covid</w:t>
      </w:r>
      <w:r w:rsidRPr="00430C65">
        <w:noBreakHyphen/>
        <w:t>19,</w:t>
      </w:r>
    </w:p>
    <w:p w14:paraId="598C118C" w14:textId="77777777" w:rsidR="00430C65" w:rsidRPr="00430C65" w:rsidRDefault="00430C65" w:rsidP="00430C65">
      <w:pPr>
        <w:rPr>
          <w:b/>
          <w:bCs/>
        </w:rPr>
      </w:pPr>
      <w:r w:rsidRPr="00430C65">
        <w:rPr>
          <w:b/>
          <w:bCs/>
        </w:rPr>
        <w:t>MAPE je najvhodnejší ukazovateľ na porovnanie modelov</w:t>
      </w:r>
    </w:p>
    <w:p w14:paraId="6D89FBB4" w14:textId="77777777" w:rsidR="00430C65" w:rsidRPr="00430C65" w:rsidRDefault="00430C65">
      <w:pPr>
        <w:numPr>
          <w:ilvl w:val="0"/>
          <w:numId w:val="36"/>
        </w:numPr>
      </w:pPr>
      <w:r w:rsidRPr="00430C65">
        <w:t>RMSE a MAE sú citlivé na veľkosť indexu, MAPE umožňuje porovnanie naprieč trhmi.</w:t>
      </w:r>
    </w:p>
    <w:p w14:paraId="6342A93A" w14:textId="2DEDF846" w:rsidR="00430C65" w:rsidRPr="00430C65" w:rsidRDefault="00430C65" w:rsidP="00430C65">
      <w:r w:rsidRPr="00430C65">
        <w:t>Indexy: CAC40, DAX, DJIA, FTSE100, Hang Seng, NASDAQ, Nikkei225, S&amp;P500.</w:t>
      </w:r>
      <w:r>
        <w:t xml:space="preserve"> </w:t>
      </w:r>
      <w:r w:rsidRPr="00430C65">
        <w:t xml:space="preserve">Obdobie: </w:t>
      </w:r>
      <w:r w:rsidRPr="00430C65">
        <w:rPr>
          <w:b/>
          <w:bCs/>
        </w:rPr>
        <w:t>2010–2022</w:t>
      </w:r>
      <w:r w:rsidRPr="00430C65">
        <w:t>.</w:t>
      </w:r>
    </w:p>
    <w:p w14:paraId="74E5136B" w14:textId="40104510" w:rsidR="00430C65" w:rsidRPr="00430C65" w:rsidRDefault="00430C65" w:rsidP="00430C65">
      <w:pPr>
        <w:ind w:firstLine="708"/>
      </w:pPr>
      <w:r w:rsidRPr="00430C65">
        <w:t>LSTM neprekonal jednoduché modely pri krátkych predikciách. Linear regression je nevhodná na predikciu cien akcií v období vysokej volatility. Predikcie boli presnejšie počas vojny než počas Covid</w:t>
      </w:r>
      <w:r w:rsidRPr="00430C65">
        <w:noBreakHyphen/>
        <w:t>19. AI modely dokážu fungovať aj v extrémne volatilných podmienkach, ale ich výkon sa líši podľa typu šoku.</w:t>
      </w:r>
    </w:p>
    <w:p w14:paraId="2920ABF5" w14:textId="77777777" w:rsidR="00430C65" w:rsidRDefault="00430C65" w:rsidP="00BF2C0D"/>
    <w:p w14:paraId="7C599881" w14:textId="16F280CF" w:rsidR="00430C65" w:rsidRDefault="00430C65" w:rsidP="00430C65">
      <w:pPr>
        <w:jc w:val="center"/>
        <w:rPr>
          <w:b/>
          <w:bCs/>
          <w:sz w:val="24"/>
          <w:szCs w:val="24"/>
        </w:rPr>
      </w:pPr>
      <w:r w:rsidRPr="00430C65">
        <w:rPr>
          <w:b/>
          <w:bCs/>
          <w:sz w:val="24"/>
          <w:szCs w:val="24"/>
        </w:rPr>
        <w:t>A Conceptual Model of Investment-Risk Prediction in the Stock Market Using Extreme Value Theory with Machine Learning: A Semisystematic Literature Review</w:t>
      </w:r>
    </w:p>
    <w:p w14:paraId="388C9CA3" w14:textId="2816574C" w:rsidR="00430C65" w:rsidRDefault="00430C65" w:rsidP="00430C65">
      <w:r>
        <w:tab/>
      </w:r>
      <w:r w:rsidRPr="00430C65">
        <w:t>Článok je semisystematická literárna rešerš, ktorá skúma, ako sa používa Extreme Value Theory (EVT) spolu s VaR/CVaR a machine learningom na odhadovanie investičného rizika na akciových trhoch – najmä počas extrémnych udalostí, ako je COVID</w:t>
      </w:r>
      <w:r w:rsidRPr="00430C65">
        <w:noBreakHyphen/>
        <w:t>19.</w:t>
      </w:r>
    </w:p>
    <w:p w14:paraId="47835583" w14:textId="77777777" w:rsidR="00430C65" w:rsidRPr="00430C65" w:rsidRDefault="00430C65" w:rsidP="00430C65">
      <w:pPr>
        <w:rPr>
          <w:b/>
          <w:bCs/>
        </w:rPr>
      </w:pPr>
      <w:r w:rsidRPr="00430C65">
        <w:rPr>
          <w:b/>
          <w:bCs/>
        </w:rPr>
        <w:t>Pandémia COVID</w:t>
      </w:r>
      <w:r w:rsidRPr="00430C65">
        <w:rPr>
          <w:b/>
          <w:bCs/>
        </w:rPr>
        <w:noBreakHyphen/>
        <w:t>19 spôsobila extrémne výkyvy na trhoch</w:t>
      </w:r>
    </w:p>
    <w:p w14:paraId="1474558A" w14:textId="77777777" w:rsidR="00430C65" w:rsidRPr="00430C65" w:rsidRDefault="00430C65">
      <w:pPr>
        <w:numPr>
          <w:ilvl w:val="0"/>
          <w:numId w:val="37"/>
        </w:numPr>
      </w:pPr>
      <w:r w:rsidRPr="00430C65">
        <w:t>Indexy NASDAQ, DAX a IDX mali prudké pády po 11. 3. 2020.</w:t>
      </w:r>
    </w:p>
    <w:p w14:paraId="4E024588" w14:textId="77777777" w:rsidR="00430C65" w:rsidRPr="00430C65" w:rsidRDefault="00430C65">
      <w:pPr>
        <w:numPr>
          <w:ilvl w:val="0"/>
          <w:numId w:val="37"/>
        </w:numPr>
      </w:pPr>
      <w:r w:rsidRPr="00430C65">
        <w:t>Volatilita bola extrémne vysoká → investori čelili veľkej neistote.</w:t>
      </w:r>
    </w:p>
    <w:p w14:paraId="6285B059" w14:textId="77777777" w:rsidR="00430C65" w:rsidRPr="00430C65" w:rsidRDefault="00430C65" w:rsidP="00430C65">
      <w:pPr>
        <w:rPr>
          <w:b/>
          <w:bCs/>
        </w:rPr>
      </w:pPr>
      <w:r w:rsidRPr="00430C65">
        <w:rPr>
          <w:b/>
          <w:bCs/>
        </w:rPr>
        <w:t>Klasické VaR modely sú nedostatočné</w:t>
      </w:r>
    </w:p>
    <w:p w14:paraId="3DCB3E11" w14:textId="77777777" w:rsidR="00430C65" w:rsidRPr="00430C65" w:rsidRDefault="00430C65">
      <w:pPr>
        <w:numPr>
          <w:ilvl w:val="0"/>
          <w:numId w:val="38"/>
        </w:numPr>
      </w:pPr>
      <w:r w:rsidRPr="00430C65">
        <w:t>VaR podceňuje tail risk, ignoruje korelácie a likviditu.</w:t>
      </w:r>
    </w:p>
    <w:p w14:paraId="18110EC3" w14:textId="77777777" w:rsidR="00430C65" w:rsidRPr="00430C65" w:rsidRDefault="00430C65" w:rsidP="00430C65">
      <w:pPr>
        <w:rPr>
          <w:b/>
          <w:bCs/>
        </w:rPr>
      </w:pPr>
      <w:r w:rsidRPr="00430C65">
        <w:rPr>
          <w:b/>
          <w:bCs/>
        </w:rPr>
        <w:t>Hybridné modely (GARCH + EVT) sú najpresnejšie</w:t>
      </w:r>
    </w:p>
    <w:p w14:paraId="5D18E6BC" w14:textId="312D82D4" w:rsidR="00430C65" w:rsidRPr="00430C65" w:rsidRDefault="00430C65" w:rsidP="00430C65">
      <w:r w:rsidRPr="00430C65">
        <w:t>Literatúra ukazuje, že kombinácie ako:</w:t>
      </w:r>
      <w:r>
        <w:t xml:space="preserve"> </w:t>
      </w:r>
      <w:r w:rsidRPr="00430C65">
        <w:t>GARCH–EVT</w:t>
      </w:r>
      <w:r>
        <w:t xml:space="preserve">, </w:t>
      </w:r>
      <w:r w:rsidRPr="00430C65">
        <w:t>EGARCH–EVT</w:t>
      </w:r>
      <w:r>
        <w:t xml:space="preserve">, </w:t>
      </w:r>
      <w:r w:rsidRPr="00430C65">
        <w:t>APARCH–GPD</w:t>
      </w:r>
      <w:r>
        <w:t xml:space="preserve">, </w:t>
      </w:r>
      <w:r w:rsidRPr="00430C65">
        <w:t>SEEP–GPD majú lepšiu presnosť než samostatné modely.</w:t>
      </w:r>
    </w:p>
    <w:p w14:paraId="630529D9" w14:textId="77777777" w:rsidR="00430C65" w:rsidRPr="00430C65" w:rsidRDefault="00430C65" w:rsidP="00430C65">
      <w:pPr>
        <w:rPr>
          <w:b/>
          <w:bCs/>
        </w:rPr>
      </w:pPr>
      <w:r w:rsidRPr="00430C65">
        <w:rPr>
          <w:b/>
          <w:bCs/>
        </w:rPr>
        <w:t>Machine learning zvyšuje presnosť predikcií</w:t>
      </w:r>
    </w:p>
    <w:p w14:paraId="5823568D" w14:textId="77777777" w:rsidR="00430C65" w:rsidRPr="00430C65" w:rsidRDefault="00430C65">
      <w:pPr>
        <w:numPr>
          <w:ilvl w:val="0"/>
          <w:numId w:val="39"/>
        </w:numPr>
      </w:pPr>
      <w:r w:rsidRPr="00430C65">
        <w:t>ANN, CNN, RNN, Random Forest, SVR sa používajú na predikciu cien alebo extrémnych výnosov.</w:t>
      </w:r>
    </w:p>
    <w:p w14:paraId="5EBC4E91" w14:textId="77777777" w:rsidR="00430C65" w:rsidRDefault="00430C65">
      <w:pPr>
        <w:numPr>
          <w:ilvl w:val="0"/>
          <w:numId w:val="39"/>
        </w:numPr>
      </w:pPr>
      <w:r w:rsidRPr="00430C65">
        <w:t xml:space="preserve">ML dokáže </w:t>
      </w:r>
      <w:r w:rsidRPr="00776B24">
        <w:t>zachytiť nelineárne vzťahy</w:t>
      </w:r>
      <w:r w:rsidRPr="00430C65">
        <w:t>, ktoré klasické modely ignorujú.</w:t>
      </w:r>
    </w:p>
    <w:p w14:paraId="2C631D4E" w14:textId="77777777" w:rsidR="00776B24" w:rsidRDefault="00776B24" w:rsidP="00776B24"/>
    <w:p w14:paraId="33190927" w14:textId="424D5E95" w:rsidR="00776B24" w:rsidRDefault="00F353FE" w:rsidP="00F353FE">
      <w:pPr>
        <w:jc w:val="center"/>
        <w:rPr>
          <w:b/>
          <w:bCs/>
          <w:sz w:val="24"/>
          <w:szCs w:val="24"/>
        </w:rPr>
      </w:pPr>
      <w:r w:rsidRPr="00F353FE">
        <w:rPr>
          <w:b/>
          <w:bCs/>
          <w:sz w:val="24"/>
          <w:szCs w:val="24"/>
        </w:rPr>
        <w:t>An interpretable system for predicting the impact of COVID-19 government interventions onstock market sectors</w:t>
      </w:r>
    </w:p>
    <w:p w14:paraId="650DA8B9" w14:textId="3979C6C0" w:rsidR="00F353FE" w:rsidRDefault="00F353FE" w:rsidP="00F353FE">
      <w:r w:rsidRPr="00F353FE">
        <w:lastRenderedPageBreak/>
        <w:tab/>
        <w:t>Autori skúmajú, ako COVID</w:t>
      </w:r>
      <w:r w:rsidRPr="00F353FE">
        <w:noBreakHyphen/>
        <w:t>19 vládne zásahy (5 typov indexov z Oxford trackeru) ovplyvňujú výnosy a volatilitu v 10 sektoroch čínskeho akciového trhu. Používajú 8 predikčných modelov a SHAP na interpretáciu.</w:t>
      </w:r>
    </w:p>
    <w:p w14:paraId="776EDD13" w14:textId="3620601B" w:rsidR="00F353FE" w:rsidRDefault="00F353FE" w:rsidP="00F353FE">
      <w:pPr>
        <w:rPr>
          <w:b/>
          <w:bCs/>
        </w:rPr>
      </w:pPr>
      <w:r w:rsidRPr="00F353FE">
        <w:t xml:space="preserve">Denné dáta z Číny: </w:t>
      </w:r>
      <w:r w:rsidRPr="00F353FE">
        <w:rPr>
          <w:b/>
          <w:bCs/>
        </w:rPr>
        <w:t>1.1.2020 – 23.9.2021</w:t>
      </w:r>
    </w:p>
    <w:p w14:paraId="59C13C42" w14:textId="77777777" w:rsidR="00F353FE" w:rsidRPr="00F353FE" w:rsidRDefault="00F353FE" w:rsidP="00F353FE">
      <w:r w:rsidRPr="00F353FE">
        <w:t>Použité modely:</w:t>
      </w:r>
    </w:p>
    <w:p w14:paraId="65318E02" w14:textId="77777777" w:rsidR="00F353FE" w:rsidRPr="00F353FE" w:rsidRDefault="00F353FE">
      <w:pPr>
        <w:numPr>
          <w:ilvl w:val="0"/>
          <w:numId w:val="53"/>
        </w:numPr>
      </w:pPr>
      <w:r w:rsidRPr="00F353FE">
        <w:rPr>
          <w:b/>
          <w:bCs/>
        </w:rPr>
        <w:t>LR</w:t>
      </w:r>
      <w:r w:rsidRPr="00F353FE">
        <w:t xml:space="preserve">, </w:t>
      </w:r>
      <w:r w:rsidRPr="00F353FE">
        <w:rPr>
          <w:b/>
          <w:bCs/>
        </w:rPr>
        <w:t>ANN</w:t>
      </w:r>
      <w:r w:rsidRPr="00F353FE">
        <w:t xml:space="preserve">, </w:t>
      </w:r>
      <w:r w:rsidRPr="00F353FE">
        <w:rPr>
          <w:b/>
          <w:bCs/>
        </w:rPr>
        <w:t>SVR</w:t>
      </w:r>
      <w:r w:rsidRPr="00F353FE">
        <w:t xml:space="preserve">, </w:t>
      </w:r>
      <w:r w:rsidRPr="00F353FE">
        <w:rPr>
          <w:b/>
          <w:bCs/>
        </w:rPr>
        <w:t>RF</w:t>
      </w:r>
      <w:r w:rsidRPr="00F353FE">
        <w:t xml:space="preserve">, </w:t>
      </w:r>
      <w:r w:rsidRPr="00F353FE">
        <w:rPr>
          <w:b/>
          <w:bCs/>
        </w:rPr>
        <w:t>XGBoost</w:t>
      </w:r>
      <w:r w:rsidRPr="00F353FE">
        <w:t xml:space="preserve">, </w:t>
      </w:r>
      <w:r w:rsidRPr="00F353FE">
        <w:rPr>
          <w:b/>
          <w:bCs/>
        </w:rPr>
        <w:t>CatBoost</w:t>
      </w:r>
      <w:r w:rsidRPr="00F353FE">
        <w:t xml:space="preserve">, </w:t>
      </w:r>
      <w:r w:rsidRPr="00F353FE">
        <w:rPr>
          <w:b/>
          <w:bCs/>
        </w:rPr>
        <w:t>LightGBM</w:t>
      </w:r>
      <w:r w:rsidRPr="00F353FE">
        <w:t xml:space="preserve">, </w:t>
      </w:r>
      <w:r w:rsidRPr="00F353FE">
        <w:rPr>
          <w:b/>
          <w:bCs/>
        </w:rPr>
        <w:t>LSTM</w:t>
      </w:r>
    </w:p>
    <w:p w14:paraId="09B7024B" w14:textId="77777777" w:rsidR="00F353FE" w:rsidRPr="00F353FE" w:rsidRDefault="00F353FE" w:rsidP="00F353FE">
      <w:pPr>
        <w:rPr>
          <w:b/>
          <w:bCs/>
        </w:rPr>
      </w:pPr>
      <w:r w:rsidRPr="00F353FE">
        <w:rPr>
          <w:b/>
          <w:bCs/>
        </w:rPr>
        <w:t>Najlepší model: LightGBM</w:t>
      </w:r>
    </w:p>
    <w:p w14:paraId="4CDFB489" w14:textId="77777777" w:rsidR="00F353FE" w:rsidRPr="00F353FE" w:rsidRDefault="00F353FE">
      <w:pPr>
        <w:numPr>
          <w:ilvl w:val="0"/>
          <w:numId w:val="54"/>
        </w:numPr>
      </w:pPr>
      <w:r w:rsidRPr="00F353FE">
        <w:t>Najnižšie chyby (MSE, MAE, MdE, MAxE) pri predikcii výnosov aj volatility.</w:t>
      </w:r>
    </w:p>
    <w:p w14:paraId="3D1DDBF0" w14:textId="77777777" w:rsidR="00F353FE" w:rsidRPr="00F353FE" w:rsidRDefault="00F353FE">
      <w:pPr>
        <w:numPr>
          <w:ilvl w:val="0"/>
          <w:numId w:val="54"/>
        </w:numPr>
      </w:pPr>
      <w:r w:rsidRPr="00F353FE">
        <w:t>LSTM je slabý kvôli malému datasetu.</w:t>
      </w:r>
    </w:p>
    <w:p w14:paraId="35EDD6AB" w14:textId="77777777" w:rsidR="00F353FE" w:rsidRPr="00F353FE" w:rsidRDefault="00F353FE" w:rsidP="00F353FE">
      <w:pPr>
        <w:rPr>
          <w:b/>
          <w:bCs/>
        </w:rPr>
      </w:pPr>
      <w:r w:rsidRPr="00F353FE">
        <w:rPr>
          <w:b/>
          <w:bCs/>
        </w:rPr>
        <w:t>Globálne zistenia</w:t>
      </w:r>
    </w:p>
    <w:p w14:paraId="005128D4" w14:textId="77777777" w:rsidR="00F353FE" w:rsidRPr="00F353FE" w:rsidRDefault="00F353FE">
      <w:pPr>
        <w:numPr>
          <w:ilvl w:val="0"/>
          <w:numId w:val="55"/>
        </w:numPr>
      </w:pPr>
      <w:r w:rsidRPr="00F353FE">
        <w:rPr>
          <w:b/>
          <w:bCs/>
        </w:rPr>
        <w:t>Government Response Index</w:t>
      </w:r>
      <w:r w:rsidRPr="00F353FE">
        <w:t xml:space="preserve"> → najdôležitejší pri predikcii výnosov.</w:t>
      </w:r>
    </w:p>
    <w:p w14:paraId="4498042A" w14:textId="77777777" w:rsidR="00F353FE" w:rsidRPr="00F353FE" w:rsidRDefault="00F353FE">
      <w:pPr>
        <w:numPr>
          <w:ilvl w:val="0"/>
          <w:numId w:val="55"/>
        </w:numPr>
      </w:pPr>
      <w:r w:rsidRPr="00F353FE">
        <w:rPr>
          <w:b/>
          <w:bCs/>
        </w:rPr>
        <w:t>Economic Support Index</w:t>
      </w:r>
      <w:r w:rsidRPr="00F353FE">
        <w:t xml:space="preserve"> → slabý pri výnosoch, silný pri volatilite IT a TEL.</w:t>
      </w:r>
    </w:p>
    <w:p w14:paraId="16E48D1D" w14:textId="77777777" w:rsidR="00F353FE" w:rsidRPr="00F353FE" w:rsidRDefault="00F353FE">
      <w:pPr>
        <w:numPr>
          <w:ilvl w:val="0"/>
          <w:numId w:val="55"/>
        </w:numPr>
      </w:pPr>
      <w:r w:rsidRPr="00F353FE">
        <w:rPr>
          <w:b/>
          <w:bCs/>
        </w:rPr>
        <w:t>Stringency Index</w:t>
      </w:r>
      <w:r w:rsidRPr="00F353FE">
        <w:t xml:space="preserve"> → relatívne rovnomerný vplyv naprieč sektormi.</w:t>
      </w:r>
    </w:p>
    <w:p w14:paraId="590648D5" w14:textId="77777777" w:rsidR="00F353FE" w:rsidRPr="00F353FE" w:rsidRDefault="00F353FE">
      <w:pPr>
        <w:numPr>
          <w:ilvl w:val="0"/>
          <w:numId w:val="55"/>
        </w:numPr>
      </w:pPr>
      <w:r w:rsidRPr="00F353FE">
        <w:rPr>
          <w:b/>
          <w:bCs/>
        </w:rPr>
        <w:t>Risk of Openness</w:t>
      </w:r>
      <w:r w:rsidRPr="00F353FE">
        <w:t xml:space="preserve"> → silný vplyv na Materials (výnosy) a IT/TEL (volatilita).</w:t>
      </w:r>
    </w:p>
    <w:p w14:paraId="148F10C4" w14:textId="56D40EB1" w:rsidR="00F353FE" w:rsidRPr="00F353FE" w:rsidRDefault="00F353FE" w:rsidP="00F353FE">
      <w:pPr>
        <w:ind w:firstLine="360"/>
      </w:pPr>
      <w:r w:rsidRPr="00F353FE">
        <w:t>Vládne zásahy výrazne ovplyvňujú výnosy aj volatilitu sektorov. LightGBM + SHAP poskytujú presný a interpretovateľný predikčný rámec. Intervencie sú užitočné prediktory, ale ich účinky sú sektorovo špecifické.</w:t>
      </w:r>
    </w:p>
    <w:p w14:paraId="434F0E7E" w14:textId="77777777" w:rsidR="00F353FE" w:rsidRPr="00F353FE" w:rsidRDefault="00F353FE" w:rsidP="00F353FE"/>
    <w:p w14:paraId="044C8A8C" w14:textId="6F2E79D3" w:rsidR="00776B24" w:rsidRDefault="00776B24" w:rsidP="00776B24">
      <w:pPr>
        <w:jc w:val="center"/>
        <w:rPr>
          <w:b/>
          <w:bCs/>
          <w:sz w:val="24"/>
          <w:szCs w:val="24"/>
        </w:rPr>
      </w:pPr>
      <w:r w:rsidRPr="00776B24">
        <w:rPr>
          <w:b/>
          <w:bCs/>
          <w:sz w:val="24"/>
          <w:szCs w:val="24"/>
        </w:rPr>
        <w:t>Effect of public sentiment on stock market movement prediction during the COVID</w:t>
      </w:r>
      <w:r w:rsidRPr="00776B24">
        <w:rPr>
          <w:b/>
          <w:bCs/>
          <w:sz w:val="24"/>
          <w:szCs w:val="24"/>
        </w:rPr>
        <w:noBreakHyphen/>
        <w:t>19 outbreak</w:t>
      </w:r>
    </w:p>
    <w:p w14:paraId="330FBE73" w14:textId="1A3A1B09" w:rsidR="00F353FE" w:rsidRPr="00F353FE" w:rsidRDefault="00F353FE" w:rsidP="00F353FE">
      <w:r>
        <w:tab/>
      </w:r>
      <w:r w:rsidRPr="00F353FE">
        <w:t xml:space="preserve">Autori skúmajú, ako </w:t>
      </w:r>
      <w:r w:rsidRPr="00F353FE">
        <w:rPr>
          <w:b/>
          <w:bCs/>
        </w:rPr>
        <w:t>COVID</w:t>
      </w:r>
      <w:r w:rsidRPr="00F353FE">
        <w:rPr>
          <w:b/>
          <w:bCs/>
        </w:rPr>
        <w:noBreakHyphen/>
        <w:t>19 vládne zásahy</w:t>
      </w:r>
      <w:r w:rsidRPr="00F353FE">
        <w:t xml:space="preserve"> (5 typov indexov z Oxford trackeru) ovplyvňujú </w:t>
      </w:r>
      <w:r w:rsidRPr="00F353FE">
        <w:rPr>
          <w:b/>
          <w:bCs/>
        </w:rPr>
        <w:t>výnosy a volatilitu</w:t>
      </w:r>
      <w:r w:rsidRPr="00F353FE">
        <w:t xml:space="preserve"> v </w:t>
      </w:r>
      <w:r w:rsidRPr="00F353FE">
        <w:rPr>
          <w:b/>
          <w:bCs/>
        </w:rPr>
        <w:t>10 sektoroch čínskeho akciového trhu</w:t>
      </w:r>
      <w:r w:rsidRPr="00F353FE">
        <w:t xml:space="preserve">. Používajú </w:t>
      </w:r>
      <w:r w:rsidRPr="00F353FE">
        <w:rPr>
          <w:b/>
          <w:bCs/>
        </w:rPr>
        <w:t>8 predikčných modelov</w:t>
      </w:r>
      <w:r w:rsidRPr="00F353FE">
        <w:t xml:space="preserve"> a </w:t>
      </w:r>
      <w:r w:rsidRPr="00F353FE">
        <w:rPr>
          <w:b/>
          <w:bCs/>
        </w:rPr>
        <w:t>SHAP</w:t>
      </w:r>
      <w:r w:rsidRPr="00F353FE">
        <w:t xml:space="preserve"> na interpretáciu. Autori skúmajú, ako </w:t>
      </w:r>
      <w:r w:rsidRPr="00F353FE">
        <w:rPr>
          <w:b/>
          <w:bCs/>
        </w:rPr>
        <w:t>COVID</w:t>
      </w:r>
      <w:r w:rsidRPr="00F353FE">
        <w:rPr>
          <w:b/>
          <w:bCs/>
        </w:rPr>
        <w:noBreakHyphen/>
        <w:t>19 vládne zásahy</w:t>
      </w:r>
      <w:r w:rsidRPr="00F353FE">
        <w:t xml:space="preserve"> (5 typov indexov z Oxford trackeru) ovplyvňujú </w:t>
      </w:r>
      <w:r w:rsidRPr="00F353FE">
        <w:rPr>
          <w:b/>
          <w:bCs/>
        </w:rPr>
        <w:t>výnosy a volatilitu</w:t>
      </w:r>
      <w:r w:rsidRPr="00F353FE">
        <w:t xml:space="preserve"> v </w:t>
      </w:r>
      <w:r w:rsidRPr="00F353FE">
        <w:rPr>
          <w:b/>
          <w:bCs/>
        </w:rPr>
        <w:t>10 sektoroch čínskeho akciového trhu</w:t>
      </w:r>
      <w:r w:rsidRPr="00F353FE">
        <w:t xml:space="preserve">. Používajú </w:t>
      </w:r>
      <w:r w:rsidRPr="00F353FE">
        <w:rPr>
          <w:b/>
          <w:bCs/>
        </w:rPr>
        <w:t>8 predikčných modelov</w:t>
      </w:r>
      <w:r w:rsidRPr="00F353FE">
        <w:t xml:space="preserve"> a </w:t>
      </w:r>
      <w:r w:rsidRPr="00F353FE">
        <w:rPr>
          <w:b/>
          <w:bCs/>
        </w:rPr>
        <w:t>SHAP</w:t>
      </w:r>
      <w:r w:rsidRPr="00F353FE">
        <w:t xml:space="preserve"> na interpretáciu.</w:t>
      </w:r>
    </w:p>
    <w:p w14:paraId="38EDA8F4" w14:textId="77777777" w:rsidR="00776B24" w:rsidRPr="00776B24" w:rsidRDefault="00776B24" w:rsidP="00776B24">
      <w:r w:rsidRPr="00776B24">
        <w:tab/>
        <w:t>Autori skúmajú, ako verejný sentiment z online platforiem ovplyvňuje predikciu pohybu akciového trhu počas COVID</w:t>
      </w:r>
      <w:r w:rsidRPr="00776B24">
        <w:noBreakHyphen/>
        <w:t>19. Kombinujú LSTM model so sentimentmi získanými zo 4 zdrojov:</w:t>
      </w:r>
    </w:p>
    <w:p w14:paraId="1077794D" w14:textId="77777777" w:rsidR="00776B24" w:rsidRPr="00776B24" w:rsidRDefault="00776B24">
      <w:pPr>
        <w:numPr>
          <w:ilvl w:val="0"/>
          <w:numId w:val="40"/>
        </w:numPr>
      </w:pPr>
      <w:r w:rsidRPr="00776B24">
        <w:t>titulky článkov (Economic Times)</w:t>
      </w:r>
    </w:p>
    <w:p w14:paraId="52753E96" w14:textId="77777777" w:rsidR="00776B24" w:rsidRPr="00776B24" w:rsidRDefault="00776B24">
      <w:pPr>
        <w:numPr>
          <w:ilvl w:val="0"/>
          <w:numId w:val="40"/>
        </w:numPr>
      </w:pPr>
      <w:r w:rsidRPr="00776B24">
        <w:t>tweety (Twitter)</w:t>
      </w:r>
    </w:p>
    <w:p w14:paraId="76EEE27F" w14:textId="77777777" w:rsidR="00776B24" w:rsidRPr="00776B24" w:rsidRDefault="00776B24">
      <w:pPr>
        <w:numPr>
          <w:ilvl w:val="0"/>
          <w:numId w:val="40"/>
        </w:numPr>
      </w:pPr>
      <w:r w:rsidRPr="00776B24">
        <w:t>finančné správy (Economic Times)</w:t>
      </w:r>
    </w:p>
    <w:p w14:paraId="45741274" w14:textId="77777777" w:rsidR="00776B24" w:rsidRPr="00776B24" w:rsidRDefault="00776B24">
      <w:pPr>
        <w:numPr>
          <w:ilvl w:val="0"/>
          <w:numId w:val="40"/>
        </w:numPr>
      </w:pPr>
      <w:r w:rsidRPr="00776B24">
        <w:t>komentáre na Facebooku</w:t>
      </w:r>
    </w:p>
    <w:p w14:paraId="51ED13DC" w14:textId="051082E9" w:rsidR="00776B24" w:rsidRPr="00776B24" w:rsidRDefault="00776B24" w:rsidP="00776B24">
      <w:pPr>
        <w:rPr>
          <w:b/>
          <w:bCs/>
        </w:rPr>
      </w:pPr>
      <w:r w:rsidRPr="00776B24">
        <w:rPr>
          <w:b/>
          <w:bCs/>
        </w:rPr>
        <w:t>Sentiment výrazne zlepšuje predikciu trhu</w:t>
      </w:r>
      <w:r>
        <w:rPr>
          <w:b/>
          <w:bCs/>
        </w:rPr>
        <w:t xml:space="preserve"> oproti čistým denným dátam trhov.</w:t>
      </w:r>
    </w:p>
    <w:p w14:paraId="74031053" w14:textId="77777777" w:rsidR="00776B24" w:rsidRPr="00776B24" w:rsidRDefault="00776B24" w:rsidP="00776B24">
      <w:pPr>
        <w:rPr>
          <w:b/>
          <w:bCs/>
        </w:rPr>
      </w:pPr>
      <w:r w:rsidRPr="00776B24">
        <w:rPr>
          <w:b/>
          <w:bCs/>
        </w:rPr>
        <w:t>Najlepší sentiment nástroj: Linear SVC</w:t>
      </w:r>
    </w:p>
    <w:p w14:paraId="34962B60" w14:textId="77777777" w:rsidR="00776B24" w:rsidRPr="00776B24" w:rsidRDefault="00776B24">
      <w:pPr>
        <w:numPr>
          <w:ilvl w:val="0"/>
          <w:numId w:val="41"/>
        </w:numPr>
      </w:pPr>
      <w:r w:rsidRPr="00776B24">
        <w:t xml:space="preserve">Zo všetkých 7 nástrojov má </w:t>
      </w:r>
      <w:r w:rsidRPr="00776B24">
        <w:rPr>
          <w:b/>
          <w:bCs/>
        </w:rPr>
        <w:t>Linear SVC</w:t>
      </w:r>
      <w:r w:rsidRPr="00776B24">
        <w:t xml:space="preserve"> najvyššiu presnosť.</w:t>
      </w:r>
    </w:p>
    <w:p w14:paraId="330742DA" w14:textId="6C6270C7" w:rsidR="00776B24" w:rsidRPr="00776B24" w:rsidRDefault="00776B24" w:rsidP="00776B24">
      <w:r w:rsidRPr="00776B24">
        <w:rPr>
          <w:b/>
          <w:bCs/>
        </w:rPr>
        <w:lastRenderedPageBreak/>
        <w:t>Obdobie dát</w:t>
      </w:r>
      <w:r w:rsidRPr="00776B24">
        <w:t>: 1. júl – 31. december 2020</w:t>
      </w:r>
    </w:p>
    <w:p w14:paraId="28684E79" w14:textId="5074D7FC" w:rsidR="00776B24" w:rsidRPr="00776B24" w:rsidRDefault="00776B24" w:rsidP="00776B24">
      <w:r w:rsidRPr="00776B24">
        <w:t>Verejný sentiment má silný vplyv na predikciu akciového trhu. Najlepšie výsledky poskytujú Facebook komentáre a Linear SVC. Kombinácia viacerých sentimentov výrazne zlepšuje presnosť. Počas COVID</w:t>
      </w:r>
      <w:r w:rsidRPr="00776B24">
        <w:noBreakHyphen/>
        <w:t>19 je sentiment obzvlášť dôležitý kvôli zvýšenej online aktivite.</w:t>
      </w:r>
    </w:p>
    <w:p w14:paraId="41567502" w14:textId="77777777" w:rsidR="00776B24" w:rsidRDefault="00776B24" w:rsidP="00776B24">
      <w:pPr>
        <w:rPr>
          <w:b/>
          <w:bCs/>
        </w:rPr>
      </w:pPr>
    </w:p>
    <w:p w14:paraId="0E70763D" w14:textId="6AE121C0" w:rsidR="00FF43EF" w:rsidRDefault="00FF43EF" w:rsidP="00FF43EF">
      <w:pPr>
        <w:jc w:val="center"/>
        <w:rPr>
          <w:b/>
          <w:bCs/>
          <w:sz w:val="24"/>
          <w:szCs w:val="24"/>
        </w:rPr>
      </w:pPr>
      <w:r w:rsidRPr="00FF43EF">
        <w:rPr>
          <w:b/>
          <w:bCs/>
          <w:sz w:val="24"/>
          <w:szCs w:val="24"/>
        </w:rPr>
        <w:t>Chinese stock market volatility and herding behavior asymmetry during the COVID-19 pandemic</w:t>
      </w:r>
    </w:p>
    <w:p w14:paraId="73DEB8C4" w14:textId="33B26C1F" w:rsidR="00FF43EF" w:rsidRPr="00FF43EF" w:rsidRDefault="00FF43EF" w:rsidP="00FF43EF">
      <w:r w:rsidRPr="00FF43EF">
        <w:tab/>
        <w:t>Herding (stádovité správanie investorov) v čínskom akciovom trhu sa počas COVID</w:t>
      </w:r>
      <w:r w:rsidRPr="00FF43EF">
        <w:noBreakHyphen/>
        <w:t>19 výrazne posilnilo. A</w:t>
      </w:r>
      <w:r w:rsidRPr="00FF43EF">
        <w:noBreakHyphen/>
        <w:t>shares (CSI</w:t>
      </w:r>
      <w:r w:rsidRPr="00FF43EF">
        <w:noBreakHyphen/>
        <w:t>300) nevykazovali významné herding správanie pred pandémiou, ale po jej vypuknutí sa objavilo. B</w:t>
      </w:r>
      <w:r w:rsidRPr="00FF43EF">
        <w:noBreakHyphen/>
        <w:t>shares vykazovali herding pred aj počas COVID</w:t>
      </w:r>
      <w:r w:rsidRPr="00FF43EF">
        <w:noBreakHyphen/>
        <w:t>19, pričom počas pandémie bol efekt silnejší. Herding má negatívny vplyv na volatilitu – teda znižuje kolísavosť trhu, no počas COVID</w:t>
      </w:r>
      <w:r w:rsidRPr="00FF43EF">
        <w:noBreakHyphen/>
        <w:t>19 sa tento stabilizačný efekt oslabil.</w:t>
      </w:r>
    </w:p>
    <w:p w14:paraId="75A44A97" w14:textId="77777777" w:rsidR="00FF43EF" w:rsidRPr="00FF43EF" w:rsidRDefault="00FF43EF" w:rsidP="00FF43EF">
      <w:pPr>
        <w:rPr>
          <w:b/>
          <w:bCs/>
        </w:rPr>
      </w:pPr>
      <w:r w:rsidRPr="00FF43EF">
        <w:rPr>
          <w:b/>
          <w:bCs/>
        </w:rPr>
        <w:t>Metodológia</w:t>
      </w:r>
    </w:p>
    <w:p w14:paraId="3ACE8AB3" w14:textId="77777777" w:rsidR="00FF43EF" w:rsidRPr="00FF43EF" w:rsidRDefault="00FF43EF">
      <w:pPr>
        <w:numPr>
          <w:ilvl w:val="0"/>
          <w:numId w:val="56"/>
        </w:numPr>
      </w:pPr>
      <w:r w:rsidRPr="00FF43EF">
        <w:rPr>
          <w:b/>
          <w:bCs/>
        </w:rPr>
        <w:t>CSAD model</w:t>
      </w:r>
      <w:r w:rsidRPr="00FF43EF">
        <w:t xml:space="preserve"> (Cross</w:t>
      </w:r>
      <w:r w:rsidRPr="00FF43EF">
        <w:noBreakHyphen/>
        <w:t>Sectional Absolute Deviation) na detekciu herding správania.</w:t>
      </w:r>
    </w:p>
    <w:p w14:paraId="20ABDB02" w14:textId="77777777" w:rsidR="00FF43EF" w:rsidRPr="00FF43EF" w:rsidRDefault="00FF43EF">
      <w:pPr>
        <w:numPr>
          <w:ilvl w:val="0"/>
          <w:numId w:val="56"/>
        </w:numPr>
      </w:pPr>
      <w:r w:rsidRPr="00FF43EF">
        <w:rPr>
          <w:b/>
          <w:bCs/>
        </w:rPr>
        <w:t>Nelineárna regresia</w:t>
      </w:r>
      <w:r w:rsidRPr="00FF43EF">
        <w:t xml:space="preserve"> na zachytenie odchýlok od CAPM.</w:t>
      </w:r>
    </w:p>
    <w:p w14:paraId="7BFD975E" w14:textId="77777777" w:rsidR="00FF43EF" w:rsidRPr="00FF43EF" w:rsidRDefault="00FF43EF">
      <w:pPr>
        <w:numPr>
          <w:ilvl w:val="0"/>
          <w:numId w:val="56"/>
        </w:numPr>
      </w:pPr>
      <w:r w:rsidRPr="00FF43EF">
        <w:rPr>
          <w:b/>
          <w:bCs/>
        </w:rPr>
        <w:t>Realizovaná volatilita</w:t>
      </w:r>
      <w:r w:rsidRPr="00FF43EF">
        <w:t xml:space="preserve"> z 5</w:t>
      </w:r>
      <w:r w:rsidRPr="00FF43EF">
        <w:noBreakHyphen/>
        <w:t>minútových intervalov.</w:t>
      </w:r>
    </w:p>
    <w:p w14:paraId="4AA4E177" w14:textId="77777777" w:rsidR="00FF43EF" w:rsidRPr="00FF43EF" w:rsidRDefault="00FF43EF">
      <w:pPr>
        <w:numPr>
          <w:ilvl w:val="0"/>
          <w:numId w:val="56"/>
        </w:numPr>
      </w:pPr>
      <w:r w:rsidRPr="00FF43EF">
        <w:rPr>
          <w:b/>
          <w:bCs/>
        </w:rPr>
        <w:t>E</w:t>
      </w:r>
      <w:r w:rsidRPr="00FF43EF">
        <w:rPr>
          <w:b/>
          <w:bCs/>
        </w:rPr>
        <w:noBreakHyphen/>
        <w:t>GARCH a Threshold GARCH</w:t>
      </w:r>
      <w:r w:rsidRPr="00FF43EF">
        <w:t xml:space="preserve"> na testovanie asymetrie v reakcii na pozitívne/negatívne šoky.</w:t>
      </w:r>
    </w:p>
    <w:p w14:paraId="326A76DC" w14:textId="77777777" w:rsidR="00FF43EF" w:rsidRPr="00FF43EF" w:rsidRDefault="00FF43EF">
      <w:pPr>
        <w:numPr>
          <w:ilvl w:val="0"/>
          <w:numId w:val="56"/>
        </w:numPr>
      </w:pPr>
      <w:r w:rsidRPr="00FF43EF">
        <w:t xml:space="preserve">Dáta: </w:t>
      </w:r>
      <w:r w:rsidRPr="00FF43EF">
        <w:rPr>
          <w:b/>
          <w:bCs/>
        </w:rPr>
        <w:t>2.1.2019 – 15.10.2021</w:t>
      </w:r>
      <w:r w:rsidRPr="00FF43EF">
        <w:t>, 276 A</w:t>
      </w:r>
      <w:r w:rsidRPr="00FF43EF">
        <w:noBreakHyphen/>
        <w:t>shares, 91 B</w:t>
      </w:r>
      <w:r w:rsidRPr="00FF43EF">
        <w:noBreakHyphen/>
        <w:t>shares.</w:t>
      </w:r>
    </w:p>
    <w:p w14:paraId="4C397EB3" w14:textId="3CD8D75F" w:rsidR="00FF43EF" w:rsidRPr="00FF43EF" w:rsidRDefault="00FF43EF" w:rsidP="00FF43EF">
      <w:pPr>
        <w:ind w:firstLine="708"/>
      </w:pPr>
      <w:r w:rsidRPr="00FF43EF">
        <w:t>Počas COVID</w:t>
      </w:r>
      <w:r w:rsidRPr="00FF43EF">
        <w:noBreakHyphen/>
        <w:t>19 sa vzťah medzi CSAD a trhovým výnosom stal nelineárnym a klesajúcim, čo je typický prejav herding správania. Herding znížil volatilitu, ale počas pandémie bol trh tak volatilný, že dodatočný stabilizačný efek</w:t>
      </w:r>
      <w:r>
        <w:t>t herding správania bol slabší.</w:t>
      </w:r>
    </w:p>
    <w:p w14:paraId="3A2C980F" w14:textId="77777777" w:rsidR="00FF43EF" w:rsidRPr="00FF43EF" w:rsidRDefault="00FF43EF" w:rsidP="00FF43EF"/>
    <w:p w14:paraId="22FD3845" w14:textId="4B88EFA2" w:rsidR="00776B24" w:rsidRDefault="00776B24" w:rsidP="00776B24">
      <w:pPr>
        <w:jc w:val="center"/>
        <w:rPr>
          <w:b/>
          <w:bCs/>
          <w:sz w:val="24"/>
          <w:szCs w:val="24"/>
        </w:rPr>
      </w:pPr>
      <w:r w:rsidRPr="00776B24">
        <w:rPr>
          <w:b/>
          <w:bCs/>
          <w:sz w:val="24"/>
          <w:szCs w:val="24"/>
        </w:rPr>
        <w:t>Retrospective on the importance of sustainability in investor thinking before and after the COVID-19 syndemic</w:t>
      </w:r>
    </w:p>
    <w:p w14:paraId="4BB27402" w14:textId="08254A72" w:rsidR="00776B24" w:rsidRDefault="00776B24" w:rsidP="00776B24">
      <w:r>
        <w:tab/>
      </w:r>
      <w:r w:rsidRPr="00776B24">
        <w:t>Štúdia porovnáva tradičné akciové indexy (S&amp;P 500, Euro Stoxx 50) s ich sustainability verziami a skúma, ako sa ich volatilita a reakcia na šoky líšila pred COVID</w:t>
      </w:r>
      <w:r w:rsidRPr="00776B24">
        <w:noBreakHyphen/>
        <w:t>19 a počas syndemickej krízy. Použité modely: GJR</w:t>
      </w:r>
      <w:r w:rsidRPr="00776B24">
        <w:noBreakHyphen/>
        <w:t>GARCH a E</w:t>
      </w:r>
      <w:r w:rsidRPr="00776B24">
        <w:noBreakHyphen/>
        <w:t>GARCH.</w:t>
      </w:r>
    </w:p>
    <w:p w14:paraId="2639B4E6" w14:textId="77777777" w:rsidR="00776B24" w:rsidRPr="00776B24" w:rsidRDefault="00776B24" w:rsidP="00776B24">
      <w:pPr>
        <w:rPr>
          <w:b/>
          <w:bCs/>
        </w:rPr>
      </w:pPr>
      <w:r w:rsidRPr="00776B24">
        <w:rPr>
          <w:b/>
          <w:bCs/>
        </w:rPr>
        <w:t>Sustainable indexy boli stabilnejšie</w:t>
      </w:r>
    </w:p>
    <w:p w14:paraId="0EDD95ED" w14:textId="77777777" w:rsidR="00776B24" w:rsidRPr="00776B24" w:rsidRDefault="00776B24">
      <w:pPr>
        <w:numPr>
          <w:ilvl w:val="0"/>
          <w:numId w:val="42"/>
        </w:numPr>
      </w:pPr>
      <w:r w:rsidRPr="00776B24">
        <w:t>Pred aj po COVID</w:t>
      </w:r>
      <w:r w:rsidRPr="00776B24">
        <w:noBreakHyphen/>
        <w:t xml:space="preserve">19 vykazovali </w:t>
      </w:r>
      <w:r w:rsidRPr="00776B24">
        <w:rPr>
          <w:b/>
          <w:bCs/>
        </w:rPr>
        <w:t>nižšiu volatilitu</w:t>
      </w:r>
      <w:r w:rsidRPr="00776B24">
        <w:t xml:space="preserve"> než tradičné indexy.</w:t>
      </w:r>
    </w:p>
    <w:p w14:paraId="2211232B" w14:textId="14B0517F" w:rsidR="00776B24" w:rsidRDefault="00776B24">
      <w:pPr>
        <w:numPr>
          <w:ilvl w:val="0"/>
          <w:numId w:val="42"/>
        </w:numPr>
      </w:pPr>
      <w:r w:rsidRPr="00776B24">
        <w:t xml:space="preserve">Počas krízy mali </w:t>
      </w:r>
      <w:r w:rsidRPr="00776B24">
        <w:rPr>
          <w:b/>
          <w:bCs/>
        </w:rPr>
        <w:t>menej prudké výkyvy</w:t>
      </w:r>
      <w:r w:rsidRPr="00776B24">
        <w:t xml:space="preserve"> a </w:t>
      </w:r>
      <w:r w:rsidRPr="00776B24">
        <w:rPr>
          <w:b/>
          <w:bCs/>
        </w:rPr>
        <w:t>rýchlejšiu stabilizáciu</w:t>
      </w:r>
      <w:r w:rsidRPr="00776B24">
        <w:t>.</w:t>
      </w:r>
    </w:p>
    <w:p w14:paraId="4658737D" w14:textId="018D323E" w:rsidR="00776B24" w:rsidRDefault="00776B24" w:rsidP="00776B24">
      <w:r w:rsidRPr="00776B24">
        <w:t xml:space="preserve">S&amp;P 500 aj Euro Stoxx 50 mali výrazné asymetrie: </w:t>
      </w:r>
      <w:r w:rsidRPr="00776B24">
        <w:rPr>
          <w:b/>
          <w:bCs/>
        </w:rPr>
        <w:t>negatívne výnosy → oveľa vyššia budúca volatilita</w:t>
      </w:r>
      <w:r w:rsidRPr="00776B24">
        <w:t>.</w:t>
      </w:r>
    </w:p>
    <w:p w14:paraId="11E20CA2" w14:textId="77777777" w:rsidR="00776B24" w:rsidRPr="00776B24" w:rsidRDefault="00776B24" w:rsidP="00776B24">
      <w:pPr>
        <w:rPr>
          <w:b/>
          <w:bCs/>
        </w:rPr>
      </w:pPr>
      <w:r w:rsidRPr="00776B24">
        <w:rPr>
          <w:b/>
          <w:bCs/>
        </w:rPr>
        <w:t>COVID</w:t>
      </w:r>
      <w:r w:rsidRPr="00776B24">
        <w:rPr>
          <w:b/>
          <w:bCs/>
        </w:rPr>
        <w:noBreakHyphen/>
        <w:t>19 spôsobil prudký nárast volatility</w:t>
      </w:r>
    </w:p>
    <w:p w14:paraId="280B6DC8" w14:textId="77777777" w:rsidR="00776B24" w:rsidRDefault="00776B24">
      <w:pPr>
        <w:numPr>
          <w:ilvl w:val="0"/>
          <w:numId w:val="43"/>
        </w:numPr>
      </w:pPr>
      <w:r w:rsidRPr="00776B24">
        <w:t>V marci 2020 všetky indexy zaznamenali extrémne skoky.</w:t>
      </w:r>
    </w:p>
    <w:p w14:paraId="021E3C24" w14:textId="0823FDEE" w:rsidR="00776B24" w:rsidRPr="00776B24" w:rsidRDefault="00776B24">
      <w:pPr>
        <w:numPr>
          <w:ilvl w:val="0"/>
          <w:numId w:val="43"/>
        </w:numPr>
      </w:pPr>
      <w:r w:rsidRPr="00776B24">
        <w:t>S&amp;P 500 mal najvyššiu volatilitu zo všetkých indexov.</w:t>
      </w:r>
    </w:p>
    <w:p w14:paraId="03C9AACC" w14:textId="4B29DEB4" w:rsidR="00776B24" w:rsidRDefault="00776B24" w:rsidP="00776B24">
      <w:r w:rsidRPr="00776B24">
        <w:t>Dáta: 2016–2023, denné výnosy.</w:t>
      </w:r>
    </w:p>
    <w:p w14:paraId="51FEBCAF" w14:textId="77777777" w:rsidR="00776B24" w:rsidRDefault="00776B24" w:rsidP="00776B24"/>
    <w:p w14:paraId="7D5B1B3E" w14:textId="259942A9" w:rsidR="00776B24" w:rsidRPr="00776B24" w:rsidRDefault="00776B24" w:rsidP="00776B24">
      <w:pPr>
        <w:jc w:val="center"/>
        <w:rPr>
          <w:b/>
          <w:bCs/>
          <w:sz w:val="24"/>
          <w:szCs w:val="24"/>
        </w:rPr>
      </w:pPr>
      <w:r w:rsidRPr="00776B24">
        <w:rPr>
          <w:b/>
          <w:bCs/>
          <w:sz w:val="24"/>
          <w:szCs w:val="24"/>
        </w:rPr>
        <w:t>The impact of COVID-19 shocks on the volatility of stock markets in technologically advanced countries</w:t>
      </w:r>
    </w:p>
    <w:p w14:paraId="797670A0" w14:textId="184FA77D" w:rsidR="00776B24" w:rsidRDefault="00AB2619" w:rsidP="00776B24">
      <w:r>
        <w:tab/>
      </w:r>
      <w:r w:rsidRPr="00AB2619">
        <w:t>Štúdia skúma, ako COVID</w:t>
      </w:r>
      <w:r w:rsidRPr="00AB2619">
        <w:noBreakHyphen/>
        <w:t>19 šoky ovplyvnili volatilitu akciových trhov v Číne a v technologicky najvyspelejších krajinách (USA, UK, Švajčiarsko, Švédsko, Holandsko). Používa TGARCH model, ktorý zachytáva asymetriu – teda rozdielny vplyv „dobrých“ a „zlých“ správ na volatilitu.</w:t>
      </w:r>
    </w:p>
    <w:p w14:paraId="737A0F42" w14:textId="77777777" w:rsidR="00AB2619" w:rsidRPr="00AB2619" w:rsidRDefault="00AB2619" w:rsidP="00AB2619">
      <w:pPr>
        <w:rPr>
          <w:b/>
          <w:bCs/>
        </w:rPr>
      </w:pPr>
      <w:r w:rsidRPr="00AB2619">
        <w:rPr>
          <w:b/>
          <w:bCs/>
        </w:rPr>
        <w:t>Pokles volatility prichádzajúcej z vyspelých krajín do Číny počas COVID</w:t>
      </w:r>
      <w:r w:rsidRPr="00AB2619">
        <w:rPr>
          <w:b/>
          <w:bCs/>
        </w:rPr>
        <w:noBreakHyphen/>
        <w:t>19</w:t>
      </w:r>
    </w:p>
    <w:p w14:paraId="2CA8463F" w14:textId="77777777" w:rsidR="00AB2619" w:rsidRPr="00AB2619" w:rsidRDefault="00AB2619">
      <w:pPr>
        <w:numPr>
          <w:ilvl w:val="0"/>
          <w:numId w:val="44"/>
        </w:numPr>
      </w:pPr>
      <w:r w:rsidRPr="00AB2619">
        <w:t>Počas pandémie neexistuje významný prenos volatility z vyspelých trhov do Číny.</w:t>
      </w:r>
    </w:p>
    <w:p w14:paraId="4E9BAEAF" w14:textId="77777777" w:rsidR="00AB2619" w:rsidRPr="00AB2619" w:rsidRDefault="00AB2619">
      <w:pPr>
        <w:numPr>
          <w:ilvl w:val="0"/>
          <w:numId w:val="44"/>
        </w:numPr>
      </w:pPr>
      <w:r w:rsidRPr="00AB2619">
        <w:t>Čína bola relatívne izolovaná od externých šokov.</w:t>
      </w:r>
    </w:p>
    <w:p w14:paraId="38E75E24" w14:textId="77777777" w:rsidR="00AB2619" w:rsidRPr="00AB2619" w:rsidRDefault="00AB2619" w:rsidP="00AB2619">
      <w:pPr>
        <w:rPr>
          <w:b/>
          <w:bCs/>
        </w:rPr>
      </w:pPr>
      <w:r w:rsidRPr="00AB2619">
        <w:rPr>
          <w:b/>
          <w:bCs/>
        </w:rPr>
        <w:t>Čína ovplyvňuje volatilitu viacerých vyspelých krajín</w:t>
      </w:r>
    </w:p>
    <w:p w14:paraId="1F135F13" w14:textId="77777777" w:rsidR="00AB2619" w:rsidRPr="00AB2619" w:rsidRDefault="00AB2619">
      <w:pPr>
        <w:numPr>
          <w:ilvl w:val="0"/>
          <w:numId w:val="45"/>
        </w:numPr>
      </w:pPr>
      <w:r w:rsidRPr="00AB2619">
        <w:t>Čínske výnosy významne ovplyvňujú volatilitu:</w:t>
      </w:r>
    </w:p>
    <w:p w14:paraId="45332721" w14:textId="77777777" w:rsidR="00AB2619" w:rsidRPr="00AB2619" w:rsidRDefault="00AB2619">
      <w:pPr>
        <w:numPr>
          <w:ilvl w:val="1"/>
          <w:numId w:val="45"/>
        </w:numPr>
      </w:pPr>
      <w:r w:rsidRPr="00AB2619">
        <w:t>Švédska</w:t>
      </w:r>
    </w:p>
    <w:p w14:paraId="567104EA" w14:textId="77777777" w:rsidR="00AB2619" w:rsidRPr="00AB2619" w:rsidRDefault="00AB2619">
      <w:pPr>
        <w:numPr>
          <w:ilvl w:val="1"/>
          <w:numId w:val="45"/>
        </w:numPr>
      </w:pPr>
      <w:r w:rsidRPr="00AB2619">
        <w:t>Holandska</w:t>
      </w:r>
    </w:p>
    <w:p w14:paraId="48D65C60" w14:textId="77777777" w:rsidR="00AB2619" w:rsidRPr="00AB2619" w:rsidRDefault="00AB2619">
      <w:pPr>
        <w:numPr>
          <w:ilvl w:val="1"/>
          <w:numId w:val="45"/>
        </w:numPr>
      </w:pPr>
      <w:r w:rsidRPr="00AB2619">
        <w:t>UK</w:t>
      </w:r>
    </w:p>
    <w:p w14:paraId="34D0C3C5" w14:textId="77777777" w:rsidR="00AB2619" w:rsidRPr="00AB2619" w:rsidRDefault="00AB2619" w:rsidP="00AB2619">
      <w:pPr>
        <w:rPr>
          <w:b/>
          <w:bCs/>
        </w:rPr>
      </w:pPr>
      <w:r w:rsidRPr="00AB2619">
        <w:rPr>
          <w:b/>
          <w:bCs/>
        </w:rPr>
        <w:t>USA ovplyvňujú Čínu v dlhom období, ale nie počas COVID</w:t>
      </w:r>
      <w:r w:rsidRPr="00AB2619">
        <w:rPr>
          <w:b/>
          <w:bCs/>
        </w:rPr>
        <w:noBreakHyphen/>
        <w:t>19</w:t>
      </w:r>
    </w:p>
    <w:p w14:paraId="47F322D9" w14:textId="77777777" w:rsidR="00AB2619" w:rsidRPr="00AB2619" w:rsidRDefault="00AB2619">
      <w:pPr>
        <w:numPr>
          <w:ilvl w:val="0"/>
          <w:numId w:val="46"/>
        </w:numPr>
      </w:pPr>
      <w:r w:rsidRPr="00AB2619">
        <w:t>V celom období (2015–2020) USA významne vysvetľujú volatilitu Číny.</w:t>
      </w:r>
    </w:p>
    <w:p w14:paraId="558CC735" w14:textId="77777777" w:rsidR="00AB2619" w:rsidRPr="00AB2619" w:rsidRDefault="00AB2619">
      <w:pPr>
        <w:numPr>
          <w:ilvl w:val="0"/>
          <w:numId w:val="46"/>
        </w:numPr>
      </w:pPr>
      <w:r w:rsidRPr="00AB2619">
        <w:t>Počas COVID</w:t>
      </w:r>
      <w:r w:rsidRPr="00AB2619">
        <w:noBreakHyphen/>
        <w:t xml:space="preserve">19 však tento efekt </w:t>
      </w:r>
      <w:r w:rsidRPr="00AB2619">
        <w:rPr>
          <w:b/>
          <w:bCs/>
        </w:rPr>
        <w:t>mizne</w:t>
      </w:r>
      <w:r w:rsidRPr="00AB2619">
        <w:t>.</w:t>
      </w:r>
    </w:p>
    <w:p w14:paraId="67352EDE" w14:textId="77777777" w:rsidR="00AB2619" w:rsidRDefault="00AB2619" w:rsidP="00AB2619">
      <w:r w:rsidRPr="00AB2619">
        <w:rPr>
          <w:b/>
          <w:bCs/>
        </w:rPr>
        <w:t>Dáta:</w:t>
      </w:r>
      <w:r w:rsidRPr="00AB2619">
        <w:t xml:space="preserve"> denné výnosy 2015–2020.</w:t>
      </w:r>
    </w:p>
    <w:p w14:paraId="497CF38D" w14:textId="1FE67578" w:rsidR="00AB2619" w:rsidRDefault="00AB2619" w:rsidP="00AB2619">
      <w:r w:rsidRPr="00AB2619">
        <w:rPr>
          <w:b/>
          <w:bCs/>
        </w:rPr>
        <w:t>Modely:</w:t>
      </w:r>
      <w:r w:rsidRPr="00AB2619">
        <w:t xml:space="preserve"> ARCH, GARCH, EGARCH, TGARCH (vybraný ako najlepší).</w:t>
      </w:r>
    </w:p>
    <w:p w14:paraId="242BB9CF" w14:textId="2D22944E" w:rsidR="00AB2619" w:rsidRPr="00AB2619" w:rsidRDefault="00AB2619" w:rsidP="00AB2619">
      <w:pPr>
        <w:ind w:firstLine="708"/>
      </w:pPr>
      <w:r w:rsidRPr="00AB2619">
        <w:rPr>
          <w:b/>
          <w:bCs/>
        </w:rPr>
        <w:t>COVID</w:t>
      </w:r>
      <w:r w:rsidRPr="00AB2619">
        <w:rPr>
          <w:b/>
          <w:bCs/>
        </w:rPr>
        <w:noBreakHyphen/>
        <w:t>19 výrazne zvýšil volatilitu</w:t>
      </w:r>
      <w:r w:rsidRPr="00AB2619">
        <w:t xml:space="preserve"> na všetkých sledovaných trhoch.</w:t>
      </w:r>
      <w:r>
        <w:t xml:space="preserve"> </w:t>
      </w:r>
      <w:r w:rsidRPr="00AB2619">
        <w:rPr>
          <w:b/>
          <w:bCs/>
        </w:rPr>
        <w:t>Čína je zdrojom volatility</w:t>
      </w:r>
      <w:r w:rsidRPr="00AB2619">
        <w:t xml:space="preserve"> pre viaceré vyspelé krajiny, ale </w:t>
      </w:r>
      <w:r w:rsidRPr="00AB2619">
        <w:rPr>
          <w:b/>
          <w:bCs/>
        </w:rPr>
        <w:t>nie pre USA</w:t>
      </w:r>
      <w:r w:rsidRPr="00AB2619">
        <w:t>.</w:t>
      </w:r>
      <w:r>
        <w:t xml:space="preserve"> </w:t>
      </w:r>
      <w:r w:rsidRPr="00AB2619">
        <w:rPr>
          <w:b/>
          <w:bCs/>
        </w:rPr>
        <w:t>USA ovplyvňujú Čínu</w:t>
      </w:r>
      <w:r w:rsidRPr="00AB2619">
        <w:t xml:space="preserve"> v dlhodobom horizonte, no </w:t>
      </w:r>
      <w:r w:rsidRPr="00AB2619">
        <w:rPr>
          <w:b/>
          <w:bCs/>
        </w:rPr>
        <w:t>nie počas pandémie</w:t>
      </w:r>
      <w:r w:rsidRPr="00AB2619">
        <w:t>.</w:t>
      </w:r>
      <w:r>
        <w:t xml:space="preserve"> </w:t>
      </w:r>
      <w:r w:rsidRPr="00AB2619">
        <w:rPr>
          <w:b/>
          <w:bCs/>
        </w:rPr>
        <w:t>Leverage efekt</w:t>
      </w:r>
      <w:r w:rsidRPr="00AB2619">
        <w:t xml:space="preserve"> potvrdzuje, že negatívne správy majú silnejší dopad než pozitívne.</w:t>
      </w:r>
    </w:p>
    <w:p w14:paraId="761BF6C1" w14:textId="77777777" w:rsidR="00AB2619" w:rsidRPr="00AB2619" w:rsidRDefault="00AB2619" w:rsidP="00AB2619"/>
    <w:p w14:paraId="4BFA51AD" w14:textId="3B3DFDF1" w:rsidR="00AB2619" w:rsidRDefault="00FF43EF" w:rsidP="00FF43EF">
      <w:pPr>
        <w:jc w:val="center"/>
        <w:rPr>
          <w:b/>
          <w:bCs/>
          <w:sz w:val="24"/>
          <w:szCs w:val="24"/>
        </w:rPr>
      </w:pPr>
      <w:r w:rsidRPr="00FF43EF">
        <w:rPr>
          <w:b/>
          <w:bCs/>
          <w:sz w:val="24"/>
          <w:szCs w:val="24"/>
        </w:rPr>
        <w:t>The only certainty is uncertainty: An analysis of the impact of COVID-19 uncertainty on regional stock markets</w:t>
      </w:r>
    </w:p>
    <w:p w14:paraId="7C7E17F0" w14:textId="77777777" w:rsidR="00FF43EF" w:rsidRPr="00242A89" w:rsidRDefault="00FF43EF" w:rsidP="00FF43EF">
      <w:r w:rsidRPr="00242A89">
        <w:tab/>
        <w:t>Tento článok sa zaoberá tým, ako neistota okolo COVID</w:t>
      </w:r>
      <w:r w:rsidRPr="00242A89">
        <w:noBreakHyphen/>
        <w:t>19 ovplyvnila akciové trhy v rôznych regiónoch sveta. Autori sa nesústredia na jednotlivé krajiny, ale na šesť veľkých regionálnych trhov:</w:t>
      </w:r>
    </w:p>
    <w:p w14:paraId="3A87D781" w14:textId="06BAEEB3" w:rsidR="00FF43EF" w:rsidRDefault="00FF43EF">
      <w:pPr>
        <w:numPr>
          <w:ilvl w:val="0"/>
          <w:numId w:val="57"/>
        </w:numPr>
      </w:pPr>
      <w:r w:rsidRPr="00FF43EF">
        <w:t>Ázia</w:t>
      </w:r>
      <w:r>
        <w:t xml:space="preserve">, </w:t>
      </w:r>
      <w:r w:rsidRPr="00FF43EF">
        <w:t>Európa</w:t>
      </w:r>
      <w:r>
        <w:t xml:space="preserve">, </w:t>
      </w:r>
      <w:r w:rsidRPr="00FF43EF">
        <w:t>Afrika</w:t>
      </w:r>
      <w:r>
        <w:t xml:space="preserve">, </w:t>
      </w:r>
      <w:r w:rsidRPr="00FF43EF">
        <w:t>Latinská Amerika</w:t>
      </w:r>
      <w:r>
        <w:t xml:space="preserve">, </w:t>
      </w:r>
      <w:r w:rsidRPr="00FF43EF">
        <w:t>Severná Amerika</w:t>
      </w:r>
      <w:r>
        <w:t xml:space="preserve">, </w:t>
      </w:r>
      <w:r w:rsidRPr="00FF43EF">
        <w:t>Arabské trhy</w:t>
      </w:r>
    </w:p>
    <w:p w14:paraId="4FFD4131" w14:textId="77777777" w:rsidR="00FF43EF" w:rsidRPr="00FF43EF" w:rsidRDefault="00FF43EF" w:rsidP="00FF43EF">
      <w:pPr>
        <w:rPr>
          <w:b/>
          <w:bCs/>
        </w:rPr>
      </w:pPr>
      <w:r w:rsidRPr="00FF43EF">
        <w:rPr>
          <w:b/>
          <w:bCs/>
        </w:rPr>
        <w:t>Neistota z COVID</w:t>
      </w:r>
      <w:r w:rsidRPr="00FF43EF">
        <w:rPr>
          <w:b/>
          <w:bCs/>
        </w:rPr>
        <w:noBreakHyphen/>
        <w:t>19 znižovala výnosy všade</w:t>
      </w:r>
    </w:p>
    <w:p w14:paraId="41BAE1BF" w14:textId="77777777" w:rsidR="00FF43EF" w:rsidRPr="00FF43EF" w:rsidRDefault="00FF43EF" w:rsidP="00FF43EF">
      <w:r w:rsidRPr="00FF43EF">
        <w:t xml:space="preserve">Všetky regióny mali </w:t>
      </w:r>
      <w:r w:rsidRPr="00FF43EF">
        <w:rPr>
          <w:b/>
          <w:bCs/>
        </w:rPr>
        <w:t>negatívne výnosy</w:t>
      </w:r>
      <w:r w:rsidRPr="00FF43EF">
        <w:t>, keď rástla panika (meraná cez Google Trends).</w:t>
      </w:r>
    </w:p>
    <w:p w14:paraId="0996DC16" w14:textId="77777777" w:rsidR="00FF43EF" w:rsidRPr="00FF43EF" w:rsidRDefault="00FF43EF" w:rsidP="00FF43EF">
      <w:pPr>
        <w:rPr>
          <w:b/>
          <w:bCs/>
        </w:rPr>
      </w:pPr>
      <w:r w:rsidRPr="00FF43EF">
        <w:rPr>
          <w:b/>
          <w:bCs/>
        </w:rPr>
        <w:t>Google Trends je dobrý indikátor neistoty</w:t>
      </w:r>
    </w:p>
    <w:p w14:paraId="7B85F62E" w14:textId="77777777" w:rsidR="00FF43EF" w:rsidRPr="00FF43EF" w:rsidRDefault="00FF43EF" w:rsidP="00FF43EF">
      <w:r w:rsidRPr="00FF43EF">
        <w:t>Porovnali ho s:</w:t>
      </w:r>
    </w:p>
    <w:p w14:paraId="5D4239C5" w14:textId="77777777" w:rsidR="00FF43EF" w:rsidRPr="00FF43EF" w:rsidRDefault="00FF43EF">
      <w:pPr>
        <w:numPr>
          <w:ilvl w:val="0"/>
          <w:numId w:val="58"/>
        </w:numPr>
      </w:pPr>
      <w:r w:rsidRPr="00FF43EF">
        <w:rPr>
          <w:b/>
          <w:bCs/>
        </w:rPr>
        <w:t>VIX</w:t>
      </w:r>
      <w:r w:rsidRPr="00FF43EF">
        <w:t xml:space="preserve"> (americký index volatility),</w:t>
      </w:r>
    </w:p>
    <w:p w14:paraId="50AF2C88" w14:textId="77777777" w:rsidR="00FF43EF" w:rsidRPr="00FF43EF" w:rsidRDefault="00FF43EF">
      <w:pPr>
        <w:numPr>
          <w:ilvl w:val="0"/>
          <w:numId w:val="58"/>
        </w:numPr>
      </w:pPr>
      <w:r w:rsidRPr="00FF43EF">
        <w:rPr>
          <w:b/>
          <w:bCs/>
        </w:rPr>
        <w:lastRenderedPageBreak/>
        <w:t>TMU</w:t>
      </w:r>
      <w:r w:rsidRPr="00FF43EF">
        <w:t xml:space="preserve"> (Twitter Market Uncertainty).</w:t>
      </w:r>
    </w:p>
    <w:p w14:paraId="6B4C41CF" w14:textId="77777777" w:rsidR="00FF43EF" w:rsidRPr="00FF43EF" w:rsidRDefault="00FF43EF" w:rsidP="00FF43EF">
      <w:r w:rsidRPr="00FF43EF">
        <w:t>Všetky tri ukazovatele sa správali podobne → Google Trends je spoľahlivý proxy.</w:t>
      </w:r>
    </w:p>
    <w:p w14:paraId="1558D3DD" w14:textId="2ACBD34A" w:rsidR="00FF43EF" w:rsidRPr="00FF43EF" w:rsidRDefault="00FF43EF" w:rsidP="00FF43EF">
      <w:pPr>
        <w:rPr>
          <w:b/>
          <w:bCs/>
        </w:rPr>
      </w:pPr>
      <w:r w:rsidRPr="00FF43EF">
        <w:rPr>
          <w:b/>
          <w:bCs/>
        </w:rPr>
        <w:t>Metodológia</w:t>
      </w:r>
    </w:p>
    <w:p w14:paraId="0BC48CD8" w14:textId="77777777" w:rsidR="00FF43EF" w:rsidRPr="00FF43EF" w:rsidRDefault="00FF43EF" w:rsidP="00FF43EF">
      <w:r w:rsidRPr="00FF43EF">
        <w:t>Použili:</w:t>
      </w:r>
    </w:p>
    <w:p w14:paraId="0E5BFFDB" w14:textId="77777777" w:rsidR="00FF43EF" w:rsidRPr="00FF43EF" w:rsidRDefault="00FF43EF">
      <w:pPr>
        <w:numPr>
          <w:ilvl w:val="0"/>
          <w:numId w:val="59"/>
        </w:numPr>
      </w:pPr>
      <w:r w:rsidRPr="00FF43EF">
        <w:rPr>
          <w:b/>
          <w:bCs/>
        </w:rPr>
        <w:t>ARCH/GARCH</w:t>
      </w:r>
      <w:r w:rsidRPr="00FF43EF">
        <w:t xml:space="preserve"> modely na meranie volatility,</w:t>
      </w:r>
    </w:p>
    <w:p w14:paraId="7A732FAC" w14:textId="77777777" w:rsidR="00FF43EF" w:rsidRPr="00FF43EF" w:rsidRDefault="00FF43EF">
      <w:pPr>
        <w:numPr>
          <w:ilvl w:val="0"/>
          <w:numId w:val="59"/>
        </w:numPr>
      </w:pPr>
      <w:r w:rsidRPr="00FF43EF">
        <w:rPr>
          <w:b/>
          <w:bCs/>
        </w:rPr>
        <w:t>IGARCH</w:t>
      </w:r>
      <w:r w:rsidRPr="00FF43EF">
        <w:t xml:space="preserve"> pri extrémnej perzistencii volatility,</w:t>
      </w:r>
    </w:p>
    <w:p w14:paraId="2FF8E5C0" w14:textId="77777777" w:rsidR="00FF43EF" w:rsidRPr="00FF43EF" w:rsidRDefault="00FF43EF">
      <w:pPr>
        <w:numPr>
          <w:ilvl w:val="0"/>
          <w:numId w:val="59"/>
        </w:numPr>
      </w:pPr>
      <w:r w:rsidRPr="00FF43EF">
        <w:rPr>
          <w:b/>
          <w:bCs/>
        </w:rPr>
        <w:t>faktorovú analýzu</w:t>
      </w:r>
      <w:r w:rsidRPr="00FF43EF">
        <w:t xml:space="preserve"> na identifikáciu spoločných faktorov,</w:t>
      </w:r>
    </w:p>
    <w:p w14:paraId="7A92D1C9" w14:textId="77777777" w:rsidR="00FF43EF" w:rsidRPr="00FF43EF" w:rsidRDefault="00FF43EF">
      <w:pPr>
        <w:numPr>
          <w:ilvl w:val="0"/>
          <w:numId w:val="59"/>
        </w:numPr>
      </w:pPr>
      <w:r w:rsidRPr="00FF43EF">
        <w:rPr>
          <w:b/>
          <w:bCs/>
        </w:rPr>
        <w:t>Google Trends</w:t>
      </w:r>
      <w:r w:rsidRPr="00FF43EF">
        <w:t xml:space="preserve"> na meranie neistoty,</w:t>
      </w:r>
    </w:p>
    <w:p w14:paraId="6D870075" w14:textId="77777777" w:rsidR="00FF43EF" w:rsidRPr="00FF43EF" w:rsidRDefault="00FF43EF">
      <w:pPr>
        <w:numPr>
          <w:ilvl w:val="0"/>
          <w:numId w:val="59"/>
        </w:numPr>
      </w:pPr>
      <w:r w:rsidRPr="00FF43EF">
        <w:rPr>
          <w:b/>
          <w:bCs/>
        </w:rPr>
        <w:t>štrukturálne zlomy</w:t>
      </w:r>
      <w:r w:rsidRPr="00FF43EF">
        <w:t xml:space="preserve"> na sledovanie zmien v reakciách trhov.</w:t>
      </w:r>
    </w:p>
    <w:p w14:paraId="6F296CD5" w14:textId="77777777" w:rsidR="00FF43EF" w:rsidRPr="00FF43EF" w:rsidRDefault="00FF43EF" w:rsidP="00FF43EF">
      <w:r w:rsidRPr="00FF43EF">
        <w:t xml:space="preserve">Dáta: </w:t>
      </w:r>
      <w:r w:rsidRPr="00FF43EF">
        <w:rPr>
          <w:b/>
          <w:bCs/>
        </w:rPr>
        <w:t>1.1.2019 – 19.6.2020</w:t>
      </w:r>
      <w:r w:rsidRPr="00FF43EF">
        <w:t>, denné výnosy MSCI indexov.</w:t>
      </w:r>
    </w:p>
    <w:p w14:paraId="2EFE3C8E" w14:textId="632642E9" w:rsidR="00242A89" w:rsidRPr="00242A89" w:rsidRDefault="00242A89" w:rsidP="00242A89">
      <w:pPr>
        <w:ind w:firstLine="708"/>
      </w:pPr>
      <w:r w:rsidRPr="00242A89">
        <w:t>COVID</w:t>
      </w:r>
      <w:r w:rsidRPr="00242A89">
        <w:noBreakHyphen/>
        <w:t>19 bol globálny šok, ale trhy reagovali rozdielne, niektoré regióny sú odolnejšie (Ázia), iné sú zraniteľnejšie (Latinská Amerika, Afrika), reakcie sa menia v čase, nie sú statické, online správanie ľudí je výborný indikátor trhovej paniky.</w:t>
      </w:r>
    </w:p>
    <w:p w14:paraId="36418C5F" w14:textId="77777777" w:rsidR="00FF43EF" w:rsidRDefault="00FF43EF" w:rsidP="00FF43EF"/>
    <w:p w14:paraId="13AF1D3F" w14:textId="10DE52BB" w:rsidR="00C82E1A" w:rsidRDefault="00C82E1A" w:rsidP="00C82E1A">
      <w:pPr>
        <w:jc w:val="center"/>
        <w:rPr>
          <w:b/>
          <w:bCs/>
          <w:sz w:val="24"/>
          <w:szCs w:val="24"/>
        </w:rPr>
      </w:pPr>
      <w:r w:rsidRPr="00C82E1A">
        <w:rPr>
          <w:b/>
          <w:bCs/>
          <w:sz w:val="24"/>
          <w:szCs w:val="24"/>
        </w:rPr>
        <w:t>How to calm down the markets? The effects of COVID-19 economic policy responses on financial market uncertainty</w:t>
      </w:r>
    </w:p>
    <w:p w14:paraId="22B2798C" w14:textId="77777777" w:rsidR="00C82E1A" w:rsidRPr="00C82E1A" w:rsidRDefault="00C82E1A" w:rsidP="00C82E1A">
      <w:r w:rsidRPr="00C82E1A">
        <w:tab/>
        <w:t>Ako ekonomické politiky vlád a centrálnych bánk počas COVID</w:t>
      </w:r>
      <w:r w:rsidRPr="00C82E1A">
        <w:noBreakHyphen/>
        <w:t>19 ovplyvnili volatilitu akciových trhov vo svete.</w:t>
      </w:r>
    </w:p>
    <w:p w14:paraId="3EDF2912" w14:textId="77777777" w:rsidR="00C82E1A" w:rsidRPr="00C82E1A" w:rsidRDefault="00C82E1A">
      <w:pPr>
        <w:numPr>
          <w:ilvl w:val="0"/>
          <w:numId w:val="60"/>
        </w:numPr>
      </w:pPr>
      <w:r w:rsidRPr="00C82E1A">
        <w:t>23 krajín a 28 akciových indexov,</w:t>
      </w:r>
    </w:p>
    <w:p w14:paraId="123762FF" w14:textId="77777777" w:rsidR="00C82E1A" w:rsidRPr="00C82E1A" w:rsidRDefault="00C82E1A">
      <w:pPr>
        <w:numPr>
          <w:ilvl w:val="0"/>
          <w:numId w:val="60"/>
        </w:numPr>
      </w:pPr>
      <w:r w:rsidRPr="00C82E1A">
        <w:t>obdobie január 2020 – júl 2021,</w:t>
      </w:r>
    </w:p>
    <w:p w14:paraId="71DD80BD" w14:textId="77777777" w:rsidR="00C82E1A" w:rsidRDefault="00C82E1A">
      <w:pPr>
        <w:numPr>
          <w:ilvl w:val="0"/>
          <w:numId w:val="60"/>
        </w:numPr>
      </w:pPr>
      <w:r w:rsidRPr="00C82E1A">
        <w:t>a skúmajú, či oznámené zásahy (fiskálne, monetárne, makroprudenciálne) upokojili trhy, alebo naopak zvýšili neistotu.</w:t>
      </w:r>
    </w:p>
    <w:p w14:paraId="5A7CB31A" w14:textId="77777777" w:rsidR="00C82E1A" w:rsidRPr="00C82E1A" w:rsidRDefault="00C82E1A" w:rsidP="00C82E1A">
      <w:pPr>
        <w:rPr>
          <w:b/>
          <w:bCs/>
        </w:rPr>
      </w:pPr>
      <w:r w:rsidRPr="00C82E1A">
        <w:rPr>
          <w:b/>
          <w:bCs/>
        </w:rPr>
        <w:t>Finančné trhy zažili najvyššiu volatilitu od krízy 2008. Volatilitu zvyšovali:</w:t>
      </w:r>
    </w:p>
    <w:p w14:paraId="7CEFCE13" w14:textId="77777777" w:rsidR="00C82E1A" w:rsidRPr="00C82E1A" w:rsidRDefault="00C82E1A">
      <w:pPr>
        <w:numPr>
          <w:ilvl w:val="0"/>
          <w:numId w:val="61"/>
        </w:numPr>
      </w:pPr>
      <w:r w:rsidRPr="00C82E1A">
        <w:t>počty prípadov a úmrtí,</w:t>
      </w:r>
    </w:p>
    <w:p w14:paraId="16C1A2BF" w14:textId="77777777" w:rsidR="00C82E1A" w:rsidRPr="00C82E1A" w:rsidRDefault="00C82E1A">
      <w:pPr>
        <w:numPr>
          <w:ilvl w:val="0"/>
          <w:numId w:val="61"/>
        </w:numPr>
      </w:pPr>
      <w:r w:rsidRPr="00C82E1A">
        <w:t>lockdowny a obmedzenia,</w:t>
      </w:r>
    </w:p>
    <w:p w14:paraId="1D8D25F9" w14:textId="77777777" w:rsidR="00C82E1A" w:rsidRPr="00C82E1A" w:rsidRDefault="00C82E1A">
      <w:pPr>
        <w:numPr>
          <w:ilvl w:val="0"/>
          <w:numId w:val="61"/>
        </w:numPr>
      </w:pPr>
      <w:r w:rsidRPr="00C82E1A">
        <w:t>strach investorov,</w:t>
      </w:r>
    </w:p>
    <w:p w14:paraId="0E8D8FB5" w14:textId="27379786" w:rsidR="00C82E1A" w:rsidRDefault="00C82E1A">
      <w:pPr>
        <w:numPr>
          <w:ilvl w:val="0"/>
          <w:numId w:val="61"/>
        </w:numPr>
      </w:pPr>
      <w:r w:rsidRPr="00C82E1A">
        <w:t>mediálny tlak.</w:t>
      </w:r>
    </w:p>
    <w:p w14:paraId="60E6784C" w14:textId="778360C0" w:rsidR="00C82E1A" w:rsidRDefault="00C82E1A" w:rsidP="00C82E1A">
      <w:pPr>
        <w:ind w:firstLine="708"/>
      </w:pPr>
      <w:r w:rsidRPr="00C82E1A">
        <w:t>Volatilita vo všetkých krajinách prudko stúpla koncom februára 2020 a vrcholila v marci. Po oznámeniach politík často klesala, čo naznačuje „calming effect“. Tento efekt je najsilnejší v USA. Niektoré krajiny (Belgicko, Holandsko, Nórsko) reagovali opačne – volatilita sa po zásahoch zvýšila.</w:t>
      </w:r>
    </w:p>
    <w:p w14:paraId="755D5C8C" w14:textId="77777777" w:rsidR="004A3BDF" w:rsidRDefault="004A3BDF" w:rsidP="004A3BDF"/>
    <w:p w14:paraId="37F9CD1C" w14:textId="63762168" w:rsidR="004A3BDF" w:rsidRPr="004A3BDF" w:rsidRDefault="004A3BDF" w:rsidP="004A3BDF">
      <w:pPr>
        <w:jc w:val="center"/>
        <w:rPr>
          <w:b/>
          <w:bCs/>
          <w:sz w:val="24"/>
          <w:szCs w:val="24"/>
        </w:rPr>
      </w:pPr>
      <w:r w:rsidRPr="004A3BDF">
        <w:rPr>
          <w:b/>
          <w:bCs/>
          <w:sz w:val="24"/>
          <w:szCs w:val="24"/>
        </w:rPr>
        <w:t>Volatility in International Stock Markets: An Empirical Study during COVID-19</w:t>
      </w:r>
    </w:p>
    <w:p w14:paraId="0EF71BD7" w14:textId="0611CCE5" w:rsidR="004A3BDF" w:rsidRPr="004A3BDF" w:rsidRDefault="004A3BDF" w:rsidP="004A3BDF">
      <w:r>
        <w:tab/>
        <w:t>S</w:t>
      </w:r>
      <w:r w:rsidRPr="004A3BDF">
        <w:t xml:space="preserve">kúma </w:t>
      </w:r>
      <w:r w:rsidRPr="004A3BDF">
        <w:rPr>
          <w:b/>
          <w:bCs/>
        </w:rPr>
        <w:t>vplyv COVID</w:t>
      </w:r>
      <w:r w:rsidRPr="004A3BDF">
        <w:rPr>
          <w:b/>
          <w:bCs/>
        </w:rPr>
        <w:noBreakHyphen/>
        <w:t>19 na výnosy a volatilitu akciových trhov</w:t>
      </w:r>
      <w:r w:rsidRPr="004A3BDF">
        <w:t xml:space="preserve"> v </w:t>
      </w:r>
      <w:r w:rsidRPr="004A3BDF">
        <w:rPr>
          <w:b/>
          <w:bCs/>
        </w:rPr>
        <w:t>top 10 krajinách podľa GDP</w:t>
      </w:r>
      <w:r w:rsidRPr="004A3BDF">
        <w:t xml:space="preserve"> (USA, Čína, Japonsko, Nemecko, India, UK, Francúzsko, Taliansko, Brazília, Kanada).</w:t>
      </w:r>
    </w:p>
    <w:p w14:paraId="38F3CE5D" w14:textId="77777777" w:rsidR="004A3BDF" w:rsidRPr="004A3BDF" w:rsidRDefault="004A3BDF" w:rsidP="004A3BDF">
      <w:r w:rsidRPr="004A3BDF">
        <w:lastRenderedPageBreak/>
        <w:t xml:space="preserve">Autori používajú </w:t>
      </w:r>
      <w:r w:rsidRPr="004A3BDF">
        <w:rPr>
          <w:b/>
          <w:bCs/>
        </w:rPr>
        <w:t>GARCH modely</w:t>
      </w:r>
      <w:r w:rsidRPr="004A3BDF">
        <w:t>, aby zistili, ako sa zmenila volatilita počas pandémie a či COVID</w:t>
      </w:r>
      <w:r w:rsidRPr="004A3BDF">
        <w:noBreakHyphen/>
        <w:t>19 významne ovplyvnil správanie trhov.</w:t>
      </w:r>
    </w:p>
    <w:p w14:paraId="7F0A358B" w14:textId="7C1F8D89" w:rsidR="004A3BDF" w:rsidRPr="004A3BDF" w:rsidRDefault="004A3BDF" w:rsidP="004A3BDF">
      <w:pPr>
        <w:rPr>
          <w:b/>
          <w:bCs/>
        </w:rPr>
      </w:pPr>
      <w:r w:rsidRPr="004A3BDF">
        <w:rPr>
          <w:b/>
          <w:bCs/>
        </w:rPr>
        <w:t>Kľúčové zistenia</w:t>
      </w:r>
    </w:p>
    <w:p w14:paraId="45B50C1C" w14:textId="77777777" w:rsidR="004A3BDF" w:rsidRPr="004A3BDF" w:rsidRDefault="004A3BDF">
      <w:pPr>
        <w:numPr>
          <w:ilvl w:val="0"/>
          <w:numId w:val="62"/>
        </w:numPr>
      </w:pPr>
      <w:r w:rsidRPr="004A3BDF">
        <w:t>Počas COVID</w:t>
      </w:r>
      <w:r w:rsidRPr="004A3BDF">
        <w:noBreakHyphen/>
        <w:t xml:space="preserve">19 mali </w:t>
      </w:r>
      <w:r w:rsidRPr="004A3BDF">
        <w:rPr>
          <w:b/>
          <w:bCs/>
        </w:rPr>
        <w:t>všetky indexy negatívne priemerné denné výnosy</w:t>
      </w:r>
      <w:r w:rsidRPr="004A3BDF">
        <w:t>.</w:t>
      </w:r>
    </w:p>
    <w:p w14:paraId="4D9E5654" w14:textId="77777777" w:rsidR="004A3BDF" w:rsidRPr="004A3BDF" w:rsidRDefault="004A3BDF">
      <w:pPr>
        <w:numPr>
          <w:ilvl w:val="0"/>
          <w:numId w:val="62"/>
        </w:numPr>
      </w:pPr>
      <w:r w:rsidRPr="004A3BDF">
        <w:t xml:space="preserve">Volatilita bola </w:t>
      </w:r>
      <w:r w:rsidRPr="004A3BDF">
        <w:rPr>
          <w:b/>
          <w:bCs/>
        </w:rPr>
        <w:t>výrazne vyššia</w:t>
      </w:r>
      <w:r w:rsidRPr="004A3BDF">
        <w:t xml:space="preserve"> než v normálnych obdobiach.</w:t>
      </w:r>
    </w:p>
    <w:p w14:paraId="4E62AB48" w14:textId="77777777" w:rsidR="004A3BDF" w:rsidRPr="004A3BDF" w:rsidRDefault="004A3BDF">
      <w:pPr>
        <w:numPr>
          <w:ilvl w:val="0"/>
          <w:numId w:val="62"/>
        </w:numPr>
      </w:pPr>
      <w:r w:rsidRPr="004A3BDF">
        <w:t xml:space="preserve">V </w:t>
      </w:r>
      <w:r w:rsidRPr="004A3BDF">
        <w:rPr>
          <w:b/>
          <w:bCs/>
        </w:rPr>
        <w:t>2. kvartáli 2020</w:t>
      </w:r>
      <w:r w:rsidRPr="004A3BDF">
        <w:t xml:space="preserve"> síce trhy vykázali </w:t>
      </w:r>
      <w:r w:rsidRPr="004A3BDF">
        <w:rPr>
          <w:b/>
          <w:bCs/>
        </w:rPr>
        <w:t>bounce</w:t>
      </w:r>
      <w:r w:rsidRPr="004A3BDF">
        <w:rPr>
          <w:b/>
          <w:bCs/>
        </w:rPr>
        <w:noBreakHyphen/>
        <w:t>back</w:t>
      </w:r>
      <w:r w:rsidRPr="004A3BDF">
        <w:t>, ale volatilita ostala vysoká → trh bol stále neistý.</w:t>
      </w:r>
    </w:p>
    <w:p w14:paraId="3A51D009" w14:textId="77777777" w:rsidR="004A3BDF" w:rsidRPr="004A3BDF" w:rsidRDefault="004A3BDF">
      <w:pPr>
        <w:numPr>
          <w:ilvl w:val="0"/>
          <w:numId w:val="62"/>
        </w:numPr>
      </w:pPr>
      <w:r w:rsidRPr="004A3BDF">
        <w:t xml:space="preserve">COVID premenná v GARCH modeli je </w:t>
      </w:r>
      <w:r w:rsidRPr="004A3BDF">
        <w:rPr>
          <w:b/>
          <w:bCs/>
        </w:rPr>
        <w:t>pozitívna a štatisticky významná</w:t>
      </w:r>
      <w:r w:rsidRPr="004A3BDF">
        <w:t xml:space="preserve"> → COVID </w:t>
      </w:r>
      <w:r w:rsidRPr="004A3BDF">
        <w:rPr>
          <w:b/>
          <w:bCs/>
        </w:rPr>
        <w:t>zvyšoval volatilitu</w:t>
      </w:r>
      <w:r w:rsidRPr="004A3BDF">
        <w:t>.</w:t>
      </w:r>
    </w:p>
    <w:p w14:paraId="03277D2D" w14:textId="7C4095A8" w:rsidR="00C82E1A" w:rsidRPr="00C82E1A" w:rsidRDefault="00C82E1A" w:rsidP="00C82E1A"/>
    <w:p w14:paraId="6E42A975" w14:textId="4DD44FFB" w:rsidR="00C82E1A" w:rsidRDefault="00BF47E8" w:rsidP="00BF47E8">
      <w:pPr>
        <w:jc w:val="center"/>
        <w:rPr>
          <w:b/>
          <w:bCs/>
          <w:sz w:val="24"/>
          <w:szCs w:val="24"/>
        </w:rPr>
      </w:pPr>
      <w:r w:rsidRPr="00BF47E8">
        <w:rPr>
          <w:b/>
          <w:bCs/>
          <w:sz w:val="24"/>
          <w:szCs w:val="24"/>
        </w:rPr>
        <w:t>The effect of the Covid pandemic on stock market volatility: Separating initial impact from time-to-recovery</w:t>
      </w:r>
    </w:p>
    <w:p w14:paraId="4D678324" w14:textId="77777777" w:rsidR="00BF47E8" w:rsidRPr="00BF47E8" w:rsidRDefault="00BF47E8" w:rsidP="00BF47E8">
      <w:r>
        <w:tab/>
      </w:r>
      <w:r w:rsidRPr="00BF47E8">
        <w:t xml:space="preserve">Bežné GARCHX modely používajú len </w:t>
      </w:r>
      <w:r w:rsidRPr="00BF47E8">
        <w:rPr>
          <w:b/>
          <w:bCs/>
        </w:rPr>
        <w:t>COVID dummy</w:t>
      </w:r>
      <w:r w:rsidRPr="00BF47E8">
        <w:t xml:space="preserve"> (0/1), čo predpokladá, že kríza má </w:t>
      </w:r>
      <w:r w:rsidRPr="00BF47E8">
        <w:rPr>
          <w:b/>
          <w:bCs/>
        </w:rPr>
        <w:t>konštantný efekt</w:t>
      </w:r>
      <w:r w:rsidRPr="00BF47E8">
        <w:t xml:space="preserve"> počas celého obdobia.</w:t>
      </w:r>
    </w:p>
    <w:p w14:paraId="171EC9B5" w14:textId="77777777" w:rsidR="00BF47E8" w:rsidRPr="00BF47E8" w:rsidRDefault="00BF47E8" w:rsidP="00BF47E8">
      <w:r w:rsidRPr="00BF47E8">
        <w:t>Autori však ukazujú, že realita je iná:</w:t>
      </w:r>
    </w:p>
    <w:p w14:paraId="132CDF20" w14:textId="77777777" w:rsidR="00BF47E8" w:rsidRPr="00BF47E8" w:rsidRDefault="00BF47E8">
      <w:pPr>
        <w:numPr>
          <w:ilvl w:val="0"/>
          <w:numId w:val="63"/>
        </w:numPr>
      </w:pPr>
      <w:r w:rsidRPr="00BF47E8">
        <w:t xml:space="preserve">najprv príde </w:t>
      </w:r>
      <w:r w:rsidRPr="00BF47E8">
        <w:rPr>
          <w:b/>
          <w:bCs/>
        </w:rPr>
        <w:t>prudký skok volatility</w:t>
      </w:r>
      <w:r w:rsidRPr="00BF47E8">
        <w:t>,</w:t>
      </w:r>
    </w:p>
    <w:p w14:paraId="3B789535" w14:textId="77777777" w:rsidR="00BF47E8" w:rsidRPr="00BF47E8" w:rsidRDefault="00BF47E8">
      <w:pPr>
        <w:numPr>
          <w:ilvl w:val="0"/>
          <w:numId w:val="63"/>
        </w:numPr>
      </w:pPr>
      <w:r w:rsidRPr="00BF47E8">
        <w:t xml:space="preserve">potom </w:t>
      </w:r>
      <w:r w:rsidRPr="00BF47E8">
        <w:rPr>
          <w:b/>
          <w:bCs/>
        </w:rPr>
        <w:t>postupný pokles</w:t>
      </w:r>
      <w:r w:rsidRPr="00BF47E8">
        <w:t>.</w:t>
      </w:r>
    </w:p>
    <w:p w14:paraId="49608DF8" w14:textId="7E52F67E" w:rsidR="00BF47E8" w:rsidRDefault="00BF47E8" w:rsidP="00BF47E8">
      <w:r w:rsidRPr="00BF47E8">
        <w:t xml:space="preserve">Preto vytvárajú </w:t>
      </w:r>
      <w:r w:rsidRPr="00BF47E8">
        <w:rPr>
          <w:b/>
          <w:bCs/>
        </w:rPr>
        <w:t>GARCHX</w:t>
      </w:r>
      <w:r w:rsidRPr="00BF47E8">
        <w:rPr>
          <w:b/>
          <w:bCs/>
        </w:rPr>
        <w:noBreakHyphen/>
        <w:t>NL</w:t>
      </w:r>
      <w:r>
        <w:t xml:space="preserve">. </w:t>
      </w:r>
      <w:r w:rsidRPr="00BF47E8">
        <w:t xml:space="preserve">Autori analyzujú </w:t>
      </w:r>
      <w:r w:rsidRPr="00BF47E8">
        <w:rPr>
          <w:b/>
          <w:bCs/>
        </w:rPr>
        <w:t>20 akciových indexov</w:t>
      </w:r>
      <w:r w:rsidRPr="00BF47E8">
        <w:t xml:space="preserve"> (2015–2021)</w:t>
      </w:r>
      <w:r>
        <w:t>.</w:t>
      </w:r>
    </w:p>
    <w:p w14:paraId="0F6A5801" w14:textId="77777777" w:rsidR="00BF47E8" w:rsidRPr="00BF47E8" w:rsidRDefault="00BF47E8" w:rsidP="00BF47E8">
      <w:pPr>
        <w:rPr>
          <w:b/>
          <w:bCs/>
        </w:rPr>
      </w:pPr>
      <w:r w:rsidRPr="00BF47E8">
        <w:rPr>
          <w:b/>
          <w:bCs/>
        </w:rPr>
        <w:t>GARCHX</w:t>
      </w:r>
      <w:r w:rsidRPr="00BF47E8">
        <w:rPr>
          <w:b/>
          <w:bCs/>
        </w:rPr>
        <w:noBreakHyphen/>
        <w:t>NL model</w:t>
      </w:r>
    </w:p>
    <w:p w14:paraId="7DBEE7DD" w14:textId="77777777" w:rsidR="00BF47E8" w:rsidRPr="00BF47E8" w:rsidRDefault="00BF47E8" w:rsidP="00BF47E8">
      <w:r w:rsidRPr="00BF47E8">
        <w:t>Model definuje volatilitu ako:</w:t>
      </w:r>
    </w:p>
    <w:p w14:paraId="1FD210C2" w14:textId="77777777" w:rsidR="00BF47E8" w:rsidRPr="00BF47E8" w:rsidRDefault="00BF47E8">
      <w:pPr>
        <w:numPr>
          <w:ilvl w:val="0"/>
          <w:numId w:val="64"/>
        </w:numPr>
      </w:pPr>
      <w:r w:rsidRPr="00BF47E8">
        <w:rPr>
          <w:b/>
          <w:bCs/>
        </w:rPr>
        <w:t>skok θ₁</w:t>
      </w:r>
      <w:r w:rsidRPr="00BF47E8">
        <w:t xml:space="preserve"> v deň tCOVID,</w:t>
      </w:r>
    </w:p>
    <w:p w14:paraId="58D9A589" w14:textId="77777777" w:rsidR="00BF47E8" w:rsidRPr="00BF47E8" w:rsidRDefault="00BF47E8">
      <w:pPr>
        <w:numPr>
          <w:ilvl w:val="0"/>
          <w:numId w:val="64"/>
        </w:numPr>
      </w:pPr>
      <w:r w:rsidRPr="00BF47E8">
        <w:rPr>
          <w:b/>
          <w:bCs/>
        </w:rPr>
        <w:t>exponenciálny pokles</w:t>
      </w:r>
      <w:r w:rsidRPr="00BF47E8">
        <w:t xml:space="preserve"> rýchlosťou θ₂,</w:t>
      </w:r>
    </w:p>
    <w:p w14:paraId="30B0686A" w14:textId="77777777" w:rsidR="00BF47E8" w:rsidRPr="00BF47E8" w:rsidRDefault="00BF47E8">
      <w:pPr>
        <w:numPr>
          <w:ilvl w:val="0"/>
          <w:numId w:val="64"/>
        </w:numPr>
      </w:pPr>
      <w:r w:rsidRPr="00BF47E8">
        <w:t>plus štandardné ARCH/GARCH parametre (α, β).</w:t>
      </w:r>
    </w:p>
    <w:p w14:paraId="7AA276B5" w14:textId="77777777" w:rsidR="00BF47E8" w:rsidRPr="00BF47E8" w:rsidRDefault="00BF47E8" w:rsidP="00BF47E8">
      <w:r w:rsidRPr="00BF47E8">
        <w:t>Model umožňuje:</w:t>
      </w:r>
    </w:p>
    <w:p w14:paraId="45B0F38B" w14:textId="77777777" w:rsidR="00BF47E8" w:rsidRPr="00BF47E8" w:rsidRDefault="00BF47E8">
      <w:pPr>
        <w:numPr>
          <w:ilvl w:val="0"/>
          <w:numId w:val="65"/>
        </w:numPr>
      </w:pPr>
      <w:r w:rsidRPr="00BF47E8">
        <w:t xml:space="preserve">presne odhadnúť </w:t>
      </w:r>
      <w:r w:rsidRPr="00BF47E8">
        <w:rPr>
          <w:b/>
          <w:bCs/>
        </w:rPr>
        <w:t>veľkosť šoku</w:t>
      </w:r>
      <w:r w:rsidRPr="00BF47E8">
        <w:t>,</w:t>
      </w:r>
    </w:p>
    <w:p w14:paraId="307BE3A7" w14:textId="77777777" w:rsidR="00BF47E8" w:rsidRPr="00BF47E8" w:rsidRDefault="00BF47E8">
      <w:pPr>
        <w:numPr>
          <w:ilvl w:val="0"/>
          <w:numId w:val="65"/>
        </w:numPr>
      </w:pPr>
      <w:r w:rsidRPr="00BF47E8">
        <w:t xml:space="preserve">presne odhadnúť </w:t>
      </w:r>
      <w:r w:rsidRPr="00BF47E8">
        <w:rPr>
          <w:b/>
          <w:bCs/>
        </w:rPr>
        <w:t>čas zotavenia</w:t>
      </w:r>
      <w:r w:rsidRPr="00BF47E8">
        <w:t>,</w:t>
      </w:r>
    </w:p>
    <w:p w14:paraId="1BD95470" w14:textId="77777777" w:rsidR="00BF47E8" w:rsidRPr="00BF47E8" w:rsidRDefault="00BF47E8">
      <w:pPr>
        <w:numPr>
          <w:ilvl w:val="0"/>
          <w:numId w:val="65"/>
        </w:numPr>
      </w:pPr>
      <w:r w:rsidRPr="00BF47E8">
        <w:t>porovnať trhy medzi sebou.</w:t>
      </w:r>
    </w:p>
    <w:p w14:paraId="4AAC3496" w14:textId="7EF88A2C" w:rsidR="00BF47E8" w:rsidRPr="00BF47E8" w:rsidRDefault="00BF47E8" w:rsidP="00BF47E8">
      <w:r w:rsidRPr="00BF47E8">
        <w:rPr>
          <w:b/>
          <w:bCs/>
        </w:rPr>
        <w:t>Dátumy šoku</w:t>
      </w:r>
      <w:r w:rsidRPr="00BF47E8">
        <w:t xml:space="preserve"> sa pohybujú od </w:t>
      </w:r>
      <w:r w:rsidRPr="00BF47E8">
        <w:rPr>
          <w:b/>
          <w:bCs/>
        </w:rPr>
        <w:t>24. februára do 24. marca 2020</w:t>
      </w:r>
      <w:r w:rsidRPr="00BF47E8">
        <w:t>.</w:t>
      </w:r>
    </w:p>
    <w:p w14:paraId="4B6A2CB8" w14:textId="646879D5" w:rsidR="00BF47E8" w:rsidRPr="00BF47E8" w:rsidRDefault="00BF47E8" w:rsidP="00BF47E8">
      <w:r w:rsidRPr="00BF47E8">
        <w:rPr>
          <w:b/>
          <w:bCs/>
        </w:rPr>
        <w:t>Vyspelé trhy</w:t>
      </w:r>
      <w:r w:rsidRPr="00BF47E8">
        <w:t xml:space="preserve"> (Nemecko, Japonsko, Singapur) majú:</w:t>
      </w:r>
    </w:p>
    <w:p w14:paraId="43427199" w14:textId="77777777" w:rsidR="00BF47E8" w:rsidRPr="00BF47E8" w:rsidRDefault="00BF47E8">
      <w:pPr>
        <w:numPr>
          <w:ilvl w:val="0"/>
          <w:numId w:val="66"/>
        </w:numPr>
      </w:pPr>
      <w:r w:rsidRPr="00BF47E8">
        <w:rPr>
          <w:b/>
          <w:bCs/>
        </w:rPr>
        <w:t>veľký počiatočný šok</w:t>
      </w:r>
      <w:r w:rsidRPr="00BF47E8">
        <w:t>,</w:t>
      </w:r>
    </w:p>
    <w:p w14:paraId="670CE3DB" w14:textId="77777777" w:rsidR="00BF47E8" w:rsidRPr="00BF47E8" w:rsidRDefault="00BF47E8">
      <w:pPr>
        <w:numPr>
          <w:ilvl w:val="0"/>
          <w:numId w:val="66"/>
        </w:numPr>
      </w:pPr>
      <w:r w:rsidRPr="00BF47E8">
        <w:rPr>
          <w:b/>
          <w:bCs/>
        </w:rPr>
        <w:t>krátky half</w:t>
      </w:r>
      <w:r w:rsidRPr="00BF47E8">
        <w:rPr>
          <w:b/>
          <w:bCs/>
        </w:rPr>
        <w:noBreakHyphen/>
        <w:t>life</w:t>
      </w:r>
      <w:r w:rsidRPr="00BF47E8">
        <w:t xml:space="preserve"> → rýchle zotavenie.</w:t>
      </w:r>
    </w:p>
    <w:p w14:paraId="748E2A43" w14:textId="2F8EF0DC" w:rsidR="00BF47E8" w:rsidRPr="00BF47E8" w:rsidRDefault="00BF47E8" w:rsidP="00BF47E8">
      <w:r w:rsidRPr="00BF47E8">
        <w:rPr>
          <w:b/>
          <w:bCs/>
        </w:rPr>
        <w:t>Emerging markets</w:t>
      </w:r>
      <w:r w:rsidRPr="00BF47E8">
        <w:t xml:space="preserve"> (India, Vietnam, Thajsko):</w:t>
      </w:r>
    </w:p>
    <w:p w14:paraId="0CF84727" w14:textId="77777777" w:rsidR="00BF47E8" w:rsidRPr="00BF47E8" w:rsidRDefault="00BF47E8">
      <w:pPr>
        <w:numPr>
          <w:ilvl w:val="0"/>
          <w:numId w:val="67"/>
        </w:numPr>
      </w:pPr>
      <w:r w:rsidRPr="00BF47E8">
        <w:rPr>
          <w:b/>
          <w:bCs/>
        </w:rPr>
        <w:t>malý počiatočný šok</w:t>
      </w:r>
      <w:r w:rsidRPr="00BF47E8">
        <w:t>,</w:t>
      </w:r>
    </w:p>
    <w:p w14:paraId="2BCE4B8E" w14:textId="77777777" w:rsidR="00BF47E8" w:rsidRDefault="00BF47E8">
      <w:pPr>
        <w:numPr>
          <w:ilvl w:val="0"/>
          <w:numId w:val="67"/>
        </w:numPr>
      </w:pPr>
      <w:r w:rsidRPr="00BF47E8">
        <w:rPr>
          <w:b/>
          <w:bCs/>
        </w:rPr>
        <w:lastRenderedPageBreak/>
        <w:t>dlhý half</w:t>
      </w:r>
      <w:r w:rsidRPr="00BF47E8">
        <w:rPr>
          <w:b/>
          <w:bCs/>
        </w:rPr>
        <w:noBreakHyphen/>
        <w:t>life</w:t>
      </w:r>
      <w:r w:rsidRPr="00BF47E8">
        <w:t xml:space="preserve"> → pomalé zotavenie.</w:t>
      </w:r>
    </w:p>
    <w:p w14:paraId="62B04399" w14:textId="77777777" w:rsidR="00BF47E8" w:rsidRPr="00BF47E8" w:rsidRDefault="00BF47E8" w:rsidP="00BF47E8">
      <w:r w:rsidRPr="00BF47E8">
        <w:t>Vyspelé trhy:</w:t>
      </w:r>
    </w:p>
    <w:p w14:paraId="1F1E2F82" w14:textId="77777777" w:rsidR="00BF47E8" w:rsidRPr="00BF47E8" w:rsidRDefault="00BF47E8">
      <w:pPr>
        <w:numPr>
          <w:ilvl w:val="0"/>
          <w:numId w:val="68"/>
        </w:numPr>
      </w:pPr>
      <w:r w:rsidRPr="00BF47E8">
        <w:t xml:space="preserve">investori sú </w:t>
      </w:r>
      <w:r w:rsidRPr="00BF47E8">
        <w:rPr>
          <w:b/>
          <w:bCs/>
        </w:rPr>
        <w:t>citlivejší na negatívne správy</w:t>
      </w:r>
      <w:r w:rsidRPr="00BF47E8">
        <w:t>,</w:t>
      </w:r>
    </w:p>
    <w:p w14:paraId="6411496B" w14:textId="77777777" w:rsidR="00BF47E8" w:rsidRPr="00BF47E8" w:rsidRDefault="00BF47E8">
      <w:pPr>
        <w:numPr>
          <w:ilvl w:val="0"/>
          <w:numId w:val="68"/>
        </w:numPr>
      </w:pPr>
      <w:r w:rsidRPr="00BF47E8">
        <w:t xml:space="preserve">trhy sú však </w:t>
      </w:r>
      <w:r w:rsidRPr="00BF47E8">
        <w:rPr>
          <w:b/>
          <w:bCs/>
        </w:rPr>
        <w:t>lepšie pripravené absorbovať krízu</w:t>
      </w:r>
      <w:r w:rsidRPr="00BF47E8">
        <w:t>,</w:t>
      </w:r>
    </w:p>
    <w:p w14:paraId="0EEC60F4" w14:textId="77777777" w:rsidR="00BF47E8" w:rsidRPr="00BF47E8" w:rsidRDefault="00BF47E8" w:rsidP="00BF47E8">
      <w:r w:rsidRPr="00BF47E8">
        <w:t>Emerging markets:</w:t>
      </w:r>
    </w:p>
    <w:p w14:paraId="1D5022B2" w14:textId="77777777" w:rsidR="00BF47E8" w:rsidRPr="00BF47E8" w:rsidRDefault="00BF47E8">
      <w:pPr>
        <w:numPr>
          <w:ilvl w:val="0"/>
          <w:numId w:val="69"/>
        </w:numPr>
      </w:pPr>
      <w:r w:rsidRPr="00BF47E8">
        <w:t>investori reagujú pomalšie,</w:t>
      </w:r>
    </w:p>
    <w:p w14:paraId="264FC708" w14:textId="77777777" w:rsidR="00BF47E8" w:rsidRPr="00BF47E8" w:rsidRDefault="00BF47E8">
      <w:pPr>
        <w:numPr>
          <w:ilvl w:val="0"/>
          <w:numId w:val="69"/>
        </w:numPr>
      </w:pPr>
      <w:r w:rsidRPr="00BF47E8">
        <w:t>trhy sa zotavujú pomalšie,</w:t>
      </w:r>
    </w:p>
    <w:p w14:paraId="5D933281" w14:textId="77777777" w:rsidR="00BF47E8" w:rsidRDefault="00BF47E8">
      <w:pPr>
        <w:numPr>
          <w:ilvl w:val="0"/>
          <w:numId w:val="69"/>
        </w:numPr>
      </w:pPr>
      <w:r w:rsidRPr="00BF47E8">
        <w:t xml:space="preserve">preto majú </w:t>
      </w:r>
      <w:r w:rsidRPr="00BF47E8">
        <w:rPr>
          <w:b/>
          <w:bCs/>
        </w:rPr>
        <w:t>malý šok, ale dlhý half</w:t>
      </w:r>
      <w:r w:rsidRPr="00BF47E8">
        <w:rPr>
          <w:b/>
          <w:bCs/>
        </w:rPr>
        <w:noBreakHyphen/>
        <w:t>life</w:t>
      </w:r>
      <w:r w:rsidRPr="00BF47E8">
        <w:t>.</w:t>
      </w:r>
    </w:p>
    <w:p w14:paraId="4C164FE4" w14:textId="77777777" w:rsidR="002B66A0" w:rsidRDefault="002B66A0" w:rsidP="002B66A0"/>
    <w:p w14:paraId="1FE5C78D" w14:textId="2D2EEAB7" w:rsidR="002B66A0" w:rsidRPr="002B66A0" w:rsidRDefault="002B66A0" w:rsidP="002B66A0">
      <w:pPr>
        <w:jc w:val="center"/>
        <w:rPr>
          <w:b/>
          <w:bCs/>
        </w:rPr>
      </w:pPr>
      <w:r w:rsidRPr="002B66A0">
        <w:rPr>
          <w:b/>
          <w:bCs/>
          <w:sz w:val="24"/>
          <w:szCs w:val="24"/>
        </w:rPr>
        <w:t>Volatility Modeling: An Overview of Equity Markets in the Euro Area during COVID-19 Pandemic</w:t>
      </w:r>
    </w:p>
    <w:p w14:paraId="34E96367" w14:textId="42C47C0C" w:rsidR="00D47AED" w:rsidRPr="00D47AED" w:rsidRDefault="00D47AED" w:rsidP="00D47AED">
      <w:r w:rsidRPr="00D47AED">
        <w:rPr>
          <w:b/>
          <w:bCs/>
        </w:rPr>
        <w:t>Cieľ práce:</w:t>
      </w:r>
      <w:r w:rsidRPr="00D47AED">
        <w:t xml:space="preserve"> Preskúmať, ako prvá a druhá vlna COVID</w:t>
      </w:r>
      <w:r w:rsidRPr="00D47AED">
        <w:noBreakHyphen/>
        <w:t xml:space="preserve">19 ovplyvnili </w:t>
      </w:r>
      <w:r w:rsidRPr="00D47AED">
        <w:rPr>
          <w:i/>
          <w:iCs/>
        </w:rPr>
        <w:t>výnosy</w:t>
      </w:r>
      <w:r w:rsidRPr="00D47AED">
        <w:t xml:space="preserve"> a </w:t>
      </w:r>
      <w:r w:rsidRPr="00D47AED">
        <w:rPr>
          <w:i/>
          <w:iCs/>
        </w:rPr>
        <w:t>volatilitu</w:t>
      </w:r>
      <w:r w:rsidRPr="00D47AED">
        <w:t xml:space="preserve"> akciových indexov krajín eurozóny.</w:t>
      </w:r>
    </w:p>
    <w:p w14:paraId="789729B3" w14:textId="457E0FFA" w:rsidR="00D47AED" w:rsidRPr="00D47AED" w:rsidRDefault="00D47AED" w:rsidP="00D47AED">
      <w:r w:rsidRPr="00D47AED">
        <w:rPr>
          <w:b/>
          <w:bCs/>
        </w:rPr>
        <w:t>Metóda:</w:t>
      </w:r>
      <w:r w:rsidRPr="00D47AED">
        <w:t xml:space="preserve"> Threshold GARCH(1,1)-in-Mean model s dvoma dummy premennými reprezentujúcimi prvú a druhú vlnu pandémie.</w:t>
      </w:r>
    </w:p>
    <w:p w14:paraId="5A27BC93" w14:textId="26D356D4" w:rsidR="00D47AED" w:rsidRDefault="00D47AED" w:rsidP="00D47AED">
      <w:r w:rsidRPr="00D47AED">
        <w:rPr>
          <w:b/>
          <w:bCs/>
        </w:rPr>
        <w:t>Dáta:</w:t>
      </w:r>
      <w:r w:rsidRPr="00D47AED">
        <w:t xml:space="preserve"> Denné výnosy 16 akciových indexov eurozóny (2016–2020).</w:t>
      </w:r>
    </w:p>
    <w:p w14:paraId="0E42239D" w14:textId="1EDB2B10" w:rsidR="00D47AED" w:rsidRPr="00D47AED" w:rsidRDefault="00D47AED" w:rsidP="00D47AED">
      <w:r>
        <w:tab/>
      </w:r>
      <w:r w:rsidRPr="00D47AED">
        <w:rPr>
          <w:b/>
          <w:bCs/>
        </w:rPr>
        <w:t>Prvá vlna mala výrazný vplyv</w:t>
      </w:r>
      <w:r w:rsidRPr="00D47AED">
        <w:t xml:space="preserve"> na volatilitu vo väčšine krajín s väčšími finančnými centrami</w:t>
      </w:r>
      <w:r w:rsidRPr="00D47AED">
        <w:t xml:space="preserve">. </w:t>
      </w:r>
      <w:r w:rsidRPr="00D47AED">
        <w:t xml:space="preserve">Vo všeobecnosti </w:t>
      </w:r>
      <w:r w:rsidRPr="00D47AED">
        <w:rPr>
          <w:b/>
          <w:bCs/>
        </w:rPr>
        <w:t>vlny pandémie neovplyvnili priemerné výnosy</w:t>
      </w:r>
      <w:r w:rsidRPr="00D47AED">
        <w:t xml:space="preserve"> indexov.</w:t>
      </w:r>
      <w:r>
        <w:t xml:space="preserve"> </w:t>
      </w:r>
      <w:r w:rsidRPr="00D47AED">
        <w:rPr>
          <w:b/>
          <w:bCs/>
        </w:rPr>
        <w:t>Leverage efekt</w:t>
      </w:r>
      <w:r w:rsidRPr="00D47AED">
        <w:t xml:space="preserve"> (negatívne šoky zvyšujú volatilitu viac než pozitívne) bol potvrdený takmer vo všetkých krajinách.</w:t>
      </w:r>
    </w:p>
    <w:p w14:paraId="1A5CF017" w14:textId="18F9E400" w:rsidR="00D47AED" w:rsidRDefault="00D47AED" w:rsidP="00D47AED">
      <w:r w:rsidRPr="00D47AED">
        <w:t xml:space="preserve">Volatilita bola </w:t>
      </w:r>
      <w:r w:rsidRPr="00D47AED">
        <w:rPr>
          <w:b/>
          <w:bCs/>
        </w:rPr>
        <w:t>vysoko perzistentná</w:t>
      </w:r>
      <w:r w:rsidRPr="00D47AED">
        <w:t xml:space="preserve"> (takmer 1), čo znamená, že šoky pretrvávajú dlho.</w:t>
      </w:r>
    </w:p>
    <w:p w14:paraId="1039F5A8" w14:textId="152568AC" w:rsidR="00D47AED" w:rsidRPr="00D47AED" w:rsidRDefault="00D47AED" w:rsidP="00D47AED">
      <w:r w:rsidRPr="00D47AED">
        <w:rPr>
          <w:b/>
          <w:bCs/>
        </w:rPr>
        <w:t>Eurozóna nereagovala jednotne</w:t>
      </w:r>
      <w:r w:rsidRPr="00D47AED">
        <w:t xml:space="preserve"> – krajiny sa líšili podľa veľkosti finančných centier.</w:t>
      </w:r>
    </w:p>
    <w:p w14:paraId="1A91E9AD" w14:textId="6D3126FC" w:rsidR="00D47AED" w:rsidRPr="00D47AED" w:rsidRDefault="00D47AED" w:rsidP="00D47AED">
      <w:r w:rsidRPr="00D47AED">
        <w:rPr>
          <w:b/>
          <w:bCs/>
        </w:rPr>
        <w:t>Malé trhy boli odolnejšie</w:t>
      </w:r>
      <w:r w:rsidRPr="00D47AED">
        <w:t>, veľké trhy zaznamenali výrazné zvýšenie volatility.</w:t>
      </w:r>
    </w:p>
    <w:p w14:paraId="4D0C2A4F" w14:textId="77777777" w:rsidR="00D47AED" w:rsidRPr="00D47AED" w:rsidRDefault="00D47AED" w:rsidP="00D47AED"/>
    <w:p w14:paraId="447D63AA" w14:textId="71AEC947" w:rsidR="00D47AED" w:rsidRPr="008C2FC1" w:rsidRDefault="008C2FC1" w:rsidP="008C2FC1">
      <w:pPr>
        <w:jc w:val="center"/>
        <w:rPr>
          <w:b/>
          <w:bCs/>
          <w:sz w:val="24"/>
          <w:szCs w:val="24"/>
        </w:rPr>
      </w:pPr>
      <w:r w:rsidRPr="008C2FC1">
        <w:rPr>
          <w:b/>
          <w:bCs/>
          <w:sz w:val="24"/>
          <w:szCs w:val="24"/>
        </w:rPr>
        <w:t>When the market got the first dose: Stock volatility and vaccination campaign in COVID-19 period</w:t>
      </w:r>
    </w:p>
    <w:p w14:paraId="3311EC1D" w14:textId="129726DA" w:rsidR="00BF47E8" w:rsidRDefault="008C2FC1" w:rsidP="00BF47E8">
      <w:r>
        <w:tab/>
      </w:r>
      <w:r w:rsidRPr="008C2FC1">
        <w:t xml:space="preserve">Autori skúmajú, či </w:t>
      </w:r>
      <w:r w:rsidRPr="008C2FC1">
        <w:rPr>
          <w:b/>
          <w:bCs/>
        </w:rPr>
        <w:t>zvyšovanie miery očkovania (vaccine initiation rate)</w:t>
      </w:r>
      <w:r w:rsidRPr="008C2FC1">
        <w:t xml:space="preserve"> počas COVID</w:t>
      </w:r>
      <w:r w:rsidRPr="008C2FC1">
        <w:noBreakHyphen/>
        <w:t xml:space="preserve">19 </w:t>
      </w:r>
      <w:r w:rsidRPr="008C2FC1">
        <w:rPr>
          <w:b/>
          <w:bCs/>
        </w:rPr>
        <w:t>znižovalo volatilitu akciových trhov</w:t>
      </w:r>
      <w:r w:rsidRPr="008C2FC1">
        <w:t xml:space="preserve"> v 32 krajinách (rozvinuté aj rozvíjajúce sa trhy) v období </w:t>
      </w:r>
      <w:r w:rsidRPr="008C2FC1">
        <w:rPr>
          <w:b/>
          <w:bCs/>
        </w:rPr>
        <w:t>1.1.2020 – 24.6.2022</w:t>
      </w:r>
      <w:r w:rsidRPr="008C2FC1">
        <w:t>.</w:t>
      </w:r>
    </w:p>
    <w:p w14:paraId="46F50728" w14:textId="77777777" w:rsidR="008C2FC1" w:rsidRPr="008C2FC1" w:rsidRDefault="008C2FC1" w:rsidP="008C2FC1">
      <w:pPr>
        <w:rPr>
          <w:b/>
          <w:bCs/>
        </w:rPr>
      </w:pPr>
      <w:r w:rsidRPr="008C2FC1">
        <w:rPr>
          <w:b/>
          <w:bCs/>
        </w:rPr>
        <w:t>1. Očkovanie znižuje volatilitu akciových trhov</w:t>
      </w:r>
    </w:p>
    <w:p w14:paraId="41206E63" w14:textId="77777777" w:rsidR="008C2FC1" w:rsidRPr="008C2FC1" w:rsidRDefault="008C2FC1" w:rsidP="008C2FC1">
      <w:pPr>
        <w:numPr>
          <w:ilvl w:val="0"/>
          <w:numId w:val="70"/>
        </w:numPr>
      </w:pPr>
      <w:r w:rsidRPr="008C2FC1">
        <w:t xml:space="preserve">Vyššia denná miera očkovania </w:t>
      </w:r>
      <w:r w:rsidRPr="008C2FC1">
        <w:rPr>
          <w:b/>
          <w:bCs/>
        </w:rPr>
        <w:t>výrazne znižuje volatilitu</w:t>
      </w:r>
      <w:r w:rsidRPr="008C2FC1">
        <w:t xml:space="preserve"> (SVOL).</w:t>
      </w:r>
    </w:p>
    <w:p w14:paraId="1437922D" w14:textId="77777777" w:rsidR="008C2FC1" w:rsidRPr="008C2FC1" w:rsidRDefault="008C2FC1" w:rsidP="008C2FC1">
      <w:pPr>
        <w:numPr>
          <w:ilvl w:val="0"/>
          <w:numId w:val="70"/>
        </w:numPr>
      </w:pPr>
      <w:r w:rsidRPr="008C2FC1">
        <w:t xml:space="preserve">Efekt je </w:t>
      </w:r>
      <w:r w:rsidRPr="008C2FC1">
        <w:rPr>
          <w:b/>
          <w:bCs/>
        </w:rPr>
        <w:t>silnejší v rozvinutých krajinách</w:t>
      </w:r>
      <w:r w:rsidRPr="008C2FC1">
        <w:t xml:space="preserve"> a v krajinách, kde je očkovanie </w:t>
      </w:r>
      <w:r w:rsidRPr="008C2FC1">
        <w:rPr>
          <w:b/>
          <w:bCs/>
        </w:rPr>
        <w:t>nad priemerom</w:t>
      </w:r>
      <w:r w:rsidRPr="008C2FC1">
        <w:t>.</w:t>
      </w:r>
    </w:p>
    <w:p w14:paraId="32EF8364" w14:textId="77777777" w:rsidR="008C2FC1" w:rsidRPr="008C2FC1" w:rsidRDefault="008C2FC1" w:rsidP="008C2FC1">
      <w:pPr>
        <w:numPr>
          <w:ilvl w:val="0"/>
          <w:numId w:val="70"/>
        </w:numPr>
      </w:pPr>
      <w:r w:rsidRPr="008C2FC1">
        <w:t>Výsledok je robustný aj pri použití alternatívnych modelov (GARCH, EGARCH, TARCH) a alternatívnych definícií premenných.</w:t>
      </w:r>
    </w:p>
    <w:p w14:paraId="06C2EBB0" w14:textId="77777777" w:rsidR="008C2FC1" w:rsidRPr="008C2FC1" w:rsidRDefault="008C2FC1" w:rsidP="008C2FC1">
      <w:pPr>
        <w:rPr>
          <w:b/>
          <w:bCs/>
        </w:rPr>
      </w:pPr>
      <w:r w:rsidRPr="008C2FC1">
        <w:rPr>
          <w:b/>
          <w:bCs/>
        </w:rPr>
        <w:t>3. Počet prípadov a úmrtí zvyšuje volatilitu</w:t>
      </w:r>
    </w:p>
    <w:p w14:paraId="7ED86AD8" w14:textId="77777777" w:rsidR="008C2FC1" w:rsidRPr="008C2FC1" w:rsidRDefault="008C2FC1" w:rsidP="008C2FC1">
      <w:pPr>
        <w:numPr>
          <w:ilvl w:val="0"/>
          <w:numId w:val="71"/>
        </w:numPr>
      </w:pPr>
      <w:r w:rsidRPr="008C2FC1">
        <w:lastRenderedPageBreak/>
        <w:t xml:space="preserve">Rast počtu </w:t>
      </w:r>
      <w:r w:rsidRPr="008C2FC1">
        <w:rPr>
          <w:b/>
          <w:bCs/>
        </w:rPr>
        <w:t>nových prípadov</w:t>
      </w:r>
      <w:r w:rsidRPr="008C2FC1">
        <w:t xml:space="preserve"> aj </w:t>
      </w:r>
      <w:r w:rsidRPr="008C2FC1">
        <w:rPr>
          <w:b/>
          <w:bCs/>
        </w:rPr>
        <w:t>úmrtí</w:t>
      </w:r>
      <w:r w:rsidRPr="008C2FC1">
        <w:t xml:space="preserve"> vedie k </w:t>
      </w:r>
      <w:r w:rsidRPr="008C2FC1">
        <w:rPr>
          <w:b/>
          <w:bCs/>
        </w:rPr>
        <w:t>výraznému nárastu volatility</w:t>
      </w:r>
      <w:r w:rsidRPr="008C2FC1">
        <w:t>.</w:t>
      </w:r>
    </w:p>
    <w:p w14:paraId="4F87CB3E" w14:textId="77777777" w:rsidR="008C2FC1" w:rsidRPr="008C2FC1" w:rsidRDefault="008C2FC1" w:rsidP="008C2FC1">
      <w:pPr>
        <w:numPr>
          <w:ilvl w:val="0"/>
          <w:numId w:val="71"/>
        </w:numPr>
      </w:pPr>
      <w:r w:rsidRPr="008C2FC1">
        <w:t>Počet prípadov má ešte silnejší efekt než úmrtia.</w:t>
      </w:r>
    </w:p>
    <w:p w14:paraId="78602A54" w14:textId="6D353E4C" w:rsidR="008C2FC1" w:rsidRPr="008C2FC1" w:rsidRDefault="008C2FC1" w:rsidP="008C2FC1">
      <w:pPr>
        <w:ind w:firstLine="708"/>
      </w:pPr>
      <w:r w:rsidRPr="008C2FC1">
        <w:t xml:space="preserve">Očkovanie znižuje neistotu investorov → </w:t>
      </w:r>
      <w:r w:rsidRPr="008C2FC1">
        <w:rPr>
          <w:b/>
          <w:bCs/>
        </w:rPr>
        <w:t>nižšia volatilita</w:t>
      </w:r>
      <w:r w:rsidRPr="008C2FC1">
        <w:t>.</w:t>
      </w:r>
      <w:r>
        <w:t xml:space="preserve"> </w:t>
      </w:r>
      <w:r w:rsidRPr="008C2FC1">
        <w:t xml:space="preserve">Vládne reštrikcie a rast prípadov zvyšujú obavy → </w:t>
      </w:r>
      <w:r w:rsidRPr="008C2FC1">
        <w:rPr>
          <w:b/>
          <w:bCs/>
        </w:rPr>
        <w:t>vyššia volatilita</w:t>
      </w:r>
      <w:r w:rsidRPr="008C2FC1">
        <w:t>.</w:t>
      </w:r>
    </w:p>
    <w:p w14:paraId="1C44D4AD" w14:textId="7A58910E" w:rsidR="008C2FC1" w:rsidRPr="008C2FC1" w:rsidRDefault="008C2FC1" w:rsidP="008C2FC1">
      <w:r w:rsidRPr="008C2FC1">
        <w:t>Trhy reagujú na očkovanie pozitívne, pretože naznačuje:</w:t>
      </w:r>
    </w:p>
    <w:p w14:paraId="179FA394" w14:textId="77777777" w:rsidR="008C2FC1" w:rsidRPr="008C2FC1" w:rsidRDefault="008C2FC1" w:rsidP="008C2FC1">
      <w:pPr>
        <w:numPr>
          <w:ilvl w:val="0"/>
          <w:numId w:val="72"/>
        </w:numPr>
      </w:pPr>
      <w:r w:rsidRPr="008C2FC1">
        <w:t>menšiu potrebu extrémnych opatrení,</w:t>
      </w:r>
    </w:p>
    <w:p w14:paraId="6253171E" w14:textId="77777777" w:rsidR="008C2FC1" w:rsidRPr="008C2FC1" w:rsidRDefault="008C2FC1" w:rsidP="008C2FC1">
      <w:pPr>
        <w:numPr>
          <w:ilvl w:val="0"/>
          <w:numId w:val="72"/>
        </w:numPr>
      </w:pPr>
      <w:r w:rsidRPr="008C2FC1">
        <w:t>rýchlejší návrat k normálu,</w:t>
      </w:r>
    </w:p>
    <w:p w14:paraId="28AAB623" w14:textId="77777777" w:rsidR="008C2FC1" w:rsidRPr="008C2FC1" w:rsidRDefault="008C2FC1" w:rsidP="008C2FC1">
      <w:pPr>
        <w:numPr>
          <w:ilvl w:val="0"/>
          <w:numId w:val="72"/>
        </w:numPr>
      </w:pPr>
      <w:r w:rsidRPr="008C2FC1">
        <w:t>stabilizáciu ekonomiky.</w:t>
      </w:r>
    </w:p>
    <w:p w14:paraId="07B43735" w14:textId="77777777" w:rsidR="008C2FC1" w:rsidRPr="00BF47E8" w:rsidRDefault="008C2FC1" w:rsidP="00BF47E8"/>
    <w:p w14:paraId="441C06ED" w14:textId="729B1E44" w:rsidR="00BF47E8" w:rsidRDefault="005B16AA" w:rsidP="005B16AA">
      <w:pPr>
        <w:jc w:val="center"/>
        <w:rPr>
          <w:b/>
          <w:bCs/>
          <w:sz w:val="24"/>
          <w:szCs w:val="24"/>
        </w:rPr>
      </w:pPr>
      <w:r w:rsidRPr="005B16AA">
        <w:rPr>
          <w:b/>
          <w:bCs/>
          <w:sz w:val="24"/>
          <w:szCs w:val="24"/>
        </w:rPr>
        <w:t>Comparison of Systemic Financial Risks in the US before and after the COVID-19 Outbreak—A Copula–GARCH with CES Approach</w:t>
      </w:r>
    </w:p>
    <w:p w14:paraId="1BA9F080" w14:textId="27C677A3" w:rsidR="005B16AA" w:rsidRDefault="005B16AA" w:rsidP="005B16AA">
      <w:r>
        <w:tab/>
      </w:r>
      <w:r w:rsidRPr="005B16AA">
        <w:t xml:space="preserve">Autori porovnávajú </w:t>
      </w:r>
      <w:r w:rsidRPr="005B16AA">
        <w:rPr>
          <w:b/>
          <w:bCs/>
        </w:rPr>
        <w:t>systémové finančné riziko v USA</w:t>
      </w:r>
      <w:r w:rsidRPr="005B16AA">
        <w:t xml:space="preserve"> pred pandémiou COVID</w:t>
      </w:r>
      <w:r w:rsidRPr="005B16AA">
        <w:noBreakHyphen/>
        <w:t xml:space="preserve">19 a počas nej. Používajú </w:t>
      </w:r>
      <w:r w:rsidRPr="005B16AA">
        <w:rPr>
          <w:b/>
          <w:bCs/>
        </w:rPr>
        <w:t>Copula–GJR–GARCH model</w:t>
      </w:r>
      <w:r w:rsidRPr="005B16AA">
        <w:t xml:space="preserve"> a </w:t>
      </w:r>
      <w:r w:rsidRPr="005B16AA">
        <w:rPr>
          <w:b/>
          <w:bCs/>
        </w:rPr>
        <w:t>Component Expected Shortfall (CES)</w:t>
      </w:r>
      <w:r w:rsidRPr="005B16AA">
        <w:t xml:space="preserve"> na meranie toho, ako jednotlivé finančné inštitúcie prispievajú k celkovému riziku.</w:t>
      </w:r>
    </w:p>
    <w:p w14:paraId="572E9969" w14:textId="77777777" w:rsidR="005B16AA" w:rsidRPr="005B16AA" w:rsidRDefault="005B16AA" w:rsidP="005B16AA">
      <w:pPr>
        <w:rPr>
          <w:b/>
          <w:bCs/>
        </w:rPr>
      </w:pPr>
      <w:r w:rsidRPr="005B16AA">
        <w:rPr>
          <w:b/>
          <w:bCs/>
        </w:rPr>
        <w:t>1. Systémové riziko po vypuknutí COVID</w:t>
      </w:r>
      <w:r w:rsidRPr="005B16AA">
        <w:rPr>
          <w:b/>
          <w:bCs/>
        </w:rPr>
        <w:noBreakHyphen/>
        <w:t>19 výrazne vzrástlo</w:t>
      </w:r>
    </w:p>
    <w:p w14:paraId="31C02571" w14:textId="77777777" w:rsidR="005B16AA" w:rsidRPr="005B16AA" w:rsidRDefault="005B16AA" w:rsidP="005B16AA">
      <w:pPr>
        <w:numPr>
          <w:ilvl w:val="0"/>
          <w:numId w:val="73"/>
        </w:numPr>
      </w:pPr>
      <w:r w:rsidRPr="005B16AA">
        <w:t xml:space="preserve">Najvyšší nárast rizika nastal </w:t>
      </w:r>
      <w:r w:rsidRPr="005B16AA">
        <w:rPr>
          <w:b/>
          <w:bCs/>
        </w:rPr>
        <w:t>v prvej polovici roku 2020</w:t>
      </w:r>
      <w:r w:rsidRPr="005B16AA">
        <w:t>, keď trhy prudko padali.</w:t>
      </w:r>
    </w:p>
    <w:p w14:paraId="268B7FB3" w14:textId="77777777" w:rsidR="005B16AA" w:rsidRPr="005B16AA" w:rsidRDefault="005B16AA" w:rsidP="005B16AA">
      <w:pPr>
        <w:rPr>
          <w:b/>
          <w:bCs/>
        </w:rPr>
      </w:pPr>
      <w:r w:rsidRPr="005B16AA">
        <w:rPr>
          <w:b/>
          <w:bCs/>
        </w:rPr>
        <w:t>5. Copula–GARCH model je presnejší než DCC–GARCH</w:t>
      </w:r>
    </w:p>
    <w:p w14:paraId="50AEBBA3" w14:textId="77777777" w:rsidR="005B16AA" w:rsidRPr="005B16AA" w:rsidRDefault="005B16AA" w:rsidP="005B16AA">
      <w:pPr>
        <w:numPr>
          <w:ilvl w:val="0"/>
          <w:numId w:val="74"/>
        </w:numPr>
      </w:pPr>
      <w:r w:rsidRPr="005B16AA">
        <w:rPr>
          <w:b/>
          <w:bCs/>
        </w:rPr>
        <w:t>Lineárne modely (DCC)</w:t>
      </w:r>
      <w:r w:rsidRPr="005B16AA">
        <w:t>:</w:t>
      </w:r>
    </w:p>
    <w:p w14:paraId="5A612C3D" w14:textId="77777777" w:rsidR="005B16AA" w:rsidRPr="005B16AA" w:rsidRDefault="005B16AA" w:rsidP="005B16AA">
      <w:pPr>
        <w:numPr>
          <w:ilvl w:val="1"/>
          <w:numId w:val="74"/>
        </w:numPr>
      </w:pPr>
      <w:r w:rsidRPr="005B16AA">
        <w:rPr>
          <w:b/>
          <w:bCs/>
        </w:rPr>
        <w:t>podhodnocujú riziko pred pandémiou</w:t>
      </w:r>
      <w:r w:rsidRPr="005B16AA">
        <w:t>,</w:t>
      </w:r>
    </w:p>
    <w:p w14:paraId="5CEAF9B3" w14:textId="77777777" w:rsidR="005B16AA" w:rsidRPr="005B16AA" w:rsidRDefault="005B16AA" w:rsidP="005B16AA">
      <w:pPr>
        <w:numPr>
          <w:ilvl w:val="1"/>
          <w:numId w:val="74"/>
        </w:numPr>
      </w:pPr>
      <w:r w:rsidRPr="005B16AA">
        <w:rPr>
          <w:b/>
          <w:bCs/>
        </w:rPr>
        <w:t>nadhodnocujú riziko počas extrémnych udalostí</w:t>
      </w:r>
      <w:r w:rsidRPr="005B16AA">
        <w:t>.</w:t>
      </w:r>
    </w:p>
    <w:p w14:paraId="3D7A2431" w14:textId="77777777" w:rsidR="005B16AA" w:rsidRPr="005B16AA" w:rsidRDefault="005B16AA" w:rsidP="005B16AA">
      <w:pPr>
        <w:numPr>
          <w:ilvl w:val="0"/>
          <w:numId w:val="74"/>
        </w:numPr>
      </w:pPr>
      <w:r w:rsidRPr="005B16AA">
        <w:rPr>
          <w:b/>
          <w:bCs/>
        </w:rPr>
        <w:t>Copula model</w:t>
      </w:r>
      <w:r w:rsidRPr="005B16AA">
        <w:t xml:space="preserve"> lepšie zachytáva:</w:t>
      </w:r>
    </w:p>
    <w:p w14:paraId="11CB2F50" w14:textId="77777777" w:rsidR="005B16AA" w:rsidRPr="005B16AA" w:rsidRDefault="005B16AA" w:rsidP="005B16AA">
      <w:pPr>
        <w:numPr>
          <w:ilvl w:val="1"/>
          <w:numId w:val="74"/>
        </w:numPr>
      </w:pPr>
      <w:r w:rsidRPr="005B16AA">
        <w:t>nelineárne vzťahy,</w:t>
      </w:r>
    </w:p>
    <w:p w14:paraId="3AE2DCCA" w14:textId="77777777" w:rsidR="005B16AA" w:rsidRPr="005B16AA" w:rsidRDefault="005B16AA" w:rsidP="005B16AA">
      <w:pPr>
        <w:numPr>
          <w:ilvl w:val="1"/>
          <w:numId w:val="74"/>
        </w:numPr>
      </w:pPr>
      <w:r w:rsidRPr="005B16AA">
        <w:t>korelácie v chvostoch rozdelenia (tail dependence),</w:t>
      </w:r>
    </w:p>
    <w:p w14:paraId="2C3D0B39" w14:textId="77777777" w:rsidR="005B16AA" w:rsidRPr="005B16AA" w:rsidRDefault="005B16AA" w:rsidP="005B16AA">
      <w:pPr>
        <w:numPr>
          <w:ilvl w:val="1"/>
          <w:numId w:val="74"/>
        </w:numPr>
      </w:pPr>
      <w:r w:rsidRPr="005B16AA">
        <w:t>extrémne trhové pohyby.</w:t>
      </w:r>
    </w:p>
    <w:p w14:paraId="0E8B1B97" w14:textId="7BF64E3A" w:rsidR="005B16AA" w:rsidRPr="005B16AA" w:rsidRDefault="005B16AA" w:rsidP="005B16AA">
      <w:pPr>
        <w:ind w:firstLine="708"/>
      </w:pPr>
      <w:r w:rsidRPr="005B16AA">
        <w:t>COVID</w:t>
      </w:r>
      <w:r w:rsidRPr="005B16AA">
        <w:noBreakHyphen/>
        <w:t>19 dramaticky zvýšil systémové riziko v USA.</w:t>
      </w:r>
      <w:r>
        <w:t xml:space="preserve"> </w:t>
      </w:r>
      <w:r w:rsidRPr="005B16AA">
        <w:t>Najväčšie finančné inštitúcie dominujú riziku a určujú správanie celého trhu.</w:t>
      </w:r>
      <w:r>
        <w:t xml:space="preserve"> </w:t>
      </w:r>
      <w:r w:rsidRPr="005B16AA">
        <w:t>Copula–GARCH + CES je vhodnejší nástroj na meranie rizika počas extrémnych udalostí než tradičné lineárne modely.</w:t>
      </w:r>
    </w:p>
    <w:p w14:paraId="3AEE3C7F" w14:textId="77777777" w:rsidR="005B16AA" w:rsidRDefault="005B16AA" w:rsidP="005B16AA"/>
    <w:p w14:paraId="0652101C" w14:textId="61D81B96" w:rsidR="005B16AA" w:rsidRDefault="005B16AA" w:rsidP="005B16AA">
      <w:pPr>
        <w:jc w:val="center"/>
        <w:rPr>
          <w:b/>
          <w:bCs/>
          <w:sz w:val="24"/>
          <w:szCs w:val="24"/>
        </w:rPr>
      </w:pPr>
      <w:r w:rsidRPr="005B16AA">
        <w:rPr>
          <w:b/>
          <w:bCs/>
          <w:sz w:val="24"/>
          <w:szCs w:val="24"/>
        </w:rPr>
        <w:t>COVID</w:t>
      </w:r>
      <w:r w:rsidRPr="005B16AA">
        <w:rPr>
          <w:b/>
          <w:bCs/>
          <w:sz w:val="24"/>
          <w:szCs w:val="24"/>
        </w:rPr>
        <w:noBreakHyphen/>
        <w:t>19 and instability of stock market performance: evidence from the U.S.</w:t>
      </w:r>
    </w:p>
    <w:p w14:paraId="766B219E" w14:textId="6679CCAC" w:rsidR="005B16AA" w:rsidRPr="005B16AA" w:rsidRDefault="005B16AA" w:rsidP="005B16AA">
      <w:r w:rsidRPr="005B16AA">
        <w:t>Autori skúmajú, či COVID</w:t>
      </w:r>
      <w:r w:rsidRPr="005B16AA">
        <w:noBreakHyphen/>
        <w:t xml:space="preserve">19 spôsobil </w:t>
      </w:r>
      <w:r w:rsidRPr="005B16AA">
        <w:rPr>
          <w:b/>
          <w:bCs/>
        </w:rPr>
        <w:t>štrukturálne zlomy</w:t>
      </w:r>
      <w:r w:rsidRPr="005B16AA">
        <w:t xml:space="preserve"> v:</w:t>
      </w:r>
    </w:p>
    <w:p w14:paraId="06F59FBD" w14:textId="77777777" w:rsidR="005B16AA" w:rsidRPr="005B16AA" w:rsidRDefault="005B16AA" w:rsidP="005B16AA">
      <w:pPr>
        <w:numPr>
          <w:ilvl w:val="0"/>
          <w:numId w:val="75"/>
        </w:numPr>
      </w:pPr>
      <w:r w:rsidRPr="005B16AA">
        <w:rPr>
          <w:b/>
          <w:bCs/>
        </w:rPr>
        <w:t>predvídateľnosti akciových výnosov</w:t>
      </w:r>
      <w:r w:rsidRPr="005B16AA">
        <w:t xml:space="preserve"> (return predictability),</w:t>
      </w:r>
    </w:p>
    <w:p w14:paraId="17FDDA86" w14:textId="77777777" w:rsidR="005B16AA" w:rsidRPr="005B16AA" w:rsidRDefault="005B16AA" w:rsidP="005B16AA">
      <w:pPr>
        <w:numPr>
          <w:ilvl w:val="0"/>
          <w:numId w:val="75"/>
        </w:numPr>
      </w:pPr>
      <w:r w:rsidRPr="005B16AA">
        <w:rPr>
          <w:b/>
          <w:bCs/>
        </w:rPr>
        <w:t>cenovej volatilite</w:t>
      </w:r>
      <w:r w:rsidRPr="005B16AA">
        <w:t xml:space="preserve"> (price volatility)</w:t>
      </w:r>
    </w:p>
    <w:p w14:paraId="1FBEF70A" w14:textId="77777777" w:rsidR="00112449" w:rsidRDefault="005B16AA" w:rsidP="00112449">
      <w:r w:rsidRPr="005B16AA">
        <w:lastRenderedPageBreak/>
        <w:t xml:space="preserve">pre indexy </w:t>
      </w:r>
      <w:r w:rsidRPr="005B16AA">
        <w:rPr>
          <w:b/>
          <w:bCs/>
        </w:rPr>
        <w:t>S&amp;P 500</w:t>
      </w:r>
      <w:r w:rsidRPr="005B16AA">
        <w:t xml:space="preserve"> a </w:t>
      </w:r>
      <w:r w:rsidRPr="005B16AA">
        <w:rPr>
          <w:b/>
          <w:bCs/>
        </w:rPr>
        <w:t>DJIA</w:t>
      </w:r>
      <w:r w:rsidRPr="005B16AA">
        <w:t xml:space="preserve"> v období </w:t>
      </w:r>
      <w:r w:rsidRPr="005B16AA">
        <w:rPr>
          <w:b/>
          <w:bCs/>
        </w:rPr>
        <w:t>1.1.2019 – 30.6.2020</w:t>
      </w:r>
      <w:r w:rsidRPr="005B16AA">
        <w:t>.</w:t>
      </w:r>
      <w:r>
        <w:t xml:space="preserve"> </w:t>
      </w:r>
      <w:r w:rsidRPr="005B16AA">
        <w:t xml:space="preserve">Zlom nastal </w:t>
      </w:r>
      <w:r w:rsidRPr="005B16AA">
        <w:rPr>
          <w:b/>
          <w:bCs/>
        </w:rPr>
        <w:t>v polovici februára 2020</w:t>
      </w:r>
      <w:r w:rsidRPr="005B16AA">
        <w:t xml:space="preserve"> (14.–21. február).</w:t>
      </w:r>
    </w:p>
    <w:p w14:paraId="36B21206" w14:textId="60317E8C" w:rsidR="00112449" w:rsidRPr="00112449" w:rsidRDefault="00112449" w:rsidP="00112449">
      <w:pPr>
        <w:ind w:firstLine="708"/>
      </w:pPr>
      <w:r w:rsidRPr="00112449">
        <w:t xml:space="preserve">Pandémia spôsobila </w:t>
      </w:r>
      <w:r w:rsidRPr="00112449">
        <w:rPr>
          <w:b/>
          <w:bCs/>
        </w:rPr>
        <w:t>jeden veľký štrukturálny zlom</w:t>
      </w:r>
      <w:r w:rsidRPr="00112449">
        <w:t xml:space="preserve"> v amerických akciových trhoch.</w:t>
      </w:r>
      <w:r>
        <w:t xml:space="preserve"> </w:t>
      </w:r>
      <w:r w:rsidRPr="00112449">
        <w:t>Po ňom sa zvýšila predvídateľnosť aj volatilita.</w:t>
      </w:r>
      <w:r>
        <w:t xml:space="preserve"> </w:t>
      </w:r>
      <w:r w:rsidRPr="00112449">
        <w:t>COVID</w:t>
      </w:r>
      <w:r w:rsidRPr="00112449">
        <w:noBreakHyphen/>
        <w:t xml:space="preserve">19 vytvoril </w:t>
      </w:r>
      <w:r w:rsidRPr="00112449">
        <w:rPr>
          <w:b/>
          <w:bCs/>
        </w:rPr>
        <w:t>ziskové príležitosti</w:t>
      </w:r>
      <w:r w:rsidRPr="00112449">
        <w:t xml:space="preserve">, ale zároveň </w:t>
      </w:r>
      <w:r w:rsidRPr="00112449">
        <w:rPr>
          <w:b/>
          <w:bCs/>
        </w:rPr>
        <w:t>zvýšil nerovnosť</w:t>
      </w:r>
      <w:r w:rsidRPr="00112449">
        <w:t xml:space="preserve"> medzi investormi.</w:t>
      </w:r>
    </w:p>
    <w:p w14:paraId="4A356147" w14:textId="77777777" w:rsidR="005B16AA" w:rsidRPr="005B16AA" w:rsidRDefault="005B16AA" w:rsidP="005B16AA"/>
    <w:p w14:paraId="369F28EF" w14:textId="398346FD" w:rsidR="005B16AA" w:rsidRPr="005B16AA" w:rsidRDefault="005B16AA" w:rsidP="005B16AA"/>
    <w:sectPr w:rsidR="005B16AA" w:rsidRPr="005B1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A71"/>
    <w:multiLevelType w:val="multilevel"/>
    <w:tmpl w:val="DC3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CED"/>
    <w:multiLevelType w:val="hybridMultilevel"/>
    <w:tmpl w:val="6DBC64A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84DB7"/>
    <w:multiLevelType w:val="multilevel"/>
    <w:tmpl w:val="387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740A"/>
    <w:multiLevelType w:val="multilevel"/>
    <w:tmpl w:val="E44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00FB6"/>
    <w:multiLevelType w:val="multilevel"/>
    <w:tmpl w:val="EBB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31509"/>
    <w:multiLevelType w:val="multilevel"/>
    <w:tmpl w:val="452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C4325"/>
    <w:multiLevelType w:val="multilevel"/>
    <w:tmpl w:val="312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049FF"/>
    <w:multiLevelType w:val="multilevel"/>
    <w:tmpl w:val="1E1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D5810"/>
    <w:multiLevelType w:val="multilevel"/>
    <w:tmpl w:val="704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775A4"/>
    <w:multiLevelType w:val="multilevel"/>
    <w:tmpl w:val="C9A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744C5"/>
    <w:multiLevelType w:val="multilevel"/>
    <w:tmpl w:val="D9E4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22FA1"/>
    <w:multiLevelType w:val="multilevel"/>
    <w:tmpl w:val="BE5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302A9"/>
    <w:multiLevelType w:val="multilevel"/>
    <w:tmpl w:val="5B9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47FF7"/>
    <w:multiLevelType w:val="multilevel"/>
    <w:tmpl w:val="F97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61517"/>
    <w:multiLevelType w:val="multilevel"/>
    <w:tmpl w:val="90F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46CDA"/>
    <w:multiLevelType w:val="multilevel"/>
    <w:tmpl w:val="49C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B520B"/>
    <w:multiLevelType w:val="multilevel"/>
    <w:tmpl w:val="66F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A6280"/>
    <w:multiLevelType w:val="multilevel"/>
    <w:tmpl w:val="2E6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F42F2"/>
    <w:multiLevelType w:val="multilevel"/>
    <w:tmpl w:val="018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B4F42"/>
    <w:multiLevelType w:val="multilevel"/>
    <w:tmpl w:val="C86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0290D"/>
    <w:multiLevelType w:val="multilevel"/>
    <w:tmpl w:val="16BC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A6526"/>
    <w:multiLevelType w:val="multilevel"/>
    <w:tmpl w:val="425A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B5C9A"/>
    <w:multiLevelType w:val="multilevel"/>
    <w:tmpl w:val="7E5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15C65"/>
    <w:multiLevelType w:val="multilevel"/>
    <w:tmpl w:val="A74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A7E9D"/>
    <w:multiLevelType w:val="multilevel"/>
    <w:tmpl w:val="23A2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A5611"/>
    <w:multiLevelType w:val="multilevel"/>
    <w:tmpl w:val="02A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C3AC1"/>
    <w:multiLevelType w:val="multilevel"/>
    <w:tmpl w:val="8A3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BC5BB5"/>
    <w:multiLevelType w:val="multilevel"/>
    <w:tmpl w:val="D52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662BCA"/>
    <w:multiLevelType w:val="multilevel"/>
    <w:tmpl w:val="401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10410"/>
    <w:multiLevelType w:val="multilevel"/>
    <w:tmpl w:val="1C2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82311"/>
    <w:multiLevelType w:val="multilevel"/>
    <w:tmpl w:val="1B82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660D2"/>
    <w:multiLevelType w:val="multilevel"/>
    <w:tmpl w:val="664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750DE9"/>
    <w:multiLevelType w:val="multilevel"/>
    <w:tmpl w:val="87A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960789"/>
    <w:multiLevelType w:val="multilevel"/>
    <w:tmpl w:val="72A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3722D3"/>
    <w:multiLevelType w:val="multilevel"/>
    <w:tmpl w:val="3F4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4F26E6"/>
    <w:multiLevelType w:val="multilevel"/>
    <w:tmpl w:val="F97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42055"/>
    <w:multiLevelType w:val="multilevel"/>
    <w:tmpl w:val="286A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011AA6"/>
    <w:multiLevelType w:val="multilevel"/>
    <w:tmpl w:val="FDEA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C1C18"/>
    <w:multiLevelType w:val="multilevel"/>
    <w:tmpl w:val="D2A2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C47752"/>
    <w:multiLevelType w:val="hybridMultilevel"/>
    <w:tmpl w:val="A04AAF5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9712DE"/>
    <w:multiLevelType w:val="multilevel"/>
    <w:tmpl w:val="03F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C2B61"/>
    <w:multiLevelType w:val="multilevel"/>
    <w:tmpl w:val="B7F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A6365"/>
    <w:multiLevelType w:val="multilevel"/>
    <w:tmpl w:val="B08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4325C6"/>
    <w:multiLevelType w:val="multilevel"/>
    <w:tmpl w:val="A27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E659D"/>
    <w:multiLevelType w:val="multilevel"/>
    <w:tmpl w:val="21A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4B7421"/>
    <w:multiLevelType w:val="multilevel"/>
    <w:tmpl w:val="D71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51CD9"/>
    <w:multiLevelType w:val="multilevel"/>
    <w:tmpl w:val="B2E8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A10FA8"/>
    <w:multiLevelType w:val="multilevel"/>
    <w:tmpl w:val="961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C57F74"/>
    <w:multiLevelType w:val="multilevel"/>
    <w:tmpl w:val="942C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3034D4"/>
    <w:multiLevelType w:val="multilevel"/>
    <w:tmpl w:val="CC5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9382B"/>
    <w:multiLevelType w:val="hybridMultilevel"/>
    <w:tmpl w:val="FDBCAB8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697331"/>
    <w:multiLevelType w:val="multilevel"/>
    <w:tmpl w:val="F41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D10150"/>
    <w:multiLevelType w:val="multilevel"/>
    <w:tmpl w:val="0E1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9857DB"/>
    <w:multiLevelType w:val="multilevel"/>
    <w:tmpl w:val="47B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ED4E0C"/>
    <w:multiLevelType w:val="multilevel"/>
    <w:tmpl w:val="D79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D10D3D"/>
    <w:multiLevelType w:val="multilevel"/>
    <w:tmpl w:val="FE2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795026"/>
    <w:multiLevelType w:val="multilevel"/>
    <w:tmpl w:val="0558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B05905"/>
    <w:multiLevelType w:val="multilevel"/>
    <w:tmpl w:val="A90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F71679"/>
    <w:multiLevelType w:val="multilevel"/>
    <w:tmpl w:val="B61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7B5EEF"/>
    <w:multiLevelType w:val="multilevel"/>
    <w:tmpl w:val="744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C20CA2"/>
    <w:multiLevelType w:val="hybridMultilevel"/>
    <w:tmpl w:val="962C9FA6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C8A3DD4"/>
    <w:multiLevelType w:val="multilevel"/>
    <w:tmpl w:val="7BD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8E42AB"/>
    <w:multiLevelType w:val="multilevel"/>
    <w:tmpl w:val="B9B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1337F4"/>
    <w:multiLevelType w:val="multilevel"/>
    <w:tmpl w:val="9EA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1D39DB"/>
    <w:multiLevelType w:val="multilevel"/>
    <w:tmpl w:val="69F4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982023"/>
    <w:multiLevelType w:val="multilevel"/>
    <w:tmpl w:val="417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44999"/>
    <w:multiLevelType w:val="multilevel"/>
    <w:tmpl w:val="7636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E87E0E"/>
    <w:multiLevelType w:val="hybridMultilevel"/>
    <w:tmpl w:val="4976C51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A42574"/>
    <w:multiLevelType w:val="multilevel"/>
    <w:tmpl w:val="20B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6463FF"/>
    <w:multiLevelType w:val="multilevel"/>
    <w:tmpl w:val="0BB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6940FA"/>
    <w:multiLevelType w:val="multilevel"/>
    <w:tmpl w:val="D02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862874"/>
    <w:multiLevelType w:val="multilevel"/>
    <w:tmpl w:val="532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46504C"/>
    <w:multiLevelType w:val="multilevel"/>
    <w:tmpl w:val="734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C40FD7"/>
    <w:multiLevelType w:val="multilevel"/>
    <w:tmpl w:val="D52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1F127E"/>
    <w:multiLevelType w:val="multilevel"/>
    <w:tmpl w:val="5A8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56F8C"/>
    <w:multiLevelType w:val="multilevel"/>
    <w:tmpl w:val="3A6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906082">
    <w:abstractNumId w:val="50"/>
  </w:num>
  <w:num w:numId="2" w16cid:durableId="403340478">
    <w:abstractNumId w:val="2"/>
  </w:num>
  <w:num w:numId="3" w16cid:durableId="329023242">
    <w:abstractNumId w:val="60"/>
  </w:num>
  <w:num w:numId="4" w16cid:durableId="902523316">
    <w:abstractNumId w:val="52"/>
  </w:num>
  <w:num w:numId="5" w16cid:durableId="621033565">
    <w:abstractNumId w:val="1"/>
  </w:num>
  <w:num w:numId="6" w16cid:durableId="1047603459">
    <w:abstractNumId w:val="16"/>
  </w:num>
  <w:num w:numId="7" w16cid:durableId="672489810">
    <w:abstractNumId w:val="74"/>
  </w:num>
  <w:num w:numId="8" w16cid:durableId="289096800">
    <w:abstractNumId w:val="25"/>
  </w:num>
  <w:num w:numId="9" w16cid:durableId="838813302">
    <w:abstractNumId w:val="67"/>
  </w:num>
  <w:num w:numId="10" w16cid:durableId="1194660080">
    <w:abstractNumId w:val="57"/>
  </w:num>
  <w:num w:numId="11" w16cid:durableId="1751582223">
    <w:abstractNumId w:val="54"/>
  </w:num>
  <w:num w:numId="12" w16cid:durableId="284965688">
    <w:abstractNumId w:val="68"/>
  </w:num>
  <w:num w:numId="13" w16cid:durableId="214975399">
    <w:abstractNumId w:val="61"/>
  </w:num>
  <w:num w:numId="14" w16cid:durableId="1746873795">
    <w:abstractNumId w:val="72"/>
  </w:num>
  <w:num w:numId="15" w16cid:durableId="2023894245">
    <w:abstractNumId w:val="8"/>
  </w:num>
  <w:num w:numId="16" w16cid:durableId="2006201663">
    <w:abstractNumId w:val="17"/>
  </w:num>
  <w:num w:numId="17" w16cid:durableId="439375221">
    <w:abstractNumId w:val="41"/>
  </w:num>
  <w:num w:numId="18" w16cid:durableId="288096315">
    <w:abstractNumId w:val="24"/>
  </w:num>
  <w:num w:numId="19" w16cid:durableId="619536468">
    <w:abstractNumId w:val="39"/>
  </w:num>
  <w:num w:numId="20" w16cid:durableId="383800709">
    <w:abstractNumId w:val="56"/>
  </w:num>
  <w:num w:numId="21" w16cid:durableId="151604659">
    <w:abstractNumId w:val="69"/>
  </w:num>
  <w:num w:numId="22" w16cid:durableId="2044162633">
    <w:abstractNumId w:val="46"/>
  </w:num>
  <w:num w:numId="23" w16cid:durableId="968164963">
    <w:abstractNumId w:val="38"/>
  </w:num>
  <w:num w:numId="24" w16cid:durableId="1547062513">
    <w:abstractNumId w:val="71"/>
  </w:num>
  <w:num w:numId="25" w16cid:durableId="1045330757">
    <w:abstractNumId w:val="37"/>
  </w:num>
  <w:num w:numId="26" w16cid:durableId="2024432756">
    <w:abstractNumId w:val="66"/>
  </w:num>
  <w:num w:numId="27" w16cid:durableId="1823425562">
    <w:abstractNumId w:val="51"/>
  </w:num>
  <w:num w:numId="28" w16cid:durableId="1669139525">
    <w:abstractNumId w:val="45"/>
  </w:num>
  <w:num w:numId="29" w16cid:durableId="1829789515">
    <w:abstractNumId w:val="11"/>
  </w:num>
  <w:num w:numId="30" w16cid:durableId="1310407258">
    <w:abstractNumId w:val="55"/>
  </w:num>
  <w:num w:numId="31" w16cid:durableId="1124422954">
    <w:abstractNumId w:val="75"/>
  </w:num>
  <w:num w:numId="32" w16cid:durableId="602612405">
    <w:abstractNumId w:val="36"/>
  </w:num>
  <w:num w:numId="33" w16cid:durableId="1936936685">
    <w:abstractNumId w:val="22"/>
  </w:num>
  <w:num w:numId="34" w16cid:durableId="1928423175">
    <w:abstractNumId w:val="53"/>
  </w:num>
  <w:num w:numId="35" w16cid:durableId="309480657">
    <w:abstractNumId w:val="23"/>
  </w:num>
  <w:num w:numId="36" w16cid:durableId="180246685">
    <w:abstractNumId w:val="40"/>
  </w:num>
  <w:num w:numId="37" w16cid:durableId="796411838">
    <w:abstractNumId w:val="30"/>
  </w:num>
  <w:num w:numId="38" w16cid:durableId="1452702902">
    <w:abstractNumId w:val="70"/>
  </w:num>
  <w:num w:numId="39" w16cid:durableId="1653287555">
    <w:abstractNumId w:val="29"/>
  </w:num>
  <w:num w:numId="40" w16cid:durableId="51122248">
    <w:abstractNumId w:val="5"/>
  </w:num>
  <w:num w:numId="41" w16cid:durableId="504828622">
    <w:abstractNumId w:val="26"/>
  </w:num>
  <w:num w:numId="42" w16cid:durableId="24841187">
    <w:abstractNumId w:val="3"/>
  </w:num>
  <w:num w:numId="43" w16cid:durableId="518665194">
    <w:abstractNumId w:val="18"/>
  </w:num>
  <w:num w:numId="44" w16cid:durableId="1008099977">
    <w:abstractNumId w:val="32"/>
  </w:num>
  <w:num w:numId="45" w16cid:durableId="450318771">
    <w:abstractNumId w:val="63"/>
  </w:num>
  <w:num w:numId="46" w16cid:durableId="1224102385">
    <w:abstractNumId w:val="31"/>
  </w:num>
  <w:num w:numId="47" w16cid:durableId="201941467">
    <w:abstractNumId w:val="65"/>
  </w:num>
  <w:num w:numId="48" w16cid:durableId="1660769003">
    <w:abstractNumId w:val="21"/>
  </w:num>
  <w:num w:numId="49" w16cid:durableId="487743643">
    <w:abstractNumId w:val="12"/>
  </w:num>
  <w:num w:numId="50" w16cid:durableId="1466237783">
    <w:abstractNumId w:val="34"/>
  </w:num>
  <w:num w:numId="51" w16cid:durableId="769273298">
    <w:abstractNumId w:val="33"/>
  </w:num>
  <w:num w:numId="52" w16cid:durableId="1839074202">
    <w:abstractNumId w:val="73"/>
  </w:num>
  <w:num w:numId="53" w16cid:durableId="1346905614">
    <w:abstractNumId w:val="13"/>
  </w:num>
  <w:num w:numId="54" w16cid:durableId="1003780019">
    <w:abstractNumId w:val="58"/>
  </w:num>
  <w:num w:numId="55" w16cid:durableId="1090010359">
    <w:abstractNumId w:val="47"/>
  </w:num>
  <w:num w:numId="56" w16cid:durableId="1535459357">
    <w:abstractNumId w:val="27"/>
  </w:num>
  <w:num w:numId="57" w16cid:durableId="1451241381">
    <w:abstractNumId w:val="28"/>
  </w:num>
  <w:num w:numId="58" w16cid:durableId="2109108358">
    <w:abstractNumId w:val="43"/>
  </w:num>
  <w:num w:numId="59" w16cid:durableId="2029021076">
    <w:abstractNumId w:val="6"/>
  </w:num>
  <w:num w:numId="60" w16cid:durableId="3896865">
    <w:abstractNumId w:val="64"/>
  </w:num>
  <w:num w:numId="61" w16cid:durableId="851409627">
    <w:abstractNumId w:val="4"/>
  </w:num>
  <w:num w:numId="62" w16cid:durableId="1127506534">
    <w:abstractNumId w:val="10"/>
  </w:num>
  <w:num w:numId="63" w16cid:durableId="1886065311">
    <w:abstractNumId w:val="59"/>
  </w:num>
  <w:num w:numId="64" w16cid:durableId="1442992884">
    <w:abstractNumId w:val="49"/>
  </w:num>
  <w:num w:numId="65" w16cid:durableId="448357164">
    <w:abstractNumId w:val="9"/>
  </w:num>
  <w:num w:numId="66" w16cid:durableId="1278027174">
    <w:abstractNumId w:val="15"/>
  </w:num>
  <w:num w:numId="67" w16cid:durableId="1429496059">
    <w:abstractNumId w:val="14"/>
  </w:num>
  <w:num w:numId="68" w16cid:durableId="1159689161">
    <w:abstractNumId w:val="7"/>
  </w:num>
  <w:num w:numId="69" w16cid:durableId="1800564711">
    <w:abstractNumId w:val="44"/>
  </w:num>
  <w:num w:numId="70" w16cid:durableId="768888947">
    <w:abstractNumId w:val="62"/>
  </w:num>
  <w:num w:numId="71" w16cid:durableId="1797606272">
    <w:abstractNumId w:val="20"/>
  </w:num>
  <w:num w:numId="72" w16cid:durableId="1854302007">
    <w:abstractNumId w:val="42"/>
  </w:num>
  <w:num w:numId="73" w16cid:durableId="428887577">
    <w:abstractNumId w:val="48"/>
  </w:num>
  <w:num w:numId="74" w16cid:durableId="1736704138">
    <w:abstractNumId w:val="35"/>
  </w:num>
  <w:num w:numId="75" w16cid:durableId="2131774390">
    <w:abstractNumId w:val="0"/>
  </w:num>
  <w:num w:numId="76" w16cid:durableId="1805387716">
    <w:abstractNumId w:val="19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A5"/>
    <w:rsid w:val="000A2A0D"/>
    <w:rsid w:val="000C25AC"/>
    <w:rsid w:val="00112449"/>
    <w:rsid w:val="00210F20"/>
    <w:rsid w:val="00242A89"/>
    <w:rsid w:val="00280E41"/>
    <w:rsid w:val="002A441F"/>
    <w:rsid w:val="002B66A0"/>
    <w:rsid w:val="003B7EC9"/>
    <w:rsid w:val="00430C65"/>
    <w:rsid w:val="00434B12"/>
    <w:rsid w:val="004A3BDF"/>
    <w:rsid w:val="005B16AA"/>
    <w:rsid w:val="005B760D"/>
    <w:rsid w:val="005F174A"/>
    <w:rsid w:val="00776B24"/>
    <w:rsid w:val="008371A5"/>
    <w:rsid w:val="008C2FC1"/>
    <w:rsid w:val="009C161D"/>
    <w:rsid w:val="009E0B68"/>
    <w:rsid w:val="009F7B4B"/>
    <w:rsid w:val="00A545B3"/>
    <w:rsid w:val="00A72B89"/>
    <w:rsid w:val="00A81907"/>
    <w:rsid w:val="00AB2619"/>
    <w:rsid w:val="00AF17A5"/>
    <w:rsid w:val="00AF2848"/>
    <w:rsid w:val="00B04CC1"/>
    <w:rsid w:val="00BE5595"/>
    <w:rsid w:val="00BF2C0D"/>
    <w:rsid w:val="00BF47E8"/>
    <w:rsid w:val="00C82E1A"/>
    <w:rsid w:val="00D4685A"/>
    <w:rsid w:val="00D47AED"/>
    <w:rsid w:val="00D8105F"/>
    <w:rsid w:val="00E60245"/>
    <w:rsid w:val="00E9261D"/>
    <w:rsid w:val="00F353FE"/>
    <w:rsid w:val="00FF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4A013"/>
  <w15:chartTrackingRefBased/>
  <w15:docId w15:val="{248A3F06-E477-460F-B393-33D150A8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37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37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37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37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37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37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37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37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37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37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37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37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371A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371A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371A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371A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371A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371A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37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37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37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37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37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371A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371A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371A5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37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371A5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371A5"/>
    <w:rPr>
      <w:b/>
      <w:bCs/>
      <w:smallCaps/>
      <w:color w:val="2F5496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A819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19</Pages>
  <Words>5143</Words>
  <Characters>29318</Characters>
  <Application>Microsoft Office Word</Application>
  <DocSecurity>0</DocSecurity>
  <Lines>244</Lines>
  <Paragraphs>68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Lužák</dc:creator>
  <cp:keywords/>
  <dc:description/>
  <cp:lastModifiedBy>Matej Lužák</cp:lastModifiedBy>
  <cp:revision>13</cp:revision>
  <dcterms:created xsi:type="dcterms:W3CDTF">2026-07-03T15:36:00Z</dcterms:created>
  <dcterms:modified xsi:type="dcterms:W3CDTF">2026-07-06T10:52:00Z</dcterms:modified>
</cp:coreProperties>
</file>