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3232" w14:textId="77721766" w:rsidR="00A72B89" w:rsidRPr="00A91DB7" w:rsidRDefault="00A91DB7" w:rsidP="0019382D">
      <w:pPr>
        <w:spacing w:line="276" w:lineRule="auto"/>
        <w:rPr>
          <w:b/>
          <w:bCs/>
          <w:sz w:val="24"/>
          <w:szCs w:val="24"/>
        </w:rPr>
      </w:pPr>
      <w:r w:rsidRPr="00A91DB7">
        <w:rPr>
          <w:b/>
          <w:bCs/>
          <w:sz w:val="24"/>
          <w:szCs w:val="24"/>
          <w:lang w:val="en-US"/>
        </w:rPr>
        <w:t>Identifik</w:t>
      </w:r>
      <w:r w:rsidRPr="00A91DB7">
        <w:rPr>
          <w:b/>
          <w:bCs/>
          <w:sz w:val="24"/>
          <w:szCs w:val="24"/>
        </w:rPr>
        <w:t xml:space="preserve">ácia výskumnej oblasti </w:t>
      </w:r>
    </w:p>
    <w:p w14:paraId="3490732B" w14:textId="6D451549" w:rsidR="00A91DB7" w:rsidRDefault="00A91DB7" w:rsidP="0019382D">
      <w:pPr>
        <w:spacing w:line="276" w:lineRule="auto"/>
      </w:pPr>
      <w:r>
        <w:tab/>
      </w:r>
      <w:r w:rsidR="00AD580C">
        <w:t>Správanie</w:t>
      </w:r>
      <w:r w:rsidR="00AD6BA5">
        <w:t xml:space="preserve"> akciových trhov je ovplyvnené veľkým množstvom faktorov,</w:t>
      </w:r>
      <w:r w:rsidR="00AD580C">
        <w:t xml:space="preserve"> preto je</w:t>
      </w:r>
      <w:r w:rsidR="00AD6BA5">
        <w:t xml:space="preserve"> predikcia budúceho správania </w:t>
      </w:r>
      <w:r w:rsidR="002542A2">
        <w:t xml:space="preserve">takmer nemožná. Geopolitické šoky ako pandémia COVID-19 majú okamžitý a nepredvídateľný vplyv </w:t>
      </w:r>
      <w:r w:rsidR="00AD580C">
        <w:t xml:space="preserve">na </w:t>
      </w:r>
      <w:r w:rsidR="002542A2">
        <w:t xml:space="preserve">dynamiku akciových trhov, pretože pôsobia cez kapitálové toky a šoky likvidity. Identifikácia správania a reakcií </w:t>
      </w:r>
      <w:r w:rsidR="00AD580C">
        <w:t xml:space="preserve">akciových </w:t>
      </w:r>
      <w:r w:rsidR="002542A2">
        <w:t>trhov na krízové obdobia</w:t>
      </w:r>
      <w:r w:rsidR="00AD580C">
        <w:t xml:space="preserve"> predstavuje</w:t>
      </w:r>
      <w:r w:rsidR="002542A2">
        <w:t xml:space="preserve"> dôležit</w:t>
      </w:r>
      <w:r w:rsidR="00AD580C">
        <w:t>ú</w:t>
      </w:r>
      <w:r w:rsidR="002542A2">
        <w:t xml:space="preserve"> </w:t>
      </w:r>
      <w:r w:rsidR="00AD580C">
        <w:t xml:space="preserve">a relevantnú </w:t>
      </w:r>
      <w:r w:rsidR="002542A2">
        <w:t xml:space="preserve">oblasť výskumu. </w:t>
      </w:r>
    </w:p>
    <w:p w14:paraId="03BC9FC1" w14:textId="1A0C66F4" w:rsidR="00A91DB7" w:rsidRPr="00A91DB7" w:rsidRDefault="00A91DB7" w:rsidP="0019382D">
      <w:pPr>
        <w:spacing w:line="276" w:lineRule="auto"/>
        <w:rPr>
          <w:b/>
          <w:bCs/>
        </w:rPr>
      </w:pPr>
      <w:r w:rsidRPr="00A91DB7">
        <w:rPr>
          <w:b/>
          <w:bCs/>
          <w:sz w:val="24"/>
          <w:szCs w:val="24"/>
        </w:rPr>
        <w:t>Formulácia výskumného cieľa</w:t>
      </w:r>
    </w:p>
    <w:p w14:paraId="212652F1" w14:textId="30AAD3C4" w:rsidR="00A91DB7" w:rsidRDefault="00A91DB7" w:rsidP="0019382D">
      <w:pPr>
        <w:spacing w:line="276" w:lineRule="auto"/>
      </w:pPr>
      <w:r>
        <w:tab/>
      </w:r>
      <w:r w:rsidRPr="00A91DB7">
        <w:t>Analýza súčasnéh</w:t>
      </w:r>
      <w:r w:rsidR="00AD580C">
        <w:t>o stavu</w:t>
      </w:r>
      <w:r w:rsidRPr="00A91DB7">
        <w:t xml:space="preserve"> bude zameraná na vplyv pandémie COVID-19 na</w:t>
      </w:r>
      <w:r w:rsidR="00AD6BA5">
        <w:t xml:space="preserve"> volatilitu</w:t>
      </w:r>
      <w:r w:rsidRPr="00A91DB7">
        <w:t xml:space="preserve"> akciov</w:t>
      </w:r>
      <w:r w:rsidR="00AD6BA5">
        <w:t>ých</w:t>
      </w:r>
      <w:r w:rsidRPr="00A91DB7">
        <w:t xml:space="preserve"> trh</w:t>
      </w:r>
      <w:r w:rsidR="00AD6BA5">
        <w:t>ov</w:t>
      </w:r>
      <w:r w:rsidRPr="00A91DB7">
        <w:t xml:space="preserve"> s cieľom identifikovať reakcie na obdobia so zvýšeným rizikom. Budú zhromaždené a analyzované doterajšie výskumné články v</w:t>
      </w:r>
      <w:r w:rsidR="00AD6BA5">
        <w:t> </w:t>
      </w:r>
      <w:r w:rsidRPr="00A91DB7">
        <w:t>oblasti</w:t>
      </w:r>
      <w:r w:rsidR="00AD6BA5">
        <w:t xml:space="preserve"> volatilita akciových trhov</w:t>
      </w:r>
      <w:r w:rsidR="00AD580C">
        <w:t xml:space="preserve"> a</w:t>
      </w:r>
      <w:r w:rsidR="00AD6BA5">
        <w:t xml:space="preserve"> COVID-19</w:t>
      </w:r>
      <w:r w:rsidR="00AD580C">
        <w:t>, ako aj použité metódy modelovania volatility</w:t>
      </w:r>
      <w:r w:rsidRPr="00A91DB7">
        <w:t>.</w:t>
      </w:r>
      <w:r>
        <w:t xml:space="preserve"> Cieľom je vytvoriť komplexný prehľad dostupnej literatúry, ktorá sa zaoberá porovnaním období pred, počas a po pandémií COVID-19. Výsledkom bude </w:t>
      </w:r>
      <w:r w:rsidR="00AD6BA5">
        <w:t>zhrnutie</w:t>
      </w:r>
      <w:r>
        <w:t xml:space="preserve"> doterajších zistení a porovnanie použitých modelov a</w:t>
      </w:r>
      <w:r w:rsidR="00AD6BA5">
        <w:t> </w:t>
      </w:r>
      <w:r>
        <w:t>metód</w:t>
      </w:r>
      <w:r w:rsidR="00AD6BA5">
        <w:t xml:space="preserve">. </w:t>
      </w:r>
    </w:p>
    <w:p w14:paraId="0F9198CF" w14:textId="539305BE" w:rsidR="00A91DB7" w:rsidRDefault="00A91DB7" w:rsidP="0019382D">
      <w:pPr>
        <w:spacing w:line="276" w:lineRule="auto"/>
        <w:rPr>
          <w:b/>
          <w:bCs/>
          <w:sz w:val="24"/>
          <w:szCs w:val="24"/>
        </w:rPr>
      </w:pPr>
      <w:r w:rsidRPr="00A91DB7">
        <w:rPr>
          <w:b/>
          <w:bCs/>
          <w:sz w:val="24"/>
          <w:szCs w:val="24"/>
        </w:rPr>
        <w:t>Definovanie rozsahu výskumu</w:t>
      </w:r>
    </w:p>
    <w:p w14:paraId="69AF41B5" w14:textId="03FB4D13" w:rsidR="0019382D" w:rsidRDefault="00D35F61" w:rsidP="0019382D">
      <w:pPr>
        <w:spacing w:line="276" w:lineRule="auto"/>
        <w:rPr>
          <w:lang w:val="en-US"/>
        </w:rPr>
      </w:pPr>
      <w:r>
        <w:rPr>
          <w:b/>
          <w:bCs/>
          <w:sz w:val="24"/>
          <w:szCs w:val="24"/>
        </w:rPr>
        <w:tab/>
      </w:r>
      <w:r w:rsidR="00AD580C">
        <w:t>Systematický prehľad</w:t>
      </w:r>
      <w:r>
        <w:t xml:space="preserve"> bude pozostávať zo zhromaždenia</w:t>
      </w:r>
      <w:r w:rsidR="00AD580C">
        <w:t xml:space="preserve"> a analýzy</w:t>
      </w:r>
      <w:r>
        <w:t xml:space="preserve"> dostupnej literatúry v danej oblasti, s dôrazom na databázu </w:t>
      </w:r>
      <w:r w:rsidRPr="002D5277">
        <w:rPr>
          <w:i/>
          <w:iCs/>
        </w:rPr>
        <w:t>Web of Science Core Collection</w:t>
      </w:r>
      <w:r w:rsidR="00AD580C">
        <w:t xml:space="preserve">. </w:t>
      </w:r>
      <w:r w:rsidR="002D5277">
        <w:t>Výber bude sústredený primárne na články v anglickom jazyku za posledn</w:t>
      </w:r>
      <w:r w:rsidR="00AD580C">
        <w:t>ých</w:t>
      </w:r>
      <w:r w:rsidR="002D5277">
        <w:t xml:space="preserve"> </w:t>
      </w:r>
      <w:r w:rsidR="00AD580C">
        <w:t>6</w:t>
      </w:r>
      <w:r w:rsidR="002D5277">
        <w:t xml:space="preserve"> rok</w:t>
      </w:r>
      <w:r w:rsidR="00AD580C">
        <w:t>ov</w:t>
      </w:r>
      <w:r w:rsidR="002D5277">
        <w:t xml:space="preserve"> s kritériami volatilita, </w:t>
      </w:r>
      <w:r w:rsidR="002D5277" w:rsidRPr="0019382D">
        <w:rPr>
          <w:i/>
          <w:iCs/>
        </w:rPr>
        <w:t>COVID-19</w:t>
      </w:r>
      <w:r w:rsidR="002D5277">
        <w:t>, akciové trhy</w:t>
      </w:r>
      <w:r w:rsidR="00AD580C">
        <w:t>, ekonometrické modely a metódy umelej inteligencie.</w:t>
      </w:r>
      <w:r w:rsidR="005F3AEA">
        <w:t xml:space="preserve"> </w:t>
      </w:r>
      <w:r w:rsidR="00AD580C">
        <w:t>Postup</w:t>
      </w:r>
      <w:r w:rsidR="005F3AEA">
        <w:t xml:space="preserve"> </w:t>
      </w:r>
      <w:r w:rsidR="00AD580C">
        <w:t>analýzy</w:t>
      </w:r>
      <w:r w:rsidR="005F3AEA">
        <w:t>, ako aj samotného výberu relevantnej literatúry</w:t>
      </w:r>
      <w:r w:rsidR="00AD580C">
        <w:t>,</w:t>
      </w:r>
      <w:r w:rsidR="005F3AEA">
        <w:t xml:space="preserve"> je popísaný v diagrame </w:t>
      </w:r>
      <w:r w:rsidR="005F3AEA">
        <w:rPr>
          <w:lang w:val="en-US"/>
        </w:rPr>
        <w:t>(</w:t>
      </w:r>
      <w:r w:rsidR="005F3AEA" w:rsidRPr="005F3AEA">
        <w:rPr>
          <w:i/>
          <w:iCs/>
          <w:lang w:val="en-US"/>
        </w:rPr>
        <w:t>Obr</w:t>
      </w:r>
      <w:r w:rsidR="005F3AEA" w:rsidRPr="005F3AEA">
        <w:rPr>
          <w:i/>
          <w:iCs/>
        </w:rPr>
        <w:t>ázok 1</w:t>
      </w:r>
      <w:r w:rsidR="005F3AEA">
        <w:rPr>
          <w:lang w:val="en-US"/>
        </w:rPr>
        <w:t>).</w:t>
      </w:r>
    </w:p>
    <w:p w14:paraId="6A6E1D29" w14:textId="7F877C8A" w:rsidR="00DE3A0B" w:rsidRPr="0019382D" w:rsidRDefault="00B214F5" w:rsidP="001938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42D9D9" wp14:editId="0BC1BA6A">
            <wp:extent cx="5762625" cy="3209925"/>
            <wp:effectExtent l="0" t="0" r="9525" b="9525"/>
            <wp:docPr id="18799992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0B3A" w14:textId="2EF9BC24" w:rsidR="00D35F61" w:rsidRPr="005F3AEA" w:rsidRDefault="00DE3A0B" w:rsidP="00DE3A0B">
      <w:pPr>
        <w:pStyle w:val="Popis"/>
        <w:rPr>
          <w:sz w:val="22"/>
          <w:szCs w:val="22"/>
          <w:lang w:val="en-US"/>
        </w:rPr>
      </w:pPr>
      <w:r>
        <w:t xml:space="preserve">Obrázok </w:t>
      </w:r>
      <w:fldSimple w:instr=" SEQ Figure \* ARABIC ">
        <w:r>
          <w:rPr>
            <w:noProof/>
          </w:rPr>
          <w:t>1</w:t>
        </w:r>
      </w:fldSimple>
      <w:r>
        <w:t xml:space="preserve"> Postup analýzy súčasného stavu</w:t>
      </w:r>
      <w:r w:rsidR="00DD7F17">
        <w:t>.</w:t>
      </w:r>
      <w:r w:rsidR="00DD7F17">
        <w:rPr>
          <w:rStyle w:val="Odkaznapoznmkupodiarou"/>
        </w:rPr>
        <w:footnoteReference w:id="1"/>
      </w:r>
    </w:p>
    <w:sectPr w:rsidR="00D35F61" w:rsidRPr="005F3A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A476" w14:textId="77777777" w:rsidR="00C70E92" w:rsidRDefault="00C70E92" w:rsidP="00DD7F17">
      <w:pPr>
        <w:spacing w:after="0" w:line="240" w:lineRule="auto"/>
      </w:pPr>
      <w:r>
        <w:separator/>
      </w:r>
    </w:p>
  </w:endnote>
  <w:endnote w:type="continuationSeparator" w:id="0">
    <w:p w14:paraId="577621C0" w14:textId="77777777" w:rsidR="00C70E92" w:rsidRDefault="00C70E92" w:rsidP="00DD7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40F6" w14:textId="77777777" w:rsidR="00C70E92" w:rsidRDefault="00C70E92" w:rsidP="00DD7F17">
      <w:pPr>
        <w:spacing w:after="0" w:line="240" w:lineRule="auto"/>
      </w:pPr>
      <w:r>
        <w:separator/>
      </w:r>
    </w:p>
  </w:footnote>
  <w:footnote w:type="continuationSeparator" w:id="0">
    <w:p w14:paraId="19635FDE" w14:textId="77777777" w:rsidR="00C70E92" w:rsidRDefault="00C70E92" w:rsidP="00DD7F17">
      <w:pPr>
        <w:spacing w:after="0" w:line="240" w:lineRule="auto"/>
      </w:pPr>
      <w:r>
        <w:continuationSeparator/>
      </w:r>
    </w:p>
  </w:footnote>
  <w:footnote w:id="1">
    <w:p w14:paraId="3DB3823A" w14:textId="1C62F3EB" w:rsidR="00DD7F17" w:rsidRDefault="00DD7F17">
      <w:pPr>
        <w:pStyle w:val="Textpoznmkypodiarou"/>
      </w:pPr>
      <w:r>
        <w:rPr>
          <w:rStyle w:val="Odkaznapoznmkupodiarou"/>
        </w:rPr>
        <w:footnoteRef/>
      </w:r>
      <w:r>
        <w:t xml:space="preserve"> Zdroj</w:t>
      </w:r>
      <w:r w:rsidR="002D5277">
        <w:t xml:space="preserve"> Obrázok 1</w:t>
      </w:r>
      <w:r>
        <w:t>: Autor.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B7"/>
    <w:rsid w:val="00125206"/>
    <w:rsid w:val="0019382D"/>
    <w:rsid w:val="00210F20"/>
    <w:rsid w:val="002542A2"/>
    <w:rsid w:val="002C1D36"/>
    <w:rsid w:val="002C3428"/>
    <w:rsid w:val="002D5277"/>
    <w:rsid w:val="005B760D"/>
    <w:rsid w:val="005F3AEA"/>
    <w:rsid w:val="006C7E30"/>
    <w:rsid w:val="00A72B89"/>
    <w:rsid w:val="00A91DB7"/>
    <w:rsid w:val="00AD580C"/>
    <w:rsid w:val="00AD6BA5"/>
    <w:rsid w:val="00AF17A5"/>
    <w:rsid w:val="00B214F5"/>
    <w:rsid w:val="00C70E92"/>
    <w:rsid w:val="00CE4533"/>
    <w:rsid w:val="00D35F61"/>
    <w:rsid w:val="00D4685A"/>
    <w:rsid w:val="00DD7F17"/>
    <w:rsid w:val="00DE3A0B"/>
    <w:rsid w:val="00E54AC5"/>
    <w:rsid w:val="00E6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BA4A"/>
  <w15:chartTrackingRefBased/>
  <w15:docId w15:val="{6B805BA2-3043-4D30-A222-E7329839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9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9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91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9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91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91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91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91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91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91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91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91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91DB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91DB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91DB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91DB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91DB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91DB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91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9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91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91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91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91DB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91DB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91DB7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91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91DB7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91DB7"/>
    <w:rPr>
      <w:b/>
      <w:bCs/>
      <w:smallCaps/>
      <w:color w:val="2F5496" w:themeColor="accent1" w:themeShade="BF"/>
      <w:spacing w:val="5"/>
    </w:rPr>
  </w:style>
  <w:style w:type="paragraph" w:styleId="Popis">
    <w:name w:val="caption"/>
    <w:basedOn w:val="Normlny"/>
    <w:next w:val="Normlny"/>
    <w:uiPriority w:val="35"/>
    <w:unhideWhenUsed/>
    <w:qFormat/>
    <w:rsid w:val="00DE3A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DD7F17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DD7F17"/>
    <w:rPr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DD7F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202F9-FCB3-4E3B-A546-CF97DCCB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Lužák</dc:creator>
  <cp:keywords/>
  <dc:description/>
  <cp:lastModifiedBy>Matej Lužák</cp:lastModifiedBy>
  <cp:revision>5</cp:revision>
  <dcterms:created xsi:type="dcterms:W3CDTF">2026-06-28T10:54:00Z</dcterms:created>
  <dcterms:modified xsi:type="dcterms:W3CDTF">2026-06-30T21:26:00Z</dcterms:modified>
</cp:coreProperties>
</file>