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742F68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Types of IPv4 Addresses</w:t>
      </w:r>
    </w:p>
    <w:p w14:paraId="47C1E6F3">
      <w:pPr>
        <w:jc w:val="center"/>
        <w:rPr>
          <w:rFonts w:hint="default"/>
          <w:lang w:val="en-US"/>
        </w:rPr>
      </w:pPr>
    </w:p>
    <w:p w14:paraId="14F6FD5F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Public and Private IPv4 Addresses</w:t>
      </w:r>
    </w:p>
    <w:p w14:paraId="49411DBD">
      <w:pPr>
        <w:jc w:val="left"/>
        <w:rPr>
          <w:rFonts w:hint="default"/>
          <w:lang w:val="en-US"/>
        </w:rPr>
      </w:pPr>
    </w:p>
    <w:p w14:paraId="56F4557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Just as there are different  ways to transmit, there are also different typesof IPv4</w:t>
      </w:r>
    </w:p>
    <w:p w14:paraId="6BD10A19">
      <w:pPr>
        <w:jc w:val="left"/>
        <w:rPr>
          <w:rFonts w:hint="default"/>
          <w:lang w:val="en-US"/>
        </w:rPr>
      </w:pPr>
    </w:p>
    <w:p w14:paraId="2354C2DD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Public IPv4 addresses</w:t>
      </w:r>
    </w:p>
    <w:p w14:paraId="26FA22A6">
      <w:pPr>
        <w:jc w:val="left"/>
        <w:rPr>
          <w:rFonts w:hint="default"/>
          <w:b/>
          <w:bCs/>
          <w:color w:val="FF0000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 xml:space="preserve">Addresses which are globally routed between internet service provider (ISP)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routers</w:t>
      </w:r>
    </w:p>
    <w:p w14:paraId="026CAF0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057DF414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However, not all available IPv4 addresses can be used on the internet</w:t>
      </w:r>
    </w:p>
    <w:p w14:paraId="1BC0A2C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There are blocks of addresses called </w:t>
      </w:r>
      <w:r>
        <w:rPr>
          <w:rFonts w:hint="default"/>
          <w:highlight w:val="yellow"/>
          <w:lang w:val="en-US"/>
        </w:rPr>
        <w:t>private addresses</w:t>
      </w:r>
      <w:r>
        <w:rPr>
          <w:rFonts w:hint="default"/>
          <w:lang w:val="en-US"/>
        </w:rPr>
        <w:t xml:space="preserve"> that are </w:t>
      </w:r>
      <w:r>
        <w:rPr>
          <w:rFonts w:hint="default"/>
          <w:b/>
          <w:bCs/>
          <w:lang w:val="en-US"/>
        </w:rPr>
        <w:t xml:space="preserve">used by most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organizations to assign IPv4 addresses to internal host</w:t>
      </w:r>
      <w:r>
        <w:rPr>
          <w:rFonts w:hint="default"/>
          <w:lang w:val="en-US"/>
        </w:rPr>
        <w:t>s</w:t>
      </w:r>
    </w:p>
    <w:p w14:paraId="72D69FD9">
      <w:pPr>
        <w:ind w:left="720" w:leftChars="0" w:firstLine="720" w:firstLineChars="0"/>
        <w:jc w:val="left"/>
      </w:pPr>
      <w:r>
        <w:drawing>
          <wp:inline distT="0" distB="0" distL="114300" distR="114300">
            <wp:extent cx="3746500" cy="1753870"/>
            <wp:effectExtent l="0" t="0" r="635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34ECB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Note: Private addresses are defined in RFC 1918 and sometimes </w:t>
      </w:r>
    </w:p>
    <w:p w14:paraId="5BB53DE8">
      <w:pPr>
        <w:ind w:left="144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referred to as RFC 1918 address space.</w:t>
      </w:r>
    </w:p>
    <w:p w14:paraId="610C0018">
      <w:pPr>
        <w:jc w:val="left"/>
        <w:rPr>
          <w:rFonts w:hint="default"/>
          <w:lang w:val="en-US"/>
        </w:rPr>
      </w:pPr>
    </w:p>
    <w:p w14:paraId="1C829D1D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Routing to the internet</w:t>
      </w:r>
    </w:p>
    <w:p w14:paraId="6EC1D0E5">
      <w:pPr>
        <w:jc w:val="left"/>
        <w:rPr>
          <w:rFonts w:hint="default"/>
          <w:lang w:val="en-US"/>
        </w:rPr>
      </w:pPr>
    </w:p>
    <w:p w14:paraId="4994EA9A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Most internal networks, from large enterprises to home networks, use private IPv4 addresses for addressing all internal devices including hosts and routers</w:t>
      </w:r>
    </w:p>
    <w:p w14:paraId="6713ADE9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BUT private addresses are not globally routable</w:t>
      </w:r>
    </w:p>
    <w:p w14:paraId="485A95BA">
      <w:pPr>
        <w:jc w:val="left"/>
        <w:rPr>
          <w:rFonts w:hint="default"/>
          <w:lang w:val="en-US"/>
        </w:rPr>
      </w:pPr>
    </w:p>
    <w:p w14:paraId="0798290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In the figure, customer networks 1,2,3 </w:t>
      </w:r>
    </w:p>
    <w:p w14:paraId="5BC43D94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are sending packets outside their internal networks</w:t>
      </w:r>
    </w:p>
    <w:p w14:paraId="21803CF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These packets have a source IPv4 address that is a private address and a destination IPv4 address that is public. </w:t>
      </w:r>
    </w:p>
    <w:p w14:paraId="4FC3D5A6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Packets with a private address must be filtered (discarded) or translated to a public address before forwarding the packet to an ISP</w:t>
      </w:r>
    </w:p>
    <w:p w14:paraId="477EDBF4">
      <w:pPr>
        <w:ind w:firstLine="720" w:firstLine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4253865" cy="2735580"/>
            <wp:effectExtent l="0" t="0" r="133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76F5E">
      <w:pPr>
        <w:jc w:val="left"/>
        <w:rPr>
          <w:rFonts w:hint="default"/>
          <w:b/>
          <w:bCs/>
          <w:color w:val="FF0000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Before the ISP can forward this packet, it must translate the source IPv4 address to a public one using network address translation (NAT)</w:t>
      </w:r>
    </w:p>
    <w:p w14:paraId="27772CDC">
      <w:pPr>
        <w:jc w:val="left"/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NAT is used to translate between private and public IPv4 addresses and is usually done on the router that connects the internal network to the ISP network</w:t>
      </w:r>
    </w:p>
    <w:p w14:paraId="6EA02FC2">
      <w:pPr>
        <w:jc w:val="left"/>
        <w:rPr>
          <w:rFonts w:hint="default"/>
          <w:lang w:val="en-US"/>
        </w:rPr>
      </w:pPr>
    </w:p>
    <w:p w14:paraId="42251F5C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Special use IPv4 addresses</w:t>
      </w:r>
    </w:p>
    <w:p w14:paraId="19BFCF3D">
      <w:pPr>
        <w:jc w:val="left"/>
        <w:rPr>
          <w:rFonts w:hint="default"/>
          <w:lang w:val="en-US"/>
        </w:rPr>
      </w:pPr>
    </w:p>
    <w:p w14:paraId="4058492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There are special addresses, such as the network address and broadcast address, that cannot be assignet to hosts.</w:t>
      </w:r>
    </w:p>
    <w:p w14:paraId="025C0E2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There are also special addresses that can be assigned to hosts, but with restrictions on how those hosts can interact within the network</w:t>
      </w:r>
    </w:p>
    <w:p w14:paraId="775B28EF">
      <w:pPr>
        <w:jc w:val="left"/>
        <w:rPr>
          <w:rFonts w:hint="default"/>
          <w:lang w:val="en-US"/>
        </w:rPr>
      </w:pPr>
    </w:p>
    <w:p w14:paraId="58F3262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Loopback addresses</w:t>
      </w:r>
    </w:p>
    <w:p w14:paraId="0E698CB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196F2D7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(127.0.0.0 /8 or 127.0.0.1 to 127.255.255.254)</w:t>
      </w:r>
    </w:p>
    <w:p w14:paraId="45D8561C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Are more </w:t>
      </w:r>
      <w:r>
        <w:rPr>
          <w:rFonts w:hint="default"/>
          <w:b/>
          <w:bCs/>
          <w:lang w:val="en-US"/>
        </w:rPr>
        <w:t>commonly identified as only 127.0.0.1</w:t>
      </w:r>
    </w:p>
    <w:p w14:paraId="4E970E2C">
      <w:pPr>
        <w:jc w:val="left"/>
        <w:rPr>
          <w:rFonts w:hint="default"/>
          <w:b/>
          <w:bCs/>
          <w:color w:val="00B050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They are used by a host to direct traffic to itself</w:t>
      </w:r>
    </w:p>
    <w:p w14:paraId="29DFE4BC">
      <w:pPr>
        <w:jc w:val="left"/>
        <w:rPr>
          <w:rFonts w:hint="default"/>
          <w:lang w:val="en-US"/>
        </w:rPr>
      </w:pPr>
    </w:p>
    <w:p w14:paraId="04DBB4D5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Link-local addresses</w:t>
      </w:r>
    </w:p>
    <w:p w14:paraId="4C5A75DD">
      <w:pPr>
        <w:jc w:val="left"/>
        <w:rPr>
          <w:rFonts w:hint="default"/>
          <w:lang w:val="en-US"/>
        </w:rPr>
      </w:pPr>
    </w:p>
    <w:p w14:paraId="7FB5B9D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(169.254.0.0 /16 or 169.254.0.1 to 169.254.255.254)</w:t>
      </w:r>
    </w:p>
    <w:p w14:paraId="5570F6D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Commonly known as Automatic Private IP addressing (APIPA) addresses</w:t>
      </w:r>
      <w:r>
        <w:rPr>
          <w:rFonts w:hint="default"/>
          <w:lang w:val="en-US"/>
        </w:rPr>
        <w:t xml:space="preserve"> </w:t>
      </w:r>
    </w:p>
    <w:p w14:paraId="6F9E94BE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or self-assigned addresses</w:t>
      </w:r>
    </w:p>
    <w:p w14:paraId="6E547A0C">
      <w:pPr>
        <w:jc w:val="left"/>
        <w:rPr>
          <w:rFonts w:hint="default"/>
          <w:b/>
          <w:bCs/>
          <w:color w:val="00B050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 xml:space="preserve">They are used by a windows client to self-configure in the event that the client </w:t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cannot obtain an IP addressing through other methods</w:t>
      </w:r>
    </w:p>
    <w:p w14:paraId="6DFCD1A5">
      <w:pPr>
        <w:jc w:val="left"/>
        <w:rPr>
          <w:rFonts w:hint="default"/>
          <w:b/>
          <w:bCs/>
          <w:color w:val="00B050"/>
          <w:lang w:val="en-US"/>
        </w:rPr>
      </w:pPr>
    </w:p>
    <w:p w14:paraId="71A8EBA5">
      <w:pPr>
        <w:jc w:val="left"/>
        <w:rPr>
          <w:rFonts w:hint="default"/>
          <w:b w:val="0"/>
          <w:bCs w:val="0"/>
          <w:color w:val="auto"/>
          <w:highlight w:val="green"/>
          <w:lang w:val="en-US"/>
        </w:rPr>
      </w:pPr>
      <w:r>
        <w:rPr>
          <w:rFonts w:hint="default"/>
          <w:b w:val="0"/>
          <w:bCs w:val="0"/>
          <w:color w:val="auto"/>
          <w:highlight w:val="green"/>
          <w:lang w:val="en-US"/>
        </w:rPr>
        <w:t>Legacy classful addressing</w:t>
      </w:r>
    </w:p>
    <w:p w14:paraId="091A3D7E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53228FA5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>1981 RFC 790 -- three classes A,B,C ant the classes were:</w:t>
      </w:r>
      <w:r>
        <w:rPr>
          <w:rFonts w:hint="default"/>
          <w:b w:val="0"/>
          <w:bCs w:val="0"/>
          <w:color w:val="auto"/>
          <w:lang w:val="en-US"/>
        </w:rPr>
        <w:br w:type="textWrapping"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>Class A (0.0.0.0/8 to 127.0.0.0/8)</w:t>
      </w:r>
    </w:p>
    <w:p w14:paraId="63BD4FC0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 xml:space="preserve">Designed to support extremely large networks with more than 16Mil host </w:t>
      </w: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>addresses</w:t>
      </w:r>
    </w:p>
    <w:p w14:paraId="098E3A74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>Class B (128.0.0.0/16 to 191.255.0.0/16)</w:t>
      </w:r>
    </w:p>
    <w:p w14:paraId="0837B6FE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>Designed to support the needs of moderate to large size networks</w:t>
      </w:r>
      <w:r>
        <w:rPr>
          <w:rFonts w:hint="default"/>
          <w:b w:val="0"/>
          <w:bCs w:val="0"/>
          <w:color w:val="auto"/>
          <w:lang w:val="en-US"/>
        </w:rPr>
        <w:br w:type="textWrapping"/>
      </w: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>about 65000 host addresses</w:t>
      </w:r>
    </w:p>
    <w:p w14:paraId="294EC08B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>Class C (192.0.0.0/24 to 223.255.255.0/24)</w:t>
      </w:r>
    </w:p>
    <w:p w14:paraId="32949057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>Designed to support small networks with a maximum of 254 hosts</w:t>
      </w:r>
    </w:p>
    <w:p w14:paraId="06AF0C22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</w:p>
    <w:p w14:paraId="6A2F1760">
      <w:pPr>
        <w:ind w:firstLine="720" w:firstLineChars="0"/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There is also a Class D multicast block consisting of 224.0.0.0 to 239.0.0.0 and a </w:t>
      </w:r>
      <w:r>
        <w:rPr>
          <w:rFonts w:hint="default"/>
          <w:b w:val="0"/>
          <w:bCs w:val="0"/>
          <w:color w:val="auto"/>
          <w:lang w:val="en-US"/>
        </w:rPr>
        <w:tab/>
        <w:t xml:space="preserve">Class E </w:t>
      </w:r>
      <w:r>
        <w:rPr>
          <w:rFonts w:hint="default"/>
          <w:b w:val="0"/>
          <w:bCs w:val="0"/>
          <w:color w:val="auto"/>
          <w:lang w:val="en-US"/>
        </w:rPr>
        <w:tab/>
        <w:t>experimental address block consisting of 240.0.0.0 - 255.0.0.0.</w:t>
      </w:r>
    </w:p>
    <w:p w14:paraId="19879AE4">
      <w:pPr>
        <w:ind w:firstLine="720" w:firstLineChars="0"/>
        <w:jc w:val="left"/>
        <w:rPr>
          <w:rFonts w:hint="default"/>
          <w:b w:val="0"/>
          <w:bCs w:val="0"/>
          <w:color w:val="auto"/>
          <w:lang w:val="en-US"/>
        </w:rPr>
      </w:pPr>
      <w:r>
        <w:drawing>
          <wp:inline distT="0" distB="0" distL="114300" distR="114300">
            <wp:extent cx="4288155" cy="2608580"/>
            <wp:effectExtent l="0" t="0" r="17145" b="127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8155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A88B0">
      <w:pPr>
        <w:jc w:val="left"/>
        <w:rPr>
          <w:rFonts w:hint="default"/>
          <w:b w:val="0"/>
          <w:bCs w:val="0"/>
          <w:color w:val="auto"/>
          <w:highlight w:val="green"/>
          <w:lang w:val="en-US"/>
        </w:rPr>
      </w:pPr>
      <w:r>
        <w:rPr>
          <w:rFonts w:hint="default"/>
          <w:b w:val="0"/>
          <w:bCs w:val="0"/>
          <w:color w:val="auto"/>
          <w:highlight w:val="green"/>
          <w:lang w:val="en-US"/>
        </w:rPr>
        <w:t>Assignment of IP addresses</w:t>
      </w:r>
    </w:p>
    <w:p w14:paraId="1363CDF4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7137DBE5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  <w:t>Public IPv4 addresses are addresses which are globally routed over the internet</w:t>
      </w:r>
      <w:r>
        <w:rPr>
          <w:rFonts w:hint="default"/>
          <w:b w:val="0"/>
          <w:bCs w:val="0"/>
          <w:color w:val="auto"/>
          <w:lang w:val="en-US"/>
        </w:rPr>
        <w:br w:type="textWrapping"/>
      </w:r>
      <w:r>
        <w:rPr>
          <w:rFonts w:hint="default"/>
          <w:b w:val="0"/>
          <w:bCs w:val="0"/>
          <w:color w:val="auto"/>
          <w:lang w:val="en-US"/>
        </w:rPr>
        <w:tab/>
        <w:t>and must be unique</w:t>
      </w:r>
    </w:p>
    <w:p w14:paraId="3CFC04A6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57CC0BC1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  <w:t>Both IPv4 and IPv6 addresses are managed by the internet assigned numbers authority (IANA)</w:t>
      </w:r>
    </w:p>
    <w:p w14:paraId="7BA6A506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>They allocate blocks of IP addresses to the regional internet registry (RIRs)</w:t>
      </w:r>
    </w:p>
    <w:p w14:paraId="3B913960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5608D752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  <w:t xml:space="preserve">RIRs are responsible for allocating IP addresses to ISPs who provide IPv4 address blocks to </w:t>
      </w:r>
      <w:r>
        <w:rPr>
          <w:rFonts w:hint="default"/>
          <w:b w:val="0"/>
          <w:bCs w:val="0"/>
          <w:color w:val="auto"/>
          <w:lang w:val="en-US"/>
        </w:rPr>
        <w:tab/>
        <w:t xml:space="preserve">organizations and smaller ISPs </w:t>
      </w:r>
    </w:p>
    <w:p w14:paraId="1F86D193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drawing>
          <wp:inline distT="0" distB="0" distL="114300" distR="114300">
            <wp:extent cx="5272405" cy="2534920"/>
            <wp:effectExtent l="0" t="0" r="4445" b="1778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C54AE3"/>
    <w:rsid w:val="4D7C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2024-10-30T10:59:00Z</dcterms:created>
  <dc:creator>Mr.M</dc:creator>
  <cp:lastModifiedBy>Mr.M</cp:lastModifiedBy>
  <dcterms:modified xsi:type="dcterms:W3CDTF">2024-10-30T12:44:36Z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ED7F544AE0974338AB7101CCF78DA3B8_12</vt:lpwstr>
  </property>
</Properties>
</file>