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0.jpeg" ContentType="image/jpeg"/>
  <Override PartName="/word/media/image7.jpeg" ContentType="image/jpe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1.jpeg" ContentType="image/jpeg"/>
  <Override PartName="/word/media/image6.jpeg" ContentType="image/jpeg"/>
  <Override PartName="/word/media/image1.png" ContentType="image/png"/>
  <Override PartName="/word/media/image13.jpeg" ContentType="image/jpeg"/>
  <Override PartName="/word/media/image4.png" ContentType="image/png"/>
  <Override PartName="/word/media/image5.png" ContentType="image/png"/>
  <Override PartName="/word/media/image27.jpeg" ContentType="image/jpeg"/>
  <Override PartName="/word/media/image26.png" ContentType="image/png"/>
  <Override PartName="/word/media/image17.jpeg" ContentType="image/jpeg"/>
  <Override PartName="/word/media/image25.jpeg" ContentType="image/jpeg"/>
  <Override PartName="/word/media/image24.jpeg" ContentType="image/jpeg"/>
  <Override PartName="/word/media/image21.jpeg" ContentType="image/jpeg"/>
  <Override PartName="/word/media/image19.jpeg" ContentType="image/jpeg"/>
  <Override PartName="/word/media/image16.jpeg" ContentType="image/jpeg"/>
  <Override PartName="/word/media/image15.png" ContentType="image/png"/>
  <Override PartName="/word/media/image23.png" ContentType="image/png"/>
  <Override PartName="/word/media/image14.jpeg" ContentType="image/jpeg"/>
  <Override PartName="/word/media/image22.jpeg" ContentType="image/jpe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/>
          <w:caps/>
          <w:kern w:val="0"/>
          <w:sz w:val="28"/>
          <w:szCs w:val="28"/>
          <w:lang w:eastAsia="ru-RU" w:bidi="ar-SA"/>
        </w:rPr>
      </w:pPr>
      <w:r>
        <w:rPr>
          <w:b/>
          <w:caps/>
          <w:sz w:val="28"/>
          <w:szCs w:val="28"/>
        </w:rPr>
        <w:t>МИНОБРНАУКИ РОССИИ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 И. Ульянова (Ленина)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Кафедра ТОР</w:t>
      </w:r>
    </w:p>
    <w:p>
      <w:pPr>
        <w:pStyle w:val="Normal"/>
        <w:spacing w:lineRule="auto" w:line="360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Times1421"/>
        <w:spacing w:lineRule="auto" w:line="360"/>
        <w:ind w:hanging="0"/>
        <w:jc w:val="center"/>
        <w:rPr>
          <w:rStyle w:val="BookTitle"/>
          <w:caps/>
          <w:lang w:val="ru-RU"/>
        </w:rPr>
      </w:pPr>
      <w:r>
        <w:rPr>
          <w:rStyle w:val="BookTitle"/>
          <w:caps/>
          <w:szCs w:val="28"/>
          <w:lang w:val="ru-RU"/>
        </w:rPr>
        <w:t>отчЁт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b/>
          <w:sz w:val="28"/>
          <w:szCs w:val="28"/>
        </w:rPr>
        <w:t>по лабораторной работе №2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 дисциплине «Радиотехнические цепи и сигналы»</w:t>
      </w:r>
    </w:p>
    <w:p>
      <w:pPr>
        <w:pStyle w:val="Normal"/>
        <w:spacing w:lineRule="auto" w:line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Тема: </w:t>
      </w:r>
      <w:r>
        <w:rPr>
          <w:b/>
          <w:bCs/>
          <w:sz w:val="28"/>
          <w:szCs w:val="28"/>
        </w:rPr>
        <w:t>ГАРМОНИЧЕСКИЙ СИНТЕЗ СИГНАЛОВ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Calibri" w:hAnsi="Calibri" w:asciiTheme="minorHAnsi" w:hAnsiTheme="minorHAnsi"/>
          <w:sz w:val="28"/>
          <w:szCs w:val="28"/>
        </w:rPr>
      </w:pPr>
      <w:r>
        <w:rPr>
          <w:rFonts w:asciiTheme="minorHAnsi" w:hAnsiTheme="minorHAnsi" w:ascii="Calibri" w:hAnsi="Calibri"/>
          <w:sz w:val="28"/>
          <w:szCs w:val="28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128"/>
        <w:gridCol w:w="2476"/>
        <w:gridCol w:w="2751"/>
      </w:tblGrid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 xml:space="preserve">Студенты гр.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3114</w:t>
            </w:r>
          </w:p>
        </w:tc>
        <w:tc>
          <w:tcPr>
            <w:tcW w:w="2476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color w:val="000000"/>
                <w:sz w:val="28"/>
                <w:szCs w:val="28"/>
                <w:lang w:val="ru-RU"/>
              </w:rPr>
              <w:t>Злобин М. А.</w:t>
            </w:r>
          </w:p>
        </w:tc>
      </w:tr>
      <w:tr>
        <w:trPr>
          <w:trHeight w:val="614" w:hRule="atLeast"/>
        </w:trPr>
        <w:tc>
          <w:tcPr>
            <w:tcW w:w="4128" w:type="dxa"/>
            <w:tcBorders/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Преподаватель</w:t>
            </w:r>
          </w:p>
        </w:tc>
        <w:tc>
          <w:tcPr>
            <w:tcW w:w="247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</w:r>
          </w:p>
        </w:tc>
        <w:tc>
          <w:tcPr>
            <w:tcW w:w="2751" w:type="dxa"/>
            <w:tcBorders/>
            <w:vAlign w:val="bottom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/>
            </w:r>
          </w:p>
        </w:tc>
      </w:tr>
    </w:tbl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Санкт-Петербург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>
        <w:rPr>
          <w:rFonts w:cs="Times New Roman" w:ascii="Times New Roman" w:hAnsi="Times New Roman"/>
          <w:bCs/>
          <w:sz w:val="28"/>
          <w:szCs w:val="28"/>
        </w:rPr>
        <w:t>202</w:t>
      </w:r>
      <w:r>
        <w:rPr>
          <w:rFonts w:cs="Times New Roman" w:ascii="Times New Roman" w:hAnsi="Times New Roman"/>
          <w:bCs/>
          <w:sz w:val="28"/>
          <w:szCs w:val="28"/>
        </w:rPr>
        <w:t>5</w:t>
      </w:r>
    </w:p>
    <w:p>
      <w:pPr>
        <w:pStyle w:val="Normal"/>
        <w:spacing w:lineRule="auto" w:line="360"/>
        <w:rPr>
          <w:rFonts w:ascii="Calibri" w:hAnsi="Calibri" w:asciiTheme="minorHAnsi" w:hAnsiTheme="minorHAnsi"/>
          <w:b/>
          <w:sz w:val="28"/>
          <w:szCs w:val="28"/>
        </w:rPr>
      </w:pPr>
      <w:r>
        <w:rPr>
          <w:b/>
          <w:sz w:val="28"/>
          <w:szCs w:val="28"/>
        </w:rPr>
        <w:tab/>
        <w:t xml:space="preserve">Цель работы: </w:t>
      </w:r>
      <w:r>
        <w:rPr>
          <w:rFonts w:cs="Times New Roman" w:ascii="Times New Roman" w:hAnsi="Times New Roman"/>
          <w:bCs/>
          <w:sz w:val="28"/>
          <w:szCs w:val="28"/>
        </w:rPr>
        <w:t>изучение процедуры синтеза периодических сигналов с</w:t>
      </w:r>
    </w:p>
    <w:p>
      <w:pPr>
        <w:pStyle w:val="Normal"/>
        <w:spacing w:lineRule="auto" w:line="36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помощью ограниченного числа гармонических колебаний.</w:t>
      </w:r>
    </w:p>
    <w:p>
      <w:pPr>
        <w:pStyle w:val="Normal"/>
        <w:spacing w:lineRule="auto" w:line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ab/>
        <w:t>Схема установки:</w:t>
      </w:r>
    </w:p>
    <w:p>
      <w:pPr>
        <w:pStyle w:val="Normal"/>
        <w:spacing w:lineRule="auto" w:line="360"/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Лабораторная установка реализована в виде компьютерной программы, позволяющей синтезировать произвольные периодические сигналы из 12 гармоник посредством задания их амплитуд и начальных фаз. </w:t>
      </w:r>
    </w:p>
    <w:p>
      <w:pPr>
        <w:pStyle w:val="Normal"/>
        <w:suppressAutoHyphens w:val="false"/>
        <w:spacing w:lineRule="auto" w:line="360" w:before="0" w:after="16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Обработка результатов эксперимента.</w:t>
      </w:r>
    </w:p>
    <w:p>
      <w:pPr>
        <w:pStyle w:val="ListParagraph"/>
        <w:numPr>
          <w:ilvl w:val="0"/>
          <w:numId w:val="1"/>
        </w:numPr>
        <w:suppressAutoHyphens w:val="false"/>
        <w:spacing w:lineRule="auto" w:line="360" w:before="0" w:after="160"/>
        <w:contextualSpacing/>
        <w:jc w:val="both"/>
        <w:rPr>
          <w:b/>
          <w:i/>
          <w:i/>
          <w:sz w:val="28"/>
          <w:szCs w:val="28"/>
        </w:rPr>
      </w:pPr>
      <w:r>
        <w:rPr>
          <w:rFonts w:cs="Times New Roman" w:ascii="Times New Roman" w:hAnsi="Times New Roman"/>
          <w:bCs/>
          <w:i/>
          <w:sz w:val="28"/>
          <w:szCs w:val="28"/>
        </w:rPr>
        <w:t xml:space="preserve"> </w:t>
      </w:r>
      <w:r>
        <w:rPr>
          <w:rFonts w:cs="Times New Roman" w:ascii="Times New Roman" w:hAnsi="Times New Roman"/>
          <w:bCs/>
          <w:i/>
          <w:sz w:val="28"/>
          <w:szCs w:val="28"/>
        </w:rPr>
        <w:t>Периодическое колебание прямоугольной формы (меандр).</w:t>
      </w:r>
    </w:p>
    <w:p>
      <w:pPr>
        <w:pStyle w:val="ListParagraph"/>
        <w:spacing w:lineRule="auto" w:line="360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Разложение в ряд Фурье импульса типа меандр: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>
          <w:trHeight w:val="1376" w:hRule="atLeast"/>
        </w:trPr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i/>
                <w:sz w:val="28"/>
                <w:szCs w:val="28"/>
                <w:lang w:val="ru-RU"/>
              </w:rPr>
            </w:r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π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5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…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 xml:space="preserve">где Е = 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100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(1)</w:t>
            </w:r>
          </w:p>
        </w:tc>
      </w:tr>
    </w:tbl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Разложение в ряд Фурье для импульса типа меандр, который синтезировался в работе: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/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33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r>
                      <w:rPr>
                        <w:rFonts w:ascii="Cambria Math" w:hAnsi="Cambria Math"/>
                      </w:rPr>
                      <m:t xml:space="preserve">π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14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π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6,66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5,46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⁡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π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(2)</w:t>
            </w:r>
          </w:p>
        </w:tc>
      </w:tr>
    </w:tbl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Процесс синтеза меандра: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819650" cy="3286760"/>
            <wp:effectExtent l="0" t="0" r="0" b="0"/>
            <wp:docPr id="1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328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>Рис. 1.  1 гармоника меандра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914900" cy="3352165"/>
            <wp:effectExtent l="0" t="0" r="0" b="0"/>
            <wp:docPr id="2" name="Рисунок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5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3352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2. 3 гармоники меандра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924425" cy="3358515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358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3.  4 гармоники меандра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72025" cy="3254375"/>
            <wp:effectExtent l="0" t="0" r="0" b="0"/>
            <wp:docPr id="4" name="Рисунок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25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5. 5 гармоник меандра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4752975" cy="3241675"/>
            <wp:effectExtent l="0" t="0" r="0" b="0"/>
            <wp:docPr id="5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41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6. 6 гармоник меандра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  <w:t>Графики амплитудного и фазового спектров последовательности импульсов типа меандр: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2784475" cy="2197735"/>
            <wp:effectExtent l="0" t="0" r="0" b="0"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219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drawing>
          <wp:inline distT="0" distB="0" distL="0" distR="0">
            <wp:extent cx="2769235" cy="2185670"/>
            <wp:effectExtent l="0" t="0" r="0" b="0"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2185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7. Амплитудный (слева) и фазовый спектры меандра</w:t>
      </w:r>
    </w:p>
    <w:p>
      <w:pPr>
        <w:pStyle w:val="Normal"/>
        <w:suppressAutoHyphens w:val="false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Периодическое колебание пилообразной формы.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Разложение в ряд Фурье периодического колебания пилообразной формы: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/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2</m:t>
                    </m:r>
                    <m:r>
                      <w:rPr>
                        <w:rFonts w:ascii="Cambria Math" w:hAnsi="Cambria Math"/>
                      </w:rPr>
                      <m:t xml:space="preserve">E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π</m:t>
                    </m:r>
                  </m:den>
                </m:f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sin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…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  <w:p>
            <w:pPr>
              <w:pStyle w:val="Normal"/>
              <w:widowControl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 xml:space="preserve">где 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en-US"/>
              </w:rPr>
              <w:t>E=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60.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(3)</w:t>
            </w:r>
          </w:p>
        </w:tc>
      </w:tr>
    </w:tbl>
    <w:p>
      <w:pPr>
        <w:pStyle w:val="ListParagraph"/>
        <w:spacing w:lineRule="auto" w:line="360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для периодического колебания пилообразной формы, которое синтезировалось в работе: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/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30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12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8,57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7,5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6,66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6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5,45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</m:e>
                </m:d>
              </m:oMath>
            </m:oMathPara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(4)</w:t>
            </w:r>
          </w:p>
        </w:tc>
      </w:tr>
    </w:tbl>
    <w:p>
      <w:pPr>
        <w:pStyle w:val="ListParagraph"/>
        <w:spacing w:lineRule="auto" w:line="360"/>
        <w:ind w:firstLine="567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Подробное получение этой формулы</w:t>
      </w:r>
      <w:r>
        <w:rPr>
          <w:rFonts w:cs="Times New Roman" w:ascii="Times New Roman" w:hAnsi="Times New Roman"/>
          <w:sz w:val="28"/>
          <w:szCs w:val="28"/>
          <w:lang w:val="en-US"/>
        </w:rPr>
        <w:t>:</w:t>
      </w:r>
    </w:p>
    <w:p>
      <w:pPr>
        <w:pStyle w:val="ListParagraph"/>
        <w:keepNext w:val="true"/>
        <w:spacing w:lineRule="auto" w:line="360"/>
        <w:ind w:firstLine="709" w:left="0"/>
        <w:jc w:val="center"/>
        <w:rPr/>
      </w:pPr>
      <w:r>
        <w:rPr/>
        <w:drawing>
          <wp:inline distT="0" distB="0" distL="0" distR="0">
            <wp:extent cx="3001010" cy="1457325"/>
            <wp:effectExtent l="0" t="0" r="0" b="0"/>
            <wp:docPr id="8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1010" cy="1457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rPr>
          <w:rFonts w:ascii="Times New Roman" w:hAnsi="Times New Roman" w:cs="Times New Roman"/>
          <w:i w:val="false"/>
          <w:i w:val="false"/>
          <w:color w:themeColor="text2" w:val="auto"/>
          <w:sz w:val="40"/>
          <w:szCs w:val="28"/>
        </w:rPr>
      </w:pPr>
      <w:r>
        <w:rPr>
          <w:rFonts w:cs="Times New Roman" w:ascii="Times New Roman" w:hAnsi="Times New Roman"/>
          <w:i w:val="false"/>
          <w:color w:val="auto"/>
          <w:sz w:val="24"/>
        </w:rPr>
        <w:t xml:space="preserve">Рисунок </w:t>
      </w:r>
      <w:r>
        <w:rPr>
          <w:rFonts w:cs="Times New Roman" w:ascii="Times New Roman" w:hAnsi="Times New Roman"/>
          <w:i w:val="false"/>
          <w:color w:val="auto"/>
          <w:sz w:val="24"/>
        </w:rPr>
        <w:fldChar w:fldCharType="begin"/>
      </w:r>
      <w:r>
        <w:rPr>
          <w:sz w:val="24"/>
          <w:i w:val="false"/>
          <w:rFonts w:cs="Times New Roman" w:ascii="Times New Roman" w:hAnsi="Times New Roman"/>
          <w:color w:val="auto"/>
        </w:rPr>
        <w:instrText xml:space="preserve"> SEQ Рисунок \* ARABIC </w:instrText>
      </w:r>
      <w:r>
        <w:rPr>
          <w:sz w:val="24"/>
          <w:i w:val="false"/>
          <w:rFonts w:cs="Times New Roman" w:ascii="Times New Roman" w:hAnsi="Times New Roman"/>
          <w:color w:val="auto"/>
        </w:rPr>
        <w:fldChar w:fldCharType="separate"/>
      </w:r>
      <w:r>
        <w:rPr>
          <w:sz w:val="24"/>
          <w:i w:val="false"/>
          <w:rFonts w:cs="Times New Roman" w:ascii="Times New Roman" w:hAnsi="Times New Roman"/>
          <w:color w:val="auto"/>
        </w:rPr>
        <w:t>1</w:t>
      </w:r>
      <w:r>
        <w:rPr>
          <w:sz w:val="24"/>
          <w:i w:val="false"/>
          <w:rFonts w:cs="Times New Roman" w:ascii="Times New Roman" w:hAnsi="Times New Roman"/>
          <w:color w:val="auto"/>
        </w:rPr>
        <w:fldChar w:fldCharType="end"/>
      </w:r>
      <w:r>
        <w:rPr>
          <w:rFonts w:cs="Times New Roman" w:ascii="Times New Roman" w:hAnsi="Times New Roman"/>
          <w:i w:val="false"/>
          <w:color w:val="auto"/>
          <w:sz w:val="24"/>
        </w:rPr>
        <w:t>. Периодическое колебание пилообразной формы.</w:t>
      </w:r>
    </w:p>
    <w:p>
      <w:pPr>
        <w:pStyle w:val="Normal"/>
        <w:ind w:right="-185"/>
        <w:jc w:val="left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π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r>
                    <w:rPr>
                      <w:rFonts w:ascii="Cambria Math" w:hAnsi="Cambria Math"/>
                    </w:rPr>
                    <m:t xml:space="preserve">⁡</m:t>
                  </m:r>
                  <m:r>
                    <w:rPr>
                      <w:rFonts w:ascii="Cambria Math" w:hAnsi="Cambria Math"/>
                    </w:rPr>
                    <m:t xml:space="preserve">(</m:t>
                  </m:r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nt</m:t>
                  </m:r>
                  <m:r>
                    <w:rPr>
                      <w:rFonts w:ascii="Cambria Math" w:hAnsi="Cambria Math"/>
                    </w:rPr>
                    <m:t xml:space="preserve">)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+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где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πn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T</m:t>
          </m:r>
          <m:r>
            <w:rPr>
              <w:rFonts w:ascii="Cambria Math" w:hAnsi="Cambria Math"/>
            </w:rPr>
            <m:t xml:space="preserve">∈</m:t>
          </m:r>
          <m:d>
            <m:dPr>
              <m:begChr m:val="["/>
              <m:endChr m:val="]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;</m:t>
              </m:r>
              <m:f>
                <m:num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d>
        </m:oMath>
      </m:oMathPara>
    </w:p>
    <w:p>
      <w:pPr>
        <w:pStyle w:val="Normal"/>
        <w:ind w:right="-185"/>
        <w:jc w:val="left"/>
        <w:rPr>
          <w:rFonts w:eastAsia="" w:eastAsiaTheme="minorEastAsia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b>
            <m:sup>
              <m:f>
                <m:num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nary>
                <m:naryPr>
                  <m:chr m:val="∫"/>
                </m:naryPr>
                <m: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b>
                <m:sup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</w:rPr>
                    <m:t xml:space="preserve">dt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nary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b>
            <m:sup>
              <m:f>
                <m:num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hAnsi="Cambria Math"/>
                </w:rPr>
                <m:t xml:space="preserve">cos</m:t>
              </m:r>
              <m:r>
                <w:rPr>
                  <w:rFonts w:ascii="Cambria Math" w:hAnsi="Cambria Math"/>
                </w:rPr>
                <m:t xml:space="preserve">⁡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nary>
                <m:naryPr>
                  <m:chr m:val="∫"/>
                </m:naryPr>
                <m: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b>
                <m:sup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dt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</m:e>
              </m:nary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f>
            <m:num>
              <m:r>
                <w:rPr>
                  <w:rFonts w:ascii="Cambria Math" w:hAnsi="Cambria Math"/>
                </w:rPr>
                <m:t xml:space="preserve">2</m:t>
              </m:r>
            </m:num>
            <m:den>
              <m:r>
                <w:rPr>
                  <w:rFonts w:ascii="Cambria Math" w:hAnsi="Cambria Math"/>
                </w:rPr>
                <m:t xml:space="preserve">T</m:t>
              </m:r>
            </m:den>
          </m:f>
          <m:nary>
            <m:naryPr>
              <m:chr m:val="∫"/>
            </m:naryPr>
            <m:sub>
              <m:r>
                <w:rPr>
                  <w:rFonts w:ascii="Cambria Math" w:hAnsi="Cambria Math"/>
                </w:rPr>
                <m:t xml:space="preserve">0</m:t>
              </m:r>
            </m:sub>
            <m:sup>
              <m:r>
                <w:rPr>
                  <w:rFonts w:ascii="Cambria Math" w:hAnsi="Cambria Math"/>
                </w:rPr>
                <m:t xml:space="preserve">T</m:t>
              </m:r>
            </m:sup>
            <m:e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4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den>
              </m:f>
              <m:nary>
                <m:naryPr>
                  <m:chr m:val="∫"/>
                </m:naryPr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T</m:t>
                  </m:r>
                </m:sup>
                <m:e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dt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f>
                    <m:num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4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E</m:t>
                          </m:r>
                        </m:num>
                        <m:den>
                          <m:sSup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∗</m:t>
                      </m:r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r>
                        <w:rPr>
                          <w:rFonts w:ascii="Cambria Math" w:hAnsi="Cambria Math"/>
                        </w:rPr>
                        <m:t xml:space="preserve">⁡</m:t>
                      </m:r>
                      <m:r>
                        <w:rPr>
                          <w:rFonts w:ascii="Cambria Math" w:hAnsi="Cambria Math"/>
                        </w:rPr>
                        <m:t xml:space="preserve">(</m:t>
                      </m:r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)</m:t>
                      </m:r>
                    </m:num>
                    <m:den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</m:den>
                  </m:f>
                </m:e>
              </m:nary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n</m:t>
              </m:r>
            </m:sub>
          </m:sSub>
          <m:r>
            <w:rPr>
              <w:rFonts w:ascii="Cambria Math" w:hAnsi="Cambria Math"/>
            </w:rPr>
            <m:t xml:space="preserve">=</m:t>
          </m:r>
          <m:nary>
            <m:naryPr>
              <m:chr m:val="∫"/>
            </m:naryPr>
            <m:sub>
              <m:f>
                <m:num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b>
            <m:sup>
              <m:f>
                <m:num>
                  <m:r>
                    <w:rPr>
                      <w:rFonts w:ascii="Cambria Math" w:hAnsi="Cambria Math"/>
                    </w:rPr>
                    <m:t xml:space="preserve">T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r>
                <w:rPr>
                  <w:rFonts w:ascii="Cambria Math" w:hAnsi="Cambria Math"/>
                </w:rPr>
                <m:t xml:space="preserve">sin</m:t>
              </m:r>
              <m:r>
                <w:rPr>
                  <w:rFonts w:ascii="Cambria Math" w:hAnsi="Cambria Math"/>
                </w:rPr>
                <m:t xml:space="preserve">⁡</m:t>
              </m:r>
              <m: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dt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2</m:t>
                  </m:r>
                  <m:r>
                    <w:rPr>
                      <w:rFonts w:ascii="Cambria Math" w:hAnsi="Cambria Math"/>
                    </w:rPr>
                    <m:t xml:space="preserve">E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T</m:t>
                  </m:r>
                </m:den>
              </m:f>
              <m:nary>
                <m:naryPr>
                  <m:chr m:val="∫"/>
                </m:naryPr>
                <m:sub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b>
                <m:sup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den>
                  </m:f>
                </m:sup>
                <m:e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dt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nary>
            </m:e>
          </m:nary>
        </m:oMath>
      </m:oMathPara>
    </w:p>
    <w:p>
      <w:pPr>
        <w:pStyle w:val="Normal"/>
        <w:ind w:right="-185"/>
        <w:jc w:val="left"/>
        <w:rPr>
          <w:rFonts w:eastAsia="" w:eastAsiaTheme="minorEastAsia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w:rPr>
              <w:rFonts w:ascii="Cambria Math" w:hAnsi="Cambria Math"/>
            </w:rPr>
            <m:t xml:space="preserve">S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f>
                <m:num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</w:rPr>
                    <m:t xml:space="preserve">∗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num>
                <m:den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nary>
                <m:naryPr>
                  <m:chr m:val="∑"/>
                </m:naryPr>
                <m:sub>
                  <m:r>
                    <w:rPr>
                      <w:rFonts w:ascii="Cambria Math" w:hAnsi="Cambria Math"/>
                    </w:rPr>
                    <m:t xml:space="preserve">n</m:t>
                  </m:r>
                  <m:r>
                    <w:rPr>
                      <w:rFonts w:ascii="Cambria Math" w:hAnsi="Cambria Math"/>
                    </w:rPr>
                    <m:t xml:space="preserve">=</m:t>
                  </m:r>
                  <m:r>
                    <w:rPr>
                      <w:rFonts w:ascii="Cambria Math" w:hAnsi="Cambria Math"/>
                    </w:rPr>
                    <m:t xml:space="preserve">1</m:t>
                  </m:r>
                </m:sub>
                <m:sup>
                  <m:r>
                    <w:rPr>
                      <w:rFonts w:ascii="Cambria Math" w:hAnsi="Cambria Math"/>
                    </w:rPr>
                    <m:t xml:space="preserve">∞</m:t>
                  </m:r>
                </m:sup>
                <m:e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4</m:t>
                      </m:r>
                      <m:r>
                        <w:rPr>
                          <w:rFonts w:ascii="Cambria Math" w:hAnsi="Cambria Math"/>
                        </w:rPr>
                        <m:t xml:space="preserve">E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</m:sup>
                      </m:sSup>
                    </m:den>
                  </m:f>
                  <m:f>
                    <m:num>
                      <m:r>
                        <w:rPr>
                          <w:rFonts w:ascii="Cambria Math" w:hAnsi="Cambria Math"/>
                        </w:rPr>
                        <m:t xml:space="preserve">sin</m:t>
                      </m:r>
                      <m:d>
                        <m:dPr>
                          <m:begChr m:val="("/>
                          <m:endChr m:val=")"/>
                        </m:dPr>
                        <m:e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πn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Tt</m:t>
                          </m:r>
                        </m:e>
                      </m:d>
                    </m:num>
                    <m:den>
                      <m:f>
                        <m:num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πn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</m:den>
                      </m:f>
                    </m:den>
                  </m:f>
                  <m:r>
                    <w:rPr>
                      <w:rFonts w:ascii="Cambria Math" w:hAnsi="Cambria Math"/>
                    </w:rPr>
                    <m:t xml:space="preserve">=</m:t>
                  </m:r>
                  <m:nary>
                    <m:naryPr>
                      <m:chr m:val="∑"/>
                    </m:naryPr>
                    <m:sub>
                      <m:r>
                        <w:rPr>
                          <w:rFonts w:ascii="Cambria Math" w:hAnsi="Cambria Math"/>
                        </w:rPr>
                        <m:t xml:space="preserve">n</m:t>
                      </m:r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r>
                        <w:rPr>
                          <w:rFonts w:ascii="Cambria Math" w:hAnsi="Cambria Math"/>
                        </w:rPr>
                        <m:t xml:space="preserve"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 xml:space="preserve">∞</m:t>
                      </m:r>
                    </m:sup>
                    <m:e>
                      <m:f>
                        <m:num>
                          <m:f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E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 xml:space="preserve">πT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 xml:space="preserve">∗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sin</m:t>
                          </m:r>
                          <m:d>
                            <m:dPr>
                              <m:begChr m:val="("/>
                              <m:endChr m:val=")"/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2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 xml:space="preserve">πnt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 xml:space="preserve">n</m:t>
                          </m:r>
                        </m:den>
                      </m:f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  <m:d>
                        <m:dPr>
                          <m:begChr m:val="{"/>
                          <m:endChr m:val="}"/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 xml:space="preserve">2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π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sSub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ω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 xml:space="preserve">1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 xml:space="preserve">;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T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=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 xml:space="preserve">=</m:t>
                      </m:r>
                    </m:e>
                  </m:nary>
                </m:e>
              </m:nary>
            </m:e>
          </m:nary>
        </m:oMath>
      </m:oMathPara>
    </w:p>
    <w:p>
      <w:pPr>
        <w:pStyle w:val="ListParagraph"/>
        <w:spacing w:lineRule="auto" w:line="360"/>
        <w:ind w:firstLine="709" w:left="0"/>
        <w:jc w:val="left"/>
        <w:rPr>
          <w:rFonts w:ascii="Times New Roman" w:hAnsi="Times New Roman" w:cs="Times New Roman"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f>
            <m:num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E</m:t>
              </m:r>
            </m:num>
            <m:den>
              <m:r>
                <w:rPr>
                  <w:rFonts w:ascii="Cambria Math" w:hAnsi="Cambria Math"/>
                </w:rPr>
                <m:t xml:space="preserve">π</m:t>
              </m:r>
            </m:den>
          </m:f>
          <m:nary>
            <m:naryPr>
              <m:chr m:val="∑"/>
            </m:naryPr>
            <m:sub>
              <m:r>
                <w:rPr>
                  <w:rFonts w:ascii="Cambria Math" w:hAnsi="Cambria Math"/>
                </w:rPr>
                <m:t xml:space="preserve">n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</m:sub>
            <m:sup>
              <m:r>
                <w:rPr>
                  <w:rFonts w:ascii="Cambria Math" w:hAnsi="Cambria Math"/>
                </w:rPr>
                <m:t xml:space="preserve">∞</m:t>
              </m:r>
            </m:sup>
            <m:e>
              <m:f>
                <m:num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nt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n</m:t>
                  </m:r>
                </m:den>
              </m:f>
            </m:e>
          </m:nary>
        </m:oMath>
      </m:oMathPara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Конечный результат синтеза периодического колебания пилообразной формы: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4396740" cy="2998470"/>
            <wp:effectExtent l="0" t="0" r="0" b="0"/>
            <wp:docPr id="9" name="Рисунок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6740" cy="2998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8. Колебание пилообразной формы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</w:rPr>
        <w:t>Графики амплитудного и фазового спектров периодического колебания пилообразной формы: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887345" cy="2165985"/>
            <wp:effectExtent l="0" t="0" r="0" b="0"/>
            <wp:docPr id="10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45" cy="216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872105" cy="2153920"/>
            <wp:effectExtent l="0" t="0" r="0" b="0"/>
            <wp:docPr id="1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105" cy="2153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7. Амплитудный (слева) и фазовый спектры пилы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br w:type="page"/>
      </w:r>
    </w:p>
    <w:p>
      <w:pPr>
        <w:pStyle w:val="ListParagraph"/>
        <w:numPr>
          <w:ilvl w:val="0"/>
          <w:numId w:val="1"/>
        </w:numPr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Периодическое колебание треугольной формы.</w:t>
      </w:r>
    </w:p>
    <w:p>
      <w:pPr>
        <w:pStyle w:val="ListParagraph"/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периодического колебания треугольной формы: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075"/>
        <w:gridCol w:w="1269"/>
      </w:tblGrid>
      <w:tr>
        <w:trPr/>
        <w:tc>
          <w:tcPr>
            <w:tcW w:w="807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ListParagraph"/>
              <w:widowControl/>
              <w:suppressAutoHyphens w:val="false"/>
              <w:spacing w:lineRule="auto" w:line="360" w:before="0" w:after="160"/>
              <w:ind w:left="0" w:right="-93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8</m:t>
                    </m:r>
                    <m:r>
                      <w:rPr>
                        <w:rFonts w:ascii="Cambria Math" w:hAnsi="Cambria Math"/>
                      </w:rPr>
                      <m:t xml:space="preserve">E</m:t>
                    </m:r>
                  </m:num>
                  <m:den>
                    <m:sSup>
                      <m:e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p>
                    </m:sSup>
                  </m:den>
                </m:f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3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+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sSup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5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sup>
                        </m:sSup>
                      </m:den>
                    </m:f>
                    <m:r>
                      <w:rPr>
                        <w:rFonts w:ascii="Cambria Math" w:hAnsi="Cambria Math"/>
                      </w:rPr>
                      <m:t xml:space="preserve">cos</m:t>
                    </m:r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5</m:t>
                            </m:r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…</m:t>
                    </m:r>
                  </m:e>
                </m:d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  <w:p>
            <w:pPr>
              <w:pStyle w:val="ListParagraph"/>
              <w:widowControl/>
              <w:suppressAutoHyphens w:val="false"/>
              <w:spacing w:lineRule="auto" w:line="360" w:before="0" w:after="160"/>
              <w:ind w:left="0" w:right="-93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где Е=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100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2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uppressAutoHyphens w:val="false"/>
              <w:spacing w:lineRule="auto" w:line="360" w:before="0" w:after="160"/>
              <w:ind w:left="0" w:right="-93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(5)</w:t>
            </w:r>
          </w:p>
        </w:tc>
      </w:tr>
    </w:tbl>
    <w:p>
      <w:pPr>
        <w:pStyle w:val="ListParagraph"/>
        <w:spacing w:lineRule="auto" w:line="360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для периодического колебания периодического колебания треугольной формы, которое синтезировалось в работе: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/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3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11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4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0,74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0,5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⁡</m:t>
                </m:r>
                <m:r>
                  <w:rPr>
                    <w:rFonts w:ascii="Cambria Math" w:hAnsi="Cambria Math"/>
                  </w:rPr>
                  <m:t xml:space="preserve">(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11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(6)</w:t>
            </w:r>
          </w:p>
        </w:tc>
      </w:tr>
    </w:tbl>
    <w:p>
      <w:pPr>
        <w:pStyle w:val="ListParagraph"/>
        <w:spacing w:lineRule="auto" w:line="36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Конечный результат синтеза периодического колебания треугольной формы:</w:t>
      </w:r>
    </w:p>
    <w:p>
      <w:pPr>
        <w:pStyle w:val="ListParagraph"/>
        <w:spacing w:lineRule="auto" w:line="36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4543425" cy="3098800"/>
            <wp:effectExtent l="0" t="0" r="0" b="0"/>
            <wp:docPr id="12" name="Рисунок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09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>9. Колебание треугольной формы</w:t>
      </w:r>
    </w:p>
    <w:p>
      <w:pPr>
        <w:pStyle w:val="ListParagraph"/>
        <w:spacing w:lineRule="auto" w:line="36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Графики амплитудного и фазового спектров периодического колебания треугольной формы:</w:t>
      </w:r>
    </w:p>
    <w:p>
      <w:pPr>
        <w:pStyle w:val="ListParagraph"/>
        <w:spacing w:lineRule="auto" w:line="360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774315" cy="1967230"/>
            <wp:effectExtent l="0" t="0" r="0" b="0"/>
            <wp:docPr id="1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315" cy="1967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519045" cy="1988820"/>
            <wp:effectExtent l="0" t="0" r="0" b="0"/>
            <wp:docPr id="1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1988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Рис. </w:t>
      </w:r>
      <w:r>
        <w:rPr>
          <w:sz w:val="28"/>
          <w:szCs w:val="28"/>
        </w:rPr>
        <w:t>10. Амплитудный (слева) и фазовый спектры треу</w:t>
      </w:r>
      <w:r>
        <w:rPr>
          <w:sz w:val="28"/>
          <w:szCs w:val="28"/>
          <w:u w:val="single"/>
        </w:rPr>
        <w:t>гольника</w:t>
      </w:r>
      <w:r>
        <w:br w:type="page"/>
      </w:r>
    </w:p>
    <w:p>
      <w:pPr>
        <w:pStyle w:val="ListParagraph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АМК с однотональной модуляцией.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АМК с однотональной модуляцией: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103"/>
        <w:gridCol w:w="1251"/>
      </w:tblGrid>
      <w:tr>
        <w:trPr/>
        <w:tc>
          <w:tcPr>
            <w:tcW w:w="81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i/>
                <w:sz w:val="28"/>
                <w:szCs w:val="28"/>
                <w:lang w:val="ru-RU"/>
              </w:rPr>
            </w:r>
          </w:p>
          <w:p>
            <w:pPr>
              <w:pStyle w:val="Normal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s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4</m:t>
                  </m:r>
                </m:sub>
              </m:sSub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=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</m:d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f>
                <m:num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m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</m:d>
              <m:r>
                <w:rPr>
                  <w:rFonts w:ascii="Cambria Math" w:hAnsi="Cambria Math"/>
                </w:rPr>
                <m:t xml:space="preserve">t</m:t>
              </m:r>
            </m:oMath>
            <w:r>
              <w:rPr>
                <w:rFonts w:eastAsia="SimSun" w:cs="Times New Roman" w:ascii="Times New Roman" w:hAnsi="Times New Roman"/>
                <w:i/>
                <w:sz w:val="28"/>
                <w:szCs w:val="28"/>
                <w:lang w:val="ru-RU"/>
              </w:rPr>
              <w:t>,</w:t>
            </w:r>
          </w:p>
          <w:p>
            <w:pPr>
              <w:pStyle w:val="Normal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где А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vertAlign w:val="subscript"/>
                <w:lang w:val="ru-RU"/>
              </w:rPr>
              <w:t>0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=20.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(7)</w:t>
            </w:r>
          </w:p>
        </w:tc>
      </w:tr>
    </w:tbl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Разложение в ряд Фурье для АМК с однотональной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0,5</m:t>
        </m:r>
      </m:oMath>
      <w:r>
        <w:rPr>
          <w:rFonts w:cs="Times New Roman" w:ascii="Times New Roman" w:hAnsi="Times New Roman"/>
          <w:sz w:val="28"/>
          <w:szCs w:val="28"/>
        </w:rPr>
        <w:t>, которое синтезировалось в работе: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8"/>
        <w:gridCol w:w="556"/>
      </w:tblGrid>
      <w:tr>
        <w:trPr/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(8)</w:t>
            </w:r>
          </w:p>
        </w:tc>
      </w:tr>
    </w:tbl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Конечный результат синтеза АМК с однотональной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0,5</m:t>
        </m:r>
      </m:oMath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4110990" cy="2803525"/>
            <wp:effectExtent l="0" t="0" r="0" b="0"/>
            <wp:docPr id="15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990" cy="2803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 xml:space="preserve">11. АМК с однотональной модуляцией </w:t>
      </w:r>
      <w:r>
        <w:rPr>
          <w:rFonts w:cs="Times New Roman"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0,5</m:t>
        </m:r>
      </m:oMath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Графики амплитудного и фазового спектров АМК с однотональной модуляцией: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536190" cy="1902460"/>
            <wp:effectExtent l="0" t="0" r="0" b="0"/>
            <wp:docPr id="16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6190" cy="190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697480" cy="1912620"/>
            <wp:effectExtent l="0" t="0" r="0" b="0"/>
            <wp:docPr id="1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7480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12. Графики амплитудного и фазового спектров АМК с однотональной модуляцией.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Разложение в ряд Фурье для АМК с однотональной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sz w:val="28"/>
          <w:szCs w:val="28"/>
        </w:rPr>
        <w:t>, которое синтезировалось в работе:</w:t>
      </w:r>
    </w:p>
    <w:tbl>
      <w:tblPr>
        <w:tblStyle w:val="a5"/>
        <w:tblW w:w="934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788"/>
        <w:gridCol w:w="556"/>
      </w:tblGrid>
      <w:tr>
        <w:trPr/>
        <w:tc>
          <w:tcPr>
            <w:tcW w:w="87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42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20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−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55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(9)</w:t>
            </w:r>
          </w:p>
        </w:tc>
      </w:tr>
    </w:tbl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Конечный результат синтеза АМК с однотональной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5038725" cy="3436620"/>
            <wp:effectExtent l="0" t="0" r="0" b="0"/>
            <wp:docPr id="18" name="Рисунок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3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43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t xml:space="preserve">Рис. </w:t>
      </w:r>
      <w:r>
        <w:rPr/>
        <w:t>13.</w:t>
      </w:r>
      <w:r>
        <w:rPr/>
        <w:t xml:space="preserve"> АМК с однотональной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m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1</m:t>
        </m:r>
      </m:oMath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Графики амплитудного и фазового спектров АМК с однотональной модуляцией: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638425" cy="1978660"/>
            <wp:effectExtent l="0" t="0" r="0" b="0"/>
            <wp:docPr id="1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8425" cy="1978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630805" cy="1973580"/>
            <wp:effectExtent l="0" t="0" r="0" b="0"/>
            <wp:docPr id="20" name="Image8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 Copy 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0805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14: Графики амплитудного и фазового спектров АМК с однотональной модуляцией</w:t>
      </w:r>
    </w:p>
    <w:p>
      <w:pPr>
        <w:pStyle w:val="ListParagraph"/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uppressAutoHyphens w:val="false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istParagraph"/>
        <w:numPr>
          <w:ilvl w:val="0"/>
          <w:numId w:val="1"/>
        </w:numPr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>Колебание с однотональной угловой модуляцией.</w:t>
      </w:r>
    </w:p>
    <w:p>
      <w:pPr>
        <w:pStyle w:val="ListParagraph"/>
        <w:suppressAutoHyphens w:val="false"/>
        <w:spacing w:lineRule="auto" w:line="360" w:before="0" w:after="160"/>
        <w:ind w:firstLine="720"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Выведем формулу разложения в ряд Фурье колебания с однотональной угловой модуляцией:</w:t>
      </w:r>
    </w:p>
    <w:p>
      <w:pPr>
        <w:pStyle w:val="Normal"/>
        <w:ind w:right="-185"/>
        <w:jc w:val="left"/>
        <w:rPr>
          <w:rFonts w:eastAsia="" w:eastAsiaTheme="minorEastAsia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ψ</m:t>
                  </m:r>
                </m:e>
              </m:d>
              <m: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w:rPr>
                      <w:rFonts w:ascii="Cambria Math" w:hAnsi="Cambria Math"/>
                    </w:rPr>
                    <m:t xml:space="preserve">φ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</m:e>
          </m:d>
          <m:r>
            <w:rPr>
              <w:rFonts w:ascii="Cambria Math" w:hAnsi="Cambria Math"/>
            </w:rPr>
            <m:t xml:space="preserve">,</m:t>
          </m:r>
          <m:r>
            <w:rPr>
              <w:rFonts w:ascii="Cambria Math" w:hAnsi="Cambria Math"/>
            </w:rPr>
            <m:t xml:space="preserve">при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≪</m:t>
          </m:r>
          <m:r>
            <w:rPr>
              <w:rFonts w:ascii="Cambria Math" w:hAnsi="Cambria Math"/>
            </w:rPr>
            <m:t xml:space="preserve">1</m:t>
          </m:r>
          <m:r>
            <w:rPr>
              <w:rFonts w:ascii="Cambria Math" w:hAnsi="Cambria Math"/>
            </w:rPr>
            <m:t xml:space="preserve">;</m:t>
          </m:r>
          <m:r>
            <w:rPr>
              <w:rFonts w:ascii="Cambria Math" w:hAnsi="Cambria Math"/>
            </w:rPr>
            <m:t xml:space="preserve">ψ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  <m:r>
            <w:rPr>
              <w:rFonts w:ascii="Cambria Math" w:hAnsi="Cambria Math"/>
            </w:rPr>
            <m:t xml:space="preserve">;</m:t>
          </m:r>
          <m:sSub>
            <m:e>
              <m:r>
                <w:rPr>
                  <w:rFonts w:ascii="Cambria Math" w:hAnsi="Cambria Math"/>
                </w:rPr>
                <m:t xml:space="preserve">φ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0</m:t>
          </m:r>
        </m:oMath>
      </m:oMathPara>
    </w:p>
    <w:p>
      <w:pPr>
        <w:pStyle w:val="Normal"/>
        <w:ind w:right="-185"/>
        <w:jc w:val="left"/>
        <w:rPr>
          <w:rFonts w:eastAsia="" w:eastAsiaTheme="minorEastAsia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sSub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 xml:space="preserve"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ind w:right="-185"/>
        <w:jc w:val="left"/>
        <w:rPr>
          <w:rFonts w:eastAsia="" w:eastAsiaTheme="minorEastAsia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}"/>
            </m:dPr>
            <m:e>
              <m:r>
                <w:rPr>
                  <w:rFonts w:ascii="Cambria Math" w:hAnsi="Cambria Math"/>
                </w:rPr>
                <m:t xml:space="preserve">cos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1</m:t>
              </m:r>
              <m:r>
                <w:rPr>
                  <w:rFonts w:ascii="Cambria Math" w:hAnsi="Cambria Math"/>
                </w:rPr>
                <m:t xml:space="preserve">;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β</m:t>
                  </m:r>
                  <m:r>
                    <w:rPr>
                      <w:rFonts w:ascii="Cambria Math" w:hAnsi="Cambria Math"/>
                    </w:rPr>
                    <m:t xml:space="preserve">sin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β</m:t>
              </m:r>
              <m:r>
                <w:rPr>
                  <w:rFonts w:ascii="Cambria Math" w:hAnsi="Cambria Math"/>
                </w:rPr>
                <m:t xml:space="preserve">sin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  <m:r>
                    <w:rPr>
                      <w:rFonts w:ascii="Cambria Math" w:hAnsi="Cambria Math"/>
                    </w:rPr>
                    <m:t xml:space="preserve">t</m:t>
                  </m:r>
                </m:e>
              </m:d>
            </m:e>
          </m:d>
          <m:r>
            <w:rPr>
              <w:rFonts w:ascii="Cambria Math" w:hAnsi="Cambria Math"/>
            </w:rPr>
            <m:t xml:space="preserve">=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sin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sin</m:t>
          </m:r>
          <m:d>
            <m:dPr>
              <m:begChr m:val="("/>
              <m:endChr m:val=")"/>
            </m:dPr>
            <m:e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ind w:right="-185"/>
        <w:jc w:val="left"/>
        <w:rPr>
          <w:rFonts w:eastAsia="" w:eastAsiaTheme="minorEastAsia"/>
          <w:i/>
          <w:i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−</m:t>
          </m:r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β</m:t>
          </m:r>
          <m:d>
            <m:dPr>
              <m:begChr m:val="("/>
              <m:endChr m:val=")"/>
            </m:dPr>
            <m:e>
              <m:f>
                <m:num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−</m:t>
                      </m:r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  <m:r>
                <w:rPr>
                  <w:rFonts w:ascii="Cambria Math" w:hAnsi="Cambria Math"/>
                </w:rPr>
                <m:t xml:space="preserve">−</m:t>
              </m:r>
              <m:f>
                <m:num>
                  <m:r>
                    <w:rPr>
                      <w:rFonts w:ascii="Cambria Math" w:hAnsi="Cambria Math"/>
                    </w:rPr>
                    <m:t xml:space="preserve">cos</m:t>
                  </m:r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w:rPr>
                              <w:rFonts w:ascii="Cambria Math" w:hAnsi="Cambria Math"/>
                            </w:rPr>
                            <m:t xml:space="preserve">ω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 xml:space="preserve">0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  <m:r>
                        <w:rPr>
                          <w:rFonts w:ascii="Cambria Math" w:hAnsi="Cambria Math"/>
                        </w:rPr>
                        <m:t xml:space="preserve">+</m:t>
                      </m:r>
                      <m:r>
                        <w:rPr>
                          <w:rFonts w:ascii="Cambria Math" w:hAnsi="Cambria Math"/>
                        </w:rPr>
                        <m:t xml:space="preserve">Ω</m:t>
                      </m:r>
                      <m:r>
                        <w:rPr>
                          <w:rFonts w:ascii="Cambria Math" w:hAnsi="Cambria Math"/>
                        </w:rPr>
                        <m:t xml:space="preserve">t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 xml:space="preserve">2</m:t>
                  </m:r>
                </m:den>
              </m:f>
            </m:e>
          </m:d>
          <m:r>
            <w:rPr>
              <w:rFonts w:ascii="Cambria Math" w:hAnsi="Cambria Math"/>
            </w:rPr>
            <m:t xml:space="preserve">=</m:t>
          </m:r>
        </m:oMath>
      </m:oMathPara>
    </w:p>
    <w:p>
      <w:pPr>
        <w:pStyle w:val="Normal"/>
        <w:ind w:right="-185"/>
        <w:jc w:val="left"/>
        <w:rPr>
          <w:rFonts w:eastAsia="" w:eastAsiaTheme="minorEastAsia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w:rPr>
                  <w:rFonts w:ascii="Cambria Math" w:hAnsi="Cambria Math"/>
                </w:rPr>
                <m:t xml:space="preserve">A</m:t>
              </m:r>
            </m:e>
            <m:sub>
              <m:r>
                <w:rPr>
                  <w:rFonts w:ascii="Cambria Math" w:hAnsi="Cambria Math"/>
                </w:rPr>
                <m:t xml:space="preserve">0</m:t>
              </m:r>
            </m:sub>
          </m:sSub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β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t</m:t>
              </m:r>
            </m:e>
          </m:d>
          <m:r>
            <w:rPr>
              <w:rFonts w:ascii="Cambria Math" w:hAnsi="Cambria Math"/>
            </w:rPr>
            <m:t xml:space="preserve">+</m:t>
          </m:r>
          <m:f>
            <m:num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β</m:t>
              </m:r>
            </m:num>
            <m:den>
              <m:r>
                <w:rPr>
                  <w:rFonts w:ascii="Cambria Math" w:hAnsi="Cambria Math"/>
                </w:rPr>
                <m:t xml:space="preserve">2</m:t>
              </m:r>
            </m:den>
          </m:f>
          <m:r>
            <w:rPr>
              <w:rFonts w:ascii="Cambria Math" w:hAnsi="Cambria Math"/>
            </w:rPr>
            <m:t xml:space="preserve">cos</m:t>
          </m:r>
          <m:d>
            <m:dPr>
              <m:begChr m:val="("/>
              <m:endChr m:val=")"/>
            </m:dPr>
            <m:e>
              <m:sSub>
                <m:e>
                  <m:r>
                    <w:rPr>
                      <w:rFonts w:ascii="Cambria Math" w:hAnsi="Cambria Math"/>
                    </w:rPr>
                    <m:t xml:space="preserve">(</m:t>
                  </m:r>
                  <m: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−</m:t>
              </m:r>
              <m:r>
                <w:rPr>
                  <w:rFonts w:ascii="Cambria Math" w:hAnsi="Cambria Math"/>
                </w:rPr>
                <m:t xml:space="preserve">Ω</m:t>
              </m:r>
              <m:r>
                <w:rPr>
                  <w:rFonts w:ascii="Cambria Math" w:hAnsi="Cambria Math"/>
                </w:rPr>
                <m:t xml:space="preserve">)</m:t>
              </m:r>
              <m:r>
                <w:rPr>
                  <w:rFonts w:ascii="Cambria Math" w:hAnsi="Cambria Math"/>
                </w:rPr>
                <m:t xml:space="preserve">t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π</m:t>
              </m:r>
            </m:e>
          </m:d>
        </m:oMath>
      </m:oMathPara>
      <w:bookmarkStart w:id="0" w:name="_GoBack"/>
      <w:bookmarkEnd w:id="0"/>
    </w:p>
    <w:p>
      <w:pPr>
        <w:pStyle w:val="Normal"/>
        <w:ind w:right="-185"/>
        <w:rPr>
          <w:rFonts w:eastAsia="" w:eastAsiaTheme="minorEastAsia"/>
          <w:lang w:val="en-US"/>
        </w:rPr>
      </w:pPr>
      <w:r>
        <w:rPr>
          <w:rFonts w:eastAsia="" w:eastAsiaTheme="minorEastAsia"/>
          <w:lang w:val="en-US"/>
        </w:rPr>
      </w:r>
    </w:p>
    <w:p>
      <w:pPr>
        <w:pStyle w:val="ListParagraph"/>
        <w:suppressAutoHyphens w:val="false"/>
        <w:spacing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колебания с однотональной угловой модуляцией: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46"/>
        <w:gridCol w:w="708"/>
      </w:tblGrid>
      <w:tr>
        <w:trPr/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jc w:val="left"/>
              <w:rPr>
                <w:rFonts w:ascii="Times New Roman" w:hAnsi="Times New Roman" w:cs="Times New Roman"/>
                <w:i/>
                <w:i/>
                <w:sz w:val="28"/>
                <w:szCs w:val="28"/>
                <w:lang w:val="en-US"/>
              </w:rPr>
            </w:pPr>
            <w:r>
              <w:rPr>
                <w:rFonts w:eastAsia="SimSun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sSub>
                  <m:e>
                    <m:r>
                      <w:rPr>
                        <w:rFonts w:ascii="Cambria Math" w:hAnsi="Cambria Math"/>
                      </w:rPr>
                      <m:t xml:space="preserve"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0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sSub>
                          <m:e>
                            <m:r>
                              <w:rPr>
                                <w:rFonts w:ascii="Cambria Math" w:hAnsi="Cambria Math"/>
                              </w:rPr>
                              <m:t xml:space="preserve">ω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 xml:space="preserve">0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f>
                  <m:num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β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Ω</m:t>
                    </m:r>
                  </m:e>
                </m:d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π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,</m:t>
                </m:r>
              </m:oMath>
            </m:oMathPara>
          </w:p>
          <w:p>
            <w:pPr>
              <w:pStyle w:val="ListParagraph"/>
              <w:widowControl/>
              <w:suppressAutoHyphens w:val="false"/>
              <w:spacing w:lineRule="auto" w:line="360" w:before="0" w:after="160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 xml:space="preserve">где </w:t>
            </w:r>
            <w:r>
              <w:rPr>
                <w:rFonts w:eastAsia="SimSun"/>
                <w:lang w:val="ru-RU"/>
              </w:rPr>
            </w:r>
            <m:oMath xmlns:m="http://schemas.openxmlformats.org/officeDocument/2006/math">
              <m:sSub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b>
                  <m:r>
                    <w:rPr>
                      <w:rFonts w:ascii="Cambria Math" w:hAnsi="Cambria Math"/>
                    </w:rPr>
                    <m:t xml:space="preserve">0</m:t>
                  </m:r>
                </m:sub>
              </m:sSub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30</m:t>
              </m:r>
            </m:oMath>
          </w:p>
        </w:tc>
        <w:tc>
          <w:tcPr>
            <w:tcW w:w="7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(10)</w:t>
            </w:r>
          </w:p>
        </w:tc>
      </w:tr>
    </w:tbl>
    <w:p>
      <w:pPr>
        <w:pStyle w:val="ListParagraph"/>
        <w:spacing w:lineRule="auto" w:line="360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а) Разложение в ряд Фурье для колебания с однотональной угловой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0,2</m:t>
        </m:r>
      </m:oMath>
      <w:r>
        <w:rPr>
          <w:rFonts w:cs="Times New Roman" w:ascii="Times New Roman" w:hAnsi="Times New Roman"/>
          <w:sz w:val="28"/>
          <w:szCs w:val="28"/>
        </w:rPr>
        <w:t>, которое синтезировалось в работе: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8682"/>
        <w:gridCol w:w="672"/>
      </w:tblGrid>
      <w:tr>
        <w:trPr/>
        <w:tc>
          <w:tcPr>
            <w:tcW w:w="868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142" w:left="-247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51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100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f>
                  <m:num>
                    <m:r>
                      <w:rPr>
                        <w:rFonts w:ascii="Cambria Math" w:hAnsi="Cambria Math"/>
                      </w:rPr>
                      <m:t xml:space="preserve">π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)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d>
                      <m:dPr>
                        <m:begChr m:val="("/>
                        <m:endChr m:val=")"/>
                      </m:dPr>
                      <m:e>
                        <m:f>
                          <m:num>
                            <m:r>
                              <w:rPr>
                                <w:rFonts w:ascii="Cambria Math" w:hAnsi="Cambria Math"/>
                              </w:rPr>
                              <m:t xml:space="preserve">π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 xml:space="preserve">2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0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10</m:t>
                </m:r>
                <m:r>
                  <w:rPr>
                    <w:rFonts w:ascii="Cambria Math" w:hAnsi="Cambria Math"/>
                  </w:rPr>
                  <m:t xml:space="preserve">cos</m:t>
                </m:r>
                <m:r>
                  <w:rPr>
                    <w:rFonts w:ascii="Cambria Math" w:hAnsi="Cambria Math"/>
                  </w:rPr>
                  <m:t xml:space="preserve">(</m:t>
                </m:r>
                <m:d>
                  <m:dPr>
                    <m:begChr m:val="("/>
                    <m:endChr m:val=")"/>
                  </m:dP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−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d>
                <m:r>
                  <w:rPr>
                    <w:rFonts w:ascii="Cambria Math" w:hAnsi="Cambria Math"/>
                  </w:rPr>
                  <m:t xml:space="preserve">t</m:t>
                </m:r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π</m:t>
                </m:r>
                <m:r>
                  <w:rPr>
                    <w:rFonts w:ascii="Cambria Math" w:hAnsi="Cambria Math"/>
                  </w:rPr>
                  <m:t xml:space="preserve">)</m:t>
                </m:r>
              </m:oMath>
            </m:oMathPara>
          </w:p>
        </w:tc>
        <w:tc>
          <w:tcPr>
            <w:tcW w:w="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(11)</w:t>
            </w:r>
          </w:p>
        </w:tc>
      </w:tr>
    </w:tbl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Конечный результат синтеза колебания с однотональной угловой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0,2</m:t>
        </m:r>
      </m:oMath>
      <w:r>
        <w:rPr>
          <w:rFonts w:cs="Times New Roman" w:ascii="Times New Roman" w:hAnsi="Times New Roman"/>
          <w:sz w:val="28"/>
          <w:szCs w:val="28"/>
        </w:rPr>
        <w:t xml:space="preserve"> для трёх гармоник: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4123690" cy="2812415"/>
            <wp:effectExtent l="0" t="0" r="0" b="0"/>
            <wp:docPr id="21" name="Рисунок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4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3690" cy="2812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15. Колебание с однотональной угловой модуляцией </w:t>
      </w:r>
      <w:r>
        <w:rPr>
          <w:rFonts w:cs="Times New Roman"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0,2</m:t>
        </m:r>
      </m:oMath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Графики амплитудного и фазового спектров колебания с однотональной угловой модуляцией: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667635" cy="2106295"/>
            <wp:effectExtent l="0" t="0" r="0" b="0"/>
            <wp:docPr id="22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635" cy="21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668270" cy="2106295"/>
            <wp:effectExtent l="0" t="0" r="0" b="0"/>
            <wp:docPr id="23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2106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Рис. </w:t>
      </w:r>
      <w:r>
        <w:rPr>
          <w:rFonts w:cs="Times New Roman" w:ascii="Times New Roman" w:hAnsi="Times New Roman"/>
          <w:sz w:val="28"/>
          <w:szCs w:val="28"/>
        </w:rPr>
        <w:t>16. Г</w:t>
      </w:r>
      <w:r>
        <w:rPr>
          <w:rFonts w:cs="Times New Roman" w:ascii="Times New Roman" w:hAnsi="Times New Roman"/>
          <w:sz w:val="28"/>
          <w:szCs w:val="28"/>
        </w:rPr>
        <w:t xml:space="preserve">рафики амплитудного и фазового спектров колебания с однотональной угловой модуляцией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0,2</m:t>
        </m:r>
      </m:oMath>
    </w:p>
    <w:p>
      <w:pPr>
        <w:pStyle w:val="ListParagraph"/>
        <w:spacing w:lineRule="auto" w:line="360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б) Разложение в ряд Фурье для колебания с однотональной угловой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2.1</m:t>
        </m:r>
      </m:oMath>
      <w:r>
        <w:rPr>
          <w:rFonts w:cs="Times New Roman" w:ascii="Times New Roman" w:hAnsi="Times New Roman"/>
          <w:sz w:val="28"/>
          <w:szCs w:val="28"/>
        </w:rPr>
        <w:t>, которое синтезировалось в работе.</w:t>
      </w:r>
    </w:p>
    <w:p>
      <w:pPr>
        <w:pStyle w:val="ListParagraph"/>
        <w:spacing w:lineRule="auto" w:line="360"/>
        <w:ind w:firstLine="708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Конечный результат синтеза колебания с однотональной угловой модуляцией </w:t>
      </w:r>
      <w:r>
        <w:rPr/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2.1</m:t>
        </m:r>
      </m:oMath>
      <w:r>
        <w:rPr>
          <w:rFonts w:cs="Times New Roman" w:ascii="Times New Roman" w:hAnsi="Times New Roman"/>
          <w:sz w:val="28"/>
          <w:szCs w:val="28"/>
        </w:rPr>
        <w:t xml:space="preserve"> для </w:t>
      </w:r>
      <w:r>
        <w:rPr>
          <w:rFonts w:cs="Times New Roman" w:ascii="Times New Roman" w:hAnsi="Times New Roman"/>
          <w:sz w:val="28"/>
          <w:szCs w:val="28"/>
        </w:rPr>
        <w:t>12 гармоник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spacing w:lineRule="auto" w:line="360"/>
        <w:ind w:firstLine="708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3910965" cy="2667635"/>
            <wp:effectExtent l="0" t="0" r="0" b="0"/>
            <wp:docPr id="24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0965" cy="2667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8" w:left="0"/>
        <w:jc w:val="center"/>
        <w:rPr>
          <w:sz w:val="28"/>
          <w:szCs w:val="28"/>
        </w:rPr>
      </w:pPr>
      <w:r>
        <w:rPr>
          <w:sz w:val="28"/>
          <w:szCs w:val="28"/>
        </w:rPr>
        <w:t>Рис. 17. К</w:t>
      </w:r>
      <w:r>
        <w:rPr>
          <w:sz w:val="28"/>
          <w:szCs w:val="28"/>
        </w:rPr>
        <w:t>олебани</w:t>
      </w:r>
      <w:r>
        <w:rPr>
          <w:sz w:val="28"/>
          <w:szCs w:val="28"/>
        </w:rPr>
        <w:t>е</w:t>
      </w:r>
      <w:r>
        <w:rPr>
          <w:sz w:val="28"/>
          <w:szCs w:val="28"/>
        </w:rPr>
        <w:t xml:space="preserve"> с однотональной угловой модуляцией </w:t>
      </w:r>
      <w:r>
        <w:rPr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2.1</m:t>
        </m:r>
      </m:oMath>
    </w:p>
    <w:p>
      <w:pPr>
        <w:pStyle w:val="ListParagraph"/>
        <w:spacing w:lineRule="auto" w:line="360"/>
        <w:ind w:firstLine="708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pacing w:lineRule="auto" w:line="360"/>
        <w:ind w:firstLine="708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Графики амплитудного и фазового спектров колебания с однотональной угловой модуляцией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766695" cy="2184400"/>
            <wp:effectExtent l="0" t="0" r="0" b="0"/>
            <wp:docPr id="25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695" cy="218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769235" cy="2186305"/>
            <wp:effectExtent l="0" t="0" r="0" b="0"/>
            <wp:docPr id="26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9235" cy="2186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</w:t>
      </w:r>
      <w:r>
        <w:rPr>
          <w:rFonts w:cs="Times New Roman" w:ascii="Times New Roman" w:hAnsi="Times New Roman"/>
          <w:sz w:val="28"/>
          <w:szCs w:val="28"/>
        </w:rPr>
        <w:t>18. Г</w:t>
      </w:r>
      <w:r>
        <w:rPr>
          <w:rFonts w:cs="Times New Roman" w:ascii="Times New Roman" w:hAnsi="Times New Roman"/>
          <w:sz w:val="28"/>
          <w:szCs w:val="28"/>
        </w:rPr>
        <w:t xml:space="preserve">рафики амплитудного </w:t>
      </w:r>
      <w:r>
        <w:rPr>
          <w:rFonts w:cs="Times New Roman" w:ascii="Times New Roman" w:hAnsi="Times New Roman"/>
          <w:sz w:val="28"/>
          <w:szCs w:val="28"/>
        </w:rPr>
        <w:t>(слева)</w:t>
      </w:r>
      <w:r>
        <w:rPr>
          <w:rFonts w:cs="Times New Roman" w:ascii="Times New Roman" w:hAnsi="Times New Roman"/>
          <w:sz w:val="28"/>
          <w:szCs w:val="28"/>
        </w:rPr>
        <w:t xml:space="preserve"> и фазового спектров колебания с однотональной угловой модуляцией 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</w:r>
      <m:oMath xmlns:m="http://schemas.openxmlformats.org/officeDocument/2006/math">
        <m:r>
          <w:rPr>
            <w:rFonts w:ascii="Cambria Math" w:hAnsi="Cambria Math"/>
          </w:rPr>
          <m:t xml:space="preserve">β</m:t>
        </m:r>
        <m:r>
          <w:rPr>
            <w:rFonts w:ascii="Cambria Math" w:hAnsi="Cambria Math"/>
          </w:rPr>
          <m:t xml:space="preserve">=</m:t>
        </m:r>
        <m:r>
          <w:rPr>
            <w:rFonts w:ascii="Cambria Math" w:hAnsi="Cambria Math"/>
          </w:rPr>
          <m:t xml:space="preserve">2.1</m:t>
        </m:r>
      </m:oMath>
    </w:p>
    <w:p>
      <w:pPr>
        <w:pStyle w:val="ListParagraph"/>
        <w:numPr>
          <w:ilvl w:val="0"/>
          <w:numId w:val="1"/>
        </w:numPr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</w:rPr>
      </w:pPr>
      <w:r>
        <w:rPr>
          <w:rFonts w:cs="Times New Roman" w:ascii="Times New Roman" w:hAnsi="Times New Roman"/>
          <w:i/>
          <w:sz w:val="28"/>
          <w:szCs w:val="28"/>
        </w:rPr>
        <w:t xml:space="preserve">Периодическая последовательность </w:t>
      </w:r>
      <w:r>
        <w:rPr>
          <w:rFonts w:cs="Times New Roman" w:ascii="Times New Roman" w:hAnsi="Times New Roman"/>
          <w:bCs/>
          <w:sz w:val="28"/>
          <w:szCs w:val="28"/>
        </w:rPr>
        <w:t>δ</w:t>
      </w:r>
      <w:r>
        <w:rPr>
          <w:rFonts w:cs="Times New Roman" w:ascii="Times New Roman" w:hAnsi="Times New Roman"/>
          <w:bCs/>
          <w:i/>
          <w:iCs/>
          <w:sz w:val="28"/>
          <w:szCs w:val="28"/>
        </w:rPr>
        <w:t xml:space="preserve">-функций. </w:t>
      </w:r>
    </w:p>
    <w:p>
      <w:pPr>
        <w:pStyle w:val="ListParagraph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периодической последовательности δ-функций: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62"/>
        <w:gridCol w:w="1392"/>
      </w:tblGrid>
      <w:tr>
        <w:trPr/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jc w:val="center"/>
              <w:rPr>
                <w:rFonts w:ascii="Times New Roman" w:hAnsi="Times New Roman" w:cs="Times New Roman"/>
                <w:i/>
                <w:i/>
                <w:sz w:val="28"/>
                <w:szCs w:val="28"/>
                <w:lang w:val="en-US"/>
              </w:rPr>
            </w:pPr>
            <w:r>
              <w:rPr>
                <w:rFonts w:eastAsia="SimSun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  <m:r>
                      <m:t xml:space="preserve"> 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m:t xml:space="preserve"> </m:t>
                </m:r>
                <m:nary>
                  <m:naryPr>
                    <m:chr m:val="∑"/>
                  </m:naryPr>
                  <m:sub>
                    <m:r>
                      <w:rPr>
                        <w:rFonts w:ascii="Cambria Math" w:hAnsi="Cambria Math"/>
                      </w:rPr>
                      <m:t xml:space="preserve">n</m:t>
                    </m:r>
                    <m:r>
                      <w:rPr>
                        <w:rFonts w:ascii="Cambria Math" w:hAnsi="Cambria Math"/>
                      </w:rPr>
                      <m:t xml:space="preserve">=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 xml:space="preserve">∞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 xml:space="preserve">cos</m:t>
                    </m:r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  <m:r>
                          <w:rPr>
                            <w:rFonts w:ascii="Cambria Math" w:hAnsi="Cambria Math"/>
                          </w:rPr>
                          <m:t xml:space="preserve">π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T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n</m:t>
                    </m:r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nary>
              </m:oMath>
            </m:oMathPara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</w:r>
          </w:p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en-GB"/>
              </w:rPr>
              <w:t>1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6)</w:t>
            </w:r>
          </w:p>
        </w:tc>
      </w:tr>
    </w:tbl>
    <w:p>
      <w:pPr>
        <w:pStyle w:val="ListParagraph"/>
        <w:spacing w:lineRule="auto" w:line="360"/>
        <w:ind w:firstLine="720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Разложение в ряд Фурье для периодической последовательности δ-функций, которая синтезировалась в данной работе:</w:t>
      </w:r>
    </w:p>
    <w:tbl>
      <w:tblPr>
        <w:tblStyle w:val="a5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7962"/>
        <w:gridCol w:w="1392"/>
      </w:tblGrid>
      <w:tr>
        <w:trPr/>
        <w:tc>
          <w:tcPr>
            <w:tcW w:w="796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sSub>
                  <m:e>
                    <m:r>
                      <w:rPr>
                        <w:rFonts w:ascii="Cambria Math" w:hAnsi="Cambria Math"/>
                      </w:rPr>
                      <m:t xml:space="preserve"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 xml:space="preserve">6</m:t>
                    </m:r>
                  </m:sub>
                </m:sSub>
                <m:d>
                  <m:dPr>
                    <m:begChr m:val="("/>
                    <m:endChr m:val=")"/>
                  </m:dPr>
                  <m:e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3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4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</m:oMath>
            </m:oMathPara>
          </w:p>
          <w:p>
            <w:pPr>
              <w:pStyle w:val="ListParagraph"/>
              <w:widowControl/>
              <w:tabs>
                <w:tab w:val="clear" w:pos="708"/>
                <w:tab w:val="left" w:pos="1467" w:leader="none"/>
              </w:tabs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/>
                <w:lang w:val="ru-RU"/>
              </w:rPr>
            </w:r>
            <m:oMathPara xmlns:m="http://schemas.openxmlformats.org/officeDocument/2006/math"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10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11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  <m:r>
                  <w:rPr>
                    <w:rFonts w:ascii="Cambria Math" w:hAnsi="Cambria Math"/>
                  </w:rPr>
                  <m:t xml:space="preserve">+</m:t>
                </m:r>
                <m:r>
                  <w:rPr>
                    <w:rFonts w:ascii="Cambria Math" w:hAnsi="Cambria Math"/>
                  </w:rPr>
                  <m:t xml:space="preserve">5</m:t>
                </m:r>
                <m:r>
                  <w:rPr>
                    <w:rFonts w:ascii="Cambria Math" w:hAnsi="Cambria Math"/>
                  </w:rPr>
                  <m:t xml:space="preserve">cos</m:t>
                </m:r>
                <m:d>
                  <m:dPr>
                    <m:begChr m:val="("/>
                    <m:endChr m:val=")"/>
                  </m:dPr>
                  <m:e>
                    <m:sSub>
                      <m:e>
                        <m:r>
                          <w:rPr>
                            <w:rFonts w:ascii="Cambria Math" w:hAnsi="Cambria Math"/>
                          </w:rPr>
                          <m:t xml:space="preserve">ω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 xml:space="preserve">12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t</m:t>
                    </m:r>
                  </m:e>
                </m:d>
              </m:oMath>
            </m:oMathPara>
          </w:p>
        </w:tc>
        <w:tc>
          <w:tcPr>
            <w:tcW w:w="139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ListParagraph"/>
              <w:widowControl/>
              <w:spacing w:lineRule="auto" w:line="360" w:before="0" w:after="0"/>
              <w:ind w:firstLine="709" w:left="0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en-GB"/>
              </w:rPr>
              <w:t>1</w:t>
            </w:r>
            <w:r>
              <w:rPr>
                <w:rFonts w:eastAsia="SimSun" w:cs="Times New Roman" w:ascii="Times New Roman" w:hAnsi="Times New Roman"/>
                <w:sz w:val="28"/>
                <w:szCs w:val="28"/>
                <w:lang w:val="ru-RU"/>
              </w:rPr>
              <w:t>7)</w:t>
            </w:r>
          </w:p>
        </w:tc>
      </w:tr>
    </w:tbl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Конечный результат синтеза периодической последовательности δ-функций:</w:t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4141470" cy="2824480"/>
            <wp:effectExtent l="0" t="0" r="0" b="0"/>
            <wp:docPr id="27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1470" cy="2824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pacing w:lineRule="auto" w:line="360"/>
        <w:ind w:firstLine="709"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Рис. 19. Конечный результат синтеза периодической последовательности δ-функций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Графики амплитудного и фазового спектров периодической последовательности δ-функций</w:t>
      </w:r>
      <w:r>
        <w:rPr>
          <w:rFonts w:cs="Times New Roman" w:ascii="Times New Roman" w:hAnsi="Times New Roman"/>
          <w:sz w:val="28"/>
          <w:szCs w:val="28"/>
        </w:rPr>
        <w:t>:</w:t>
      </w:r>
    </w:p>
    <w:p>
      <w:pPr>
        <w:pStyle w:val="ListParagraph"/>
        <w:spacing w:lineRule="auto" w:line="360"/>
        <w:ind w:firstLine="709"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575560" cy="2033270"/>
            <wp:effectExtent l="0" t="0" r="0" b="0"/>
            <wp:docPr id="28" name="Image1 Copy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 Copy 1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2033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cs="Times New Roman" w:ascii="Times New Roman" w:hAnsi="Times New Roman"/>
          <w:sz w:val="28"/>
          <w:szCs w:val="28"/>
        </w:rPr>
        <w:drawing>
          <wp:inline distT="0" distB="0" distL="0" distR="0">
            <wp:extent cx="2562225" cy="2023110"/>
            <wp:effectExtent l="0" t="0" r="0" b="0"/>
            <wp:docPr id="29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202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suppressAutoHyphens w:val="false"/>
        <w:spacing w:lineRule="auto" w:line="360" w:before="0" w:after="160"/>
        <w:ind w:left="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Рис. 20. </w:t>
      </w:r>
      <w:r>
        <w:rPr>
          <w:rFonts w:cs="Times New Roman" w:ascii="Times New Roman" w:hAnsi="Times New Roman"/>
          <w:sz w:val="28"/>
          <w:szCs w:val="28"/>
        </w:rPr>
        <w:t xml:space="preserve">Графики амплитудного (слева) и фазового спектров </w:t>
      </w:r>
      <w:r>
        <w:rPr>
          <w:rFonts w:cs="Times New Roman" w:ascii="Times New Roman" w:hAnsi="Times New Roman"/>
          <w:sz w:val="28"/>
          <w:szCs w:val="28"/>
        </w:rPr>
        <w:t>периодической дельта-функции.</w:t>
      </w:r>
    </w:p>
    <w:p>
      <w:pPr>
        <w:pStyle w:val="ListParagraph"/>
        <w:suppressAutoHyphens w:val="false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Вывод: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в ходе работы были построены амплитудные и фазовые спектры периодических сигналов, включая колебания я однотональной угловой и амплитудной модуляциями, построены соответствующие графики, получены и исследованы аналитические описания разложения сигналов в РФ. 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 w:val="false"/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sz w:val="28"/>
        <w:szCs w:val="28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c3323a"/>
    <w:pPr>
      <w:widowControl/>
      <w:suppressAutoHyphens w:val="true"/>
      <w:bidi w:val="0"/>
      <w:spacing w:before="0" w:after="0"/>
      <w:jc w:val="left"/>
    </w:pPr>
    <w:rPr>
      <w:rFonts w:ascii="Liberation Serif" w:hAnsi="Liberation Serif" w:cs="Mangal" w:eastAsia="SimSun"/>
      <w:color w:val="auto"/>
      <w:kern w:val="2"/>
      <w:sz w:val="24"/>
      <w:szCs w:val="24"/>
      <w:lang w:eastAsia="zh-CN" w:bidi="hi-IN" w:val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okTitle">
    <w:name w:val="Book Title"/>
    <w:basedOn w:val="DefaultParagraphFont"/>
    <w:uiPriority w:val="33"/>
    <w:qFormat/>
    <w:rsid w:val="00e24d1c"/>
    <w:rPr>
      <w:b/>
      <w:bCs/>
      <w:smallCaps/>
      <w:spacing w:val="5"/>
    </w:rPr>
  </w:style>
  <w:style w:type="character" w:styleId="Times142" w:customStyle="1">
    <w:name w:val="Times14_РИО2 Знак"/>
    <w:link w:val="Times1421"/>
    <w:qFormat/>
    <w:locked/>
    <w:rsid w:val="00e24d1c"/>
    <w:rPr>
      <w:rFonts w:ascii="Liberation Serif" w:hAnsi="Liberation Serif" w:eastAsia="SimSun" w:cs="Mangal"/>
      <w:kern w:val="2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782f26"/>
    <w:pPr>
      <w:spacing w:before="0" w:after="200"/>
    </w:pPr>
    <w:rPr>
      <w:i/>
      <w:iCs/>
      <w:color w:themeColor="text2" w:val="44546A"/>
      <w:sz w:val="18"/>
      <w:szCs w:val="16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andard" w:customStyle="1">
    <w:name w:val="Standard"/>
    <w:qFormat/>
    <w:rsid w:val="00e24d1c"/>
    <w:pPr>
      <w:widowControl/>
      <w:suppressAutoHyphens w:val="true"/>
      <w:bidi w:val="0"/>
      <w:spacing w:before="0" w:after="0"/>
      <w:jc w:val="left"/>
    </w:pPr>
    <w:rPr>
      <w:rFonts w:ascii="Liberation Serif" w:hAnsi="Liberation Serif" w:cs="Mangal" w:eastAsia="SimSun"/>
      <w:color w:val="auto"/>
      <w:kern w:val="2"/>
      <w:sz w:val="24"/>
      <w:szCs w:val="24"/>
      <w:lang w:val="en-US" w:eastAsia="zh-CN" w:bidi="hi-IN"/>
    </w:rPr>
  </w:style>
  <w:style w:type="paragraph" w:styleId="Times1421" w:customStyle="1">
    <w:name w:val="Times14_РИО2"/>
    <w:basedOn w:val="Standard"/>
    <w:link w:val="Times142"/>
    <w:qFormat/>
    <w:rsid w:val="00e24d1c"/>
    <w:pPr>
      <w:spacing w:lineRule="auto" w:line="312"/>
      <w:ind w:firstLine="709"/>
      <w:jc w:val="both"/>
    </w:pPr>
    <w:rPr>
      <w:sz w:val="28"/>
    </w:rPr>
  </w:style>
  <w:style w:type="paragraph" w:styleId="ListParagraph">
    <w:name w:val="List Paragraph"/>
    <w:basedOn w:val="Normal"/>
    <w:uiPriority w:val="34"/>
    <w:qFormat/>
    <w:rsid w:val="00e24d1c"/>
    <w:pPr>
      <w:spacing w:before="0" w:after="0"/>
      <w:ind w:left="720"/>
      <w:contextualSpacing/>
    </w:pPr>
    <w:rPr>
      <w:szCs w:val="21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39"/>
    <w:rsid w:val="00e24d1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pn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pn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png"/><Relationship Id="rId20" Type="http://schemas.openxmlformats.org/officeDocument/2006/relationships/image" Target="media/image19.jpeg"/><Relationship Id="rId21" Type="http://schemas.openxmlformats.org/officeDocument/2006/relationships/image" Target="media/image16.jpeg"/><Relationship Id="rId22" Type="http://schemas.openxmlformats.org/officeDocument/2006/relationships/image" Target="media/image20.png"/><Relationship Id="rId23" Type="http://schemas.openxmlformats.org/officeDocument/2006/relationships/image" Target="media/image21.jpeg"/><Relationship Id="rId24" Type="http://schemas.openxmlformats.org/officeDocument/2006/relationships/image" Target="media/image22.jpeg"/><Relationship Id="rId25" Type="http://schemas.openxmlformats.org/officeDocument/2006/relationships/image" Target="media/image23.png"/><Relationship Id="rId26" Type="http://schemas.openxmlformats.org/officeDocument/2006/relationships/image" Target="media/image24.jpeg"/><Relationship Id="rId27" Type="http://schemas.openxmlformats.org/officeDocument/2006/relationships/image" Target="media/image25.jpeg"/><Relationship Id="rId28" Type="http://schemas.openxmlformats.org/officeDocument/2006/relationships/image" Target="media/image26.png"/><Relationship Id="rId29" Type="http://schemas.openxmlformats.org/officeDocument/2006/relationships/image" Target="media/image27.jpeg"/><Relationship Id="rId30" Type="http://schemas.openxmlformats.org/officeDocument/2006/relationships/image" Target="media/image14.jpeg"/><Relationship Id="rId31" Type="http://schemas.openxmlformats.org/officeDocument/2006/relationships/numbering" Target="numbering.xml"/><Relationship Id="rId32" Type="http://schemas.openxmlformats.org/officeDocument/2006/relationships/fontTable" Target="fontTable.xml"/><Relationship Id="rId33" Type="http://schemas.openxmlformats.org/officeDocument/2006/relationships/settings" Target="settings.xml"/><Relationship Id="rId3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Application>LibreOffice/25.2.5.2$Linux_X86_64 LibreOffice_project/520$Build-2</Application>
  <AppVersion>15.0000</AppVersion>
  <Pages>16</Pages>
  <Words>643</Words>
  <Characters>4457</Characters>
  <CharactersWithSpaces>5030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2024-09-26T17:15:00Z</dcterms:created>
  <dc:creator>AdminOK</dc:creator>
  <dc:description/>
  <dc:language>ru-RU</dc:language>
  <cp:lastModifiedBy/>
  <cp:lastPrinted>2025-09-30T12:41:40Z</cp:lastPrinted>
  <dcterms:modified xsi:type="dcterms:W3CDTF">2025-09-30T12:41:12Z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