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65D"/>
          <w:sz w:val="48"/>
          <w:szCs w:val="48"/>
        </w:rPr>
        <w:t xml:space="preserve">ANDREW MATELJAN</w:t>
      </w:r>
    </w:p>
    <w:p>
      <w:pPr>
        <w:spacing w:after="40"/>
        <w:jc w:val="center"/>
      </w:pPr>
      <w:r>
        <w:rPr>
          <w:rFonts w:ascii="Arial" w:cs="Arial" w:eastAsia="Arial" w:hAnsi="Arial"/>
          <w:color w:val="C5952A"/>
          <w:sz w:val="22"/>
          <w:szCs w:val="22"/>
        </w:rPr>
        <w:t xml:space="preserve">Professional Tennis Coach  |  Founder &amp; Director, Laguna Beach Tennis Academy</w:t>
      </w:r>
    </w:p>
    <w:p>
      <w:pPr>
        <w:pBdr>
          <w:bottom w:val="single" w:color="C5952A" w:sz="6" w:space="8"/>
        </w:pBdr>
        <w:spacing w:after="20"/>
        <w:jc w:val="center"/>
      </w:pPr>
      <w:r>
        <w:t xml:space="preserve"/>
      </w:r>
    </w:p>
    <w:p>
      <w:pPr>
        <w:spacing w:after="360"/>
        <w:jc w:val="center"/>
      </w:pPr>
      <w:r>
        <w:rPr>
          <w:rFonts w:ascii="Arial" w:cs="Arial" w:eastAsia="Arial" w:hAnsi="Arial"/>
          <w:color w:val="555555"/>
          <w:sz w:val="18"/>
          <w:szCs w:val="18"/>
        </w:rPr>
        <w:t xml:space="preserve">andrew@tennisbeast.com  |  949-241-0847  |  Laguna Beach, California</w:t>
      </w:r>
    </w:p>
    <w:p>
      <w:pPr>
        <w:spacing w:after="200"/>
      </w:pPr>
      <w:r>
        <w:t xml:space="preserve">Andrew Mateljan is one of Southern California’s most respected player development coaches and the founder of Laguna Beach Tennis Academy (LBTA)—the official tennis partner of the City of Laguna Beach. With over 25 years in the sport as a nationally ranked junior competitor, ITF Futures professional, international touring coach, and academy director, Andrew has built a comprehensive development system serving nearly 2,000 families—taking players from their first rally to the ATP Tour.</w:t>
      </w:r>
    </w:p>
    <w:p>
      <w:pPr>
        <w:spacing w:after="200"/>
      </w:pPr>
      <w:r>
        <w:t xml:space="preserve">His coaching resume is rare in its range: Andrew has guided players from 10U beginners through Division I scholarships at programs like South Carolina, Yale, and Cornell, and currently coaches active ATP professionals. The methodology driving every session at LBTA—movement-first, systems-driven, built on professional standards—was forged across three continents and two decades of elite competition and coaching.</w:t>
      </w:r>
    </w:p>
    <w:p>
      <w:pPr>
        <w:pStyle w:val="Heading1"/>
      </w:pPr>
      <w:r>
        <w:t xml:space="preserve">Playing Career</w:t>
      </w:r>
    </w:p>
    <w:p>
      <w:pPr>
        <w:spacing w:after="200"/>
      </w:pPr>
      <w:r>
        <w:t xml:space="preserve">Andrew was a dominant force in Southern California junior tennis. Ranked </w:t>
      </w:r>
      <w:r>
        <w:rPr>
          <w:b/>
          <w:bCs/>
        </w:rPr>
        <w:t xml:space="preserve">#3 in SoCal and #12 nationally</w:t>
      </w:r>
      <w:r>
        <w:t xml:space="preserve"> by USTA, he won The Ojai—one of the oldest and most prestigious tournaments in American tennis—and captured multiple SoCal Sectional titles in singles, doubles, and team competition. He competed twice at the USTA Boys National Championships in Kalamazoo, Michigan, the premier junior event in the country, and was a finalist at the SoCal Sectionals, where his opponent went on to reach ATP World No. 21.</w:t>
      </w:r>
    </w:p>
    <w:p>
      <w:pPr>
        <w:spacing w:after="200"/>
      </w:pPr>
      <w:r>
        <w:t xml:space="preserve">Andrew’s competitive career extended beyond juniors into the professional ranks. He competed on the ITF Futures circuit across the United States, South America, and internationally, earning an ITF World Junior Ranking and registering as an ATP/ITF professional. His playing career—defined by tactical precision, relentless footwork, and mental toughness under pressure—laid the foundation for every principle he coaches today.</w:t>
      </w:r>
    </w:p>
    <w:p>
      <w:pPr>
        <w:pStyle w:val="Heading1"/>
      </w:pPr>
      <w:r>
        <w:t xml:space="preserve">Coaching Background &amp; Global Experience</w:t>
      </w:r>
    </w:p>
    <w:p>
      <w:pPr>
        <w:spacing w:after="200"/>
      </w:pPr>
      <w:r>
        <w:t xml:space="preserve">Andrew began coaching at 19 and quickly distinguished himself through his deep understanding of performance systems and player psychology. He spent </w:t>
      </w:r>
      <w:r>
        <w:rPr>
          <w:b/>
          <w:bCs/>
        </w:rPr>
        <w:t xml:space="preserve">seven years coaching internationally</w:t>
      </w:r>
      <w:r>
        <w:t xml:space="preserve"> across Europe, including extended periods in </w:t>
      </w:r>
      <w:r>
        <w:rPr>
          <w:b/>
          <w:bCs/>
        </w:rPr>
        <w:t xml:space="preserve">Spain, Croatia, and Norway</w:t>
      </w:r>
      <w:r>
        <w:t xml:space="preserve">, where he trained alongside and within boutique high-performance facilities and absorbed the European player development philosophy that emphasizes movement quality, patience, and technical precision above all else.</w:t>
      </w:r>
    </w:p>
    <w:p>
      <w:pPr>
        <w:spacing w:after="200"/>
      </w:pPr>
      <w:r>
        <w:t xml:space="preserve">In Spain, Andrew trained within the clay court methodology pioneered at institutions like Sanchez-Casal Academy—the system that shaped Rafael Nadal’s generation. In Croatia, he worked with an emerging tennis nation producing world-class talent. As a personal traveling coach for a top Scandinavian junior, he gained firsthand experience navigating international tournaments and diverse competitive environments. This global perspective—rare among American coaches—gives LBTA players access to a truly world-class development philosophy.</w:t>
      </w:r>
    </w:p>
    <w:p>
      <w:pPr>
        <w:spacing w:after="200"/>
      </w:pPr>
      <w:r>
        <w:t xml:space="preserve">Andrew is also a </w:t>
      </w:r>
      <w:r>
        <w:rPr>
          <w:b/>
          <w:bCs/>
        </w:rPr>
        <w:t xml:space="preserve">GPTCA-ATP certified coach</w:t>
      </w:r>
      <w:r>
        <w:t xml:space="preserve"> and a featured speaker at the </w:t>
      </w:r>
      <w:r>
        <w:rPr>
          <w:b/>
          <w:bCs/>
        </w:rPr>
        <w:t xml:space="preserve">World Tennis Conference</w:t>
      </w:r>
      <w:r>
        <w:t xml:space="preserve">, where he has presented alongside some of the most influential minds in professional tennis development.</w:t>
      </w:r>
    </w:p>
    <w:p>
      <w:pPr>
        <w:pStyle w:val="Heading1"/>
      </w:pPr>
      <w:r>
        <w:t xml:space="preserve">Founder &amp; Director | Laguna Beach Tennis Academy</w:t>
      </w:r>
    </w:p>
    <w:p>
      <w:pPr>
        <w:spacing w:after="200"/>
      </w:pPr>
      <w:r>
        <w:t xml:space="preserve">Andrew founded Laguna Beach Tennis Academy in 2018 with a clear mission: to build a complete player development pathway—from first lesson to professional tennis—within a structured, accountable, and professionally run environment. In 2020, LBTA was named the </w:t>
      </w:r>
      <w:r>
        <w:rPr>
          <w:b/>
          <w:bCs/>
        </w:rPr>
        <w:t xml:space="preserve">Official Tennis Partner of the City of Laguna Beach</w:t>
      </w:r>
      <w:r>
        <w:t xml:space="preserve">, a distinction that reflects the academy’s commitment to both competitive excellence and community service.</w:t>
      </w:r>
    </w:p>
    <w:p>
      <w:pPr>
        <w:spacing w:after="200"/>
      </w:pPr>
      <w:r>
        <w:t xml:space="preserve">Today, LBTA has served over </w:t>
      </w:r>
      <w:r>
        <w:rPr>
          <w:b/>
          <w:bCs/>
        </w:rPr>
        <w:t xml:space="preserve">2,000 players across nearly 2,000 families</w:t>
      </w:r>
      <w:r>
        <w:t xml:space="preserve">—growing from a handful of students in 2020 to approximately 900 active players per year by 2024. The academy fields </w:t>
      </w:r>
      <w:r>
        <w:rPr>
          <w:b/>
          <w:bCs/>
        </w:rPr>
        <w:t xml:space="preserve">five Junior Team Tennis (JTT) teams</w:t>
      </w:r>
      <w:r>
        <w:t xml:space="preserve"> competing across USTA SoCal and is supported by a professional coaching staff led by Director of Tennis Operations Robert LeBuhn.</w:t>
      </w:r>
    </w:p>
    <w:p>
      <w:pPr>
        <w:pStyle w:val="Heading2"/>
      </w:pPr>
      <w:r>
        <w:t xml:space="preserve">LBTA Programs</w:t>
      </w:r>
    </w:p>
    <w:p>
      <w:pPr>
        <w:pStyle w:val="Heading3"/>
      </w:pPr>
      <w:r>
        <w:t xml:space="preserve">Junior Pathway</w:t>
      </w:r>
    </w:p>
    <w:p>
      <w:pPr>
        <w:spacing w:after="160"/>
      </w:pPr>
      <w:r>
        <w:t xml:space="preserve">A progressive development track from Red Ball (ages 4–6) through Orange Ball, Green Ball, and into Varsity and High Performance tiers. Every stage is designed with clear benchmarks, structured sessions, and measurable progress—so players and parents always know exactly where they stand and what’s next.</w:t>
      </w:r>
    </w:p>
    <w:p>
      <w:pPr>
        <w:pStyle w:val="Heading3"/>
      </w:pPr>
      <w:r>
        <w:t xml:space="preserve">High Performance Training</w:t>
      </w:r>
    </w:p>
    <w:p>
      <w:pPr>
        <w:spacing w:after="160"/>
      </w:pPr>
      <w:r>
        <w:t xml:space="preserve">For athletes competing in USTA, ITF, and collegiate-prep events. High Performance players train using the same movement-first methodology and tactical frameworks Andrew employs with ATP professionals—adapted for each player’s level and development stage. This tier has produced nationally ranked Blue Chip recruits, Division I scholarship athletes, and players who have gone on to compete professionally.</w:t>
      </w:r>
    </w:p>
    <w:p>
      <w:pPr>
        <w:pStyle w:val="Heading3"/>
      </w:pPr>
      <w:r>
        <w:t xml:space="preserve">Adult Programs</w:t>
      </w:r>
    </w:p>
    <w:p>
      <w:pPr>
        <w:spacing w:after="160"/>
      </w:pPr>
      <w:r>
        <w:t xml:space="preserve">From beginners picking up a racquet for the first time to USTA league competitors, LBTA’s adult programs focus on technique improvement, movement efficiency, and match play confidence in a professional and engaging setting.</w:t>
      </w:r>
    </w:p>
    <w:p>
      <w:pPr>
        <w:pStyle w:val="Heading3"/>
      </w:pPr>
      <w:r>
        <w:t xml:space="preserve">Private &amp; Semi-Private Coaching</w:t>
      </w:r>
    </w:p>
    <w:p>
      <w:pPr>
        <w:spacing w:after="200"/>
      </w:pPr>
      <w:r>
        <w:t xml:space="preserve">Customized one-on-one and small-group training tailored to each player’s unique strengths, goals, and competitive timeline. Private coaching at LBTA is not a generic hour on court—it’s a targeted development plan built around measurable outcomes.</w:t>
      </w:r>
    </w:p>
    <w:p>
      <w:pPr>
        <w:pStyle w:val="Heading1"/>
      </w:pPr>
      <w:r>
        <w:t xml:space="preserve">Elite Player Coaching</w:t>
      </w:r>
    </w:p>
    <w:p>
      <w:pPr>
        <w:spacing w:after="200"/>
      </w:pPr>
      <w:r>
        <w:t xml:space="preserve">What separates LBTA from most academy programs is that Andrew is not a former coach—he is an </w:t>
      </w:r>
      <w:r>
        <w:rPr>
          <w:b/>
          <w:bCs/>
        </w:rPr>
        <w:t xml:space="preserve">active ATP touring coach</w:t>
      </w:r>
      <w:r>
        <w:t xml:space="preserve">. The techniques, tactics, and preparation systems taught at every level of the academy are drawn directly from his work with professional players competing on the world’s biggest stages.</w:t>
      </w:r>
    </w:p>
    <w:p>
      <w:pPr>
        <w:pStyle w:val="Heading3"/>
      </w:pPr>
      <w:r>
        <w:t xml:space="preserve">Current &amp; Notable ATP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00"/>
        <w:gridCol w:w="4040"/>
      </w:tblGrid>
      <w:tr>
        <w:tc>
          <w:tcPr>
            <w:tcW w:type="dxa" w:w="31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9"/>
                <w:szCs w:val="19"/>
              </w:rPr>
              <w:t xml:space="preserve">Player</w:t>
            </w:r>
          </w:p>
        </w:tc>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9"/>
                <w:szCs w:val="19"/>
              </w:rPr>
              <w:t xml:space="preserve">Career-High Ranking</w:t>
            </w:r>
          </w:p>
        </w:tc>
        <w:tc>
          <w:tcPr>
            <w:tcW w:type="dxa" w:w="404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Karuê Sell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ATP #258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Featured in the LA Times (2024); developed under Andrew’s coaching direction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Colton Smith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ATP #133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Traveled with Andrew to Indian Wells ATP Masters 1000 (2025)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Ryan Seggerman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ATP #63 (Doubles)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Grand Slam competitor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Max McKennon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ATP #458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Developing under Andrew’s mentorship</w:t>
            </w:r>
          </w:p>
        </w:tc>
      </w:tr>
    </w:tbl>
    <w:p>
      <w:pPr>
        <w:spacing w:after="120"/>
      </w:pPr>
      <w:r>
        <w:t xml:space="preserve"/>
      </w:r>
    </w:p>
    <w:p>
      <w:pPr>
        <w:pStyle w:val="Heading3"/>
      </w:pPr>
      <w:r>
        <w:t xml:space="preserve">Pre-LBTA: Alex Michelsen</w:t>
      </w:r>
    </w:p>
    <w:p>
      <w:pPr>
        <w:spacing w:after="200"/>
      </w:pPr>
      <w:r>
        <w:t xml:space="preserve">Before founding LBTA, Andrew coached </w:t>
      </w:r>
      <w:r>
        <w:rPr>
          <w:b/>
          <w:bCs/>
        </w:rPr>
        <w:t xml:space="preserve">Alex Michelsen</w:t>
      </w:r>
      <w:r>
        <w:t xml:space="preserve"> at ages 12–13 in Orange County (2016–2017). Michelsen is now ranked </w:t>
      </w:r>
      <w:r>
        <w:rPr>
          <w:b/>
          <w:bCs/>
        </w:rPr>
        <w:t xml:space="preserve">ATP #30</w:t>
      </w:r>
      <w:r>
        <w:t xml:space="preserve"> and won the </w:t>
      </w:r>
      <w:r>
        <w:rPr>
          <w:b/>
          <w:bCs/>
        </w:rPr>
        <w:t xml:space="preserve">2022 Wimbledon Boys Doubles title</w:t>
      </w:r>
      <w:r>
        <w:t xml:space="preserve">—a testament to the early developmental foundation Andrew helps build.</w:t>
      </w:r>
    </w:p>
    <w:p>
      <w:pPr>
        <w:pStyle w:val="Heading3"/>
      </w:pPr>
      <w:r>
        <w:t xml:space="preserve">Division I College Development</w:t>
      </w:r>
    </w:p>
    <w:p>
      <w:pPr>
        <w:spacing w:after="120"/>
      </w:pPr>
      <w:r>
        <w:t xml:space="preserve">Andrew has guided athletes into top collegiate programs, including: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9"/>
                <w:szCs w:val="19"/>
              </w:rPr>
              <w:t xml:space="preserve">Player</w:t>
            </w:r>
          </w:p>
        </w:tc>
        <w:tc>
          <w:tcPr>
            <w:tcW w:type="dxa" w:w="31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9"/>
                <w:szCs w:val="19"/>
              </w:rPr>
              <w:t xml:space="preserve">University</w:t>
            </w:r>
          </w:p>
        </w:tc>
        <w:tc>
          <w:tcPr>
            <w:tcW w:type="dxa" w:w="31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9"/>
                <w:szCs w:val="19"/>
              </w:rPr>
              <w:t xml:space="preserve">Recruiting Rank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Sean Daryabeigi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University of South Carolina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Blue Chip — #2 nationally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Rebecca Lynn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Yale University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Blue Chip — #9 nationally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Lauren Stein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Cornell University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Five-Star — #9 nationally (G16s)</w:t>
            </w:r>
          </w:p>
        </w:tc>
      </w:tr>
    </w:tbl>
    <w:p>
      <w:pPr>
        <w:spacing w:after="200"/>
      </w:pPr>
      <w:r>
        <w:t xml:space="preserve"/>
      </w:r>
    </w:p>
    <w:p>
      <w:pPr>
        <w:pStyle w:val="Heading1"/>
      </w:pPr>
      <w:r>
        <w:t xml:space="preserve">Founder | Fit4Tennis — Global Tennis Fitness Platform</w:t>
      </w:r>
    </w:p>
    <w:p>
      <w:pPr>
        <w:spacing w:after="200"/>
      </w:pPr>
      <w:r>
        <w:t xml:space="preserve">Andrew also leads </w:t>
      </w:r>
      <w:r>
        <w:rPr>
          <w:b/>
          <w:bCs/>
        </w:rPr>
        <w:t xml:space="preserve">Fit4Tennis</w:t>
      </w:r>
      <w:r>
        <w:t xml:space="preserve">, a global tennis-specific fitness platform with over </w:t>
      </w:r>
      <w:r>
        <w:rPr>
          <w:b/>
          <w:bCs/>
        </w:rPr>
        <w:t xml:space="preserve">100,000 followers</w:t>
      </w:r>
      <w:r>
        <w:t xml:space="preserve"> across Instagram, YouTube, and TikTok, built in partnership with more than 25 contributing coaches and specialists. Fit4Tennis delivers evidence-based strength, mobility, and conditioning programs designed specifically for tennis athletes—from weekend players to touring professionals.</w:t>
      </w:r>
    </w:p>
    <w:p>
      <w:pPr>
        <w:spacing w:after="200"/>
      </w:pPr>
      <w:r>
        <w:t xml:space="preserve">The platform features professional workout collaborations with ATP players and reflects Andrew’s belief that modern tennis demands modern athletic preparation. Fit4Tennis empowers players worldwide to train like athletes—anywhere, anytime.</w:t>
      </w:r>
    </w:p>
    <w:p>
      <w:pPr>
        <w:pStyle w:val="Heading1"/>
      </w:pPr>
      <w:r>
        <w:t xml:space="preserve">Coaching Philosophy</w:t>
      </w:r>
    </w:p>
    <w:p>
      <w:pPr>
        <w:spacing w:after="200"/>
      </w:pPr>
      <w:r>
        <w:t xml:space="preserve">Andrew’s coaching philosophy is rooted in the European performance tradition and refined through decades of competition and professional development at the highest levels. Every session is designed to develop movement quality, tactical clarity, and the emotional resilience required to perform under pressure.</w:t>
      </w:r>
    </w:p>
    <w:p>
      <w:pPr>
        <w:spacing w:after="80" w:before="160"/>
      </w:pPr>
      <w:r>
        <w:rPr>
          <w:rFonts w:ascii="Arial" w:cs="Arial" w:eastAsia="Arial" w:hAnsi="Arial"/>
          <w:b/>
          <w:bCs/>
          <w:color w:val="1B365D"/>
          <w:sz w:val="22"/>
          <w:szCs w:val="22"/>
        </w:rPr>
        <w:t xml:space="preserve">Movement First:  </w:t>
      </w:r>
      <w:r>
        <w:rPr>
          <w:sz w:val="22"/>
          <w:szCs w:val="22"/>
        </w:rPr>
        <w:t xml:space="preserve">Great footwork produces great shots. Movement is the cornerstone of repeatable, high-level tennis—and it’s the single biggest differentiator between good players and elite ones.</w:t>
      </w:r>
    </w:p>
    <w:p>
      <w:pPr>
        <w:spacing w:after="80" w:before="160"/>
      </w:pPr>
      <w:r>
        <w:rPr>
          <w:rFonts w:ascii="Arial" w:cs="Arial" w:eastAsia="Arial" w:hAnsi="Arial"/>
          <w:b/>
          <w:bCs/>
          <w:color w:val="1B365D"/>
          <w:sz w:val="22"/>
          <w:szCs w:val="22"/>
        </w:rPr>
        <w:t xml:space="preserve">Simplicity &amp; System:  </w:t>
      </w:r>
      <w:r>
        <w:rPr>
          <w:sz w:val="22"/>
          <w:szCs w:val="22"/>
        </w:rPr>
        <w:t xml:space="preserve">Strip away the noise. Focus on the fundamentals that matter most for match play, and build them into a repeatable system the player owns.</w:t>
      </w:r>
    </w:p>
    <w:p>
      <w:pPr>
        <w:spacing w:after="80" w:before="160"/>
      </w:pPr>
      <w:r>
        <w:rPr>
          <w:rFonts w:ascii="Arial" w:cs="Arial" w:eastAsia="Arial" w:hAnsi="Arial"/>
          <w:b/>
          <w:bCs/>
          <w:color w:val="1B365D"/>
          <w:sz w:val="22"/>
          <w:szCs w:val="22"/>
        </w:rPr>
        <w:t xml:space="preserve">Performance Over Perfection:  </w:t>
      </w:r>
      <w:r>
        <w:rPr>
          <w:sz w:val="22"/>
          <w:szCs w:val="22"/>
        </w:rPr>
        <w:t xml:space="preserve">Build confidence through execution, not overthinking. Players learn to trust their training under competitive pressure.</w:t>
      </w:r>
    </w:p>
    <w:p>
      <w:pPr>
        <w:spacing w:after="80" w:before="160"/>
      </w:pPr>
      <w:r>
        <w:rPr>
          <w:rFonts w:ascii="Arial" w:cs="Arial" w:eastAsia="Arial" w:hAnsi="Arial"/>
          <w:b/>
          <w:bCs/>
          <w:color w:val="1B365D"/>
          <w:sz w:val="22"/>
          <w:szCs w:val="22"/>
        </w:rPr>
        <w:t xml:space="preserve">Whole-Athlete Development:  </w:t>
      </w:r>
      <w:r>
        <w:rPr>
          <w:sz w:val="22"/>
          <w:szCs w:val="22"/>
        </w:rPr>
        <w:t xml:space="preserve">Training extends beyond the court to include fitness, recovery, nutrition, and mindset—because champions are built in the hours between matches.</w:t>
      </w:r>
    </w:p>
    <w:p>
      <w:pPr>
        <w:spacing w:after="80" w:before="160"/>
      </w:pPr>
      <w:r>
        <w:rPr>
          <w:rFonts w:ascii="Arial" w:cs="Arial" w:eastAsia="Arial" w:hAnsi="Arial"/>
          <w:b/>
          <w:bCs/>
          <w:color w:val="1B365D"/>
          <w:sz w:val="22"/>
          <w:szCs w:val="22"/>
        </w:rPr>
        <w:t xml:space="preserve">Player Ownership:  </w:t>
      </w:r>
      <w:r>
        <w:rPr>
          <w:sz w:val="22"/>
          <w:szCs w:val="22"/>
        </w:rPr>
        <w:t xml:space="preserve">The ultimate goal is an athlete who can lead themselves—with clarity, accountability, and independence. Coaching should make itself unnecessary.</w:t>
      </w:r>
    </w:p>
    <w:p>
      <w:pPr>
        <w:pStyle w:val="Heading1"/>
      </w:pPr>
      <w:r>
        <w:t xml:space="preserve">Legacy &amp; Vision</w:t>
      </w:r>
    </w:p>
    <w:p>
      <w:pPr>
        <w:spacing w:after="200"/>
      </w:pPr>
      <w:r>
        <w:t xml:space="preserve">Tennis runs deep in the Mateljan family. Andrew’s athletic lineage spans four generations—from his grandfather’s All-CIF basketball career in 1950s Redlands, through multiple family members who competed at the Division I collegiate level, to Andrew’s own nationally ranked playing career and now his sons growing up on the courts of LBTA.</w:t>
      </w:r>
    </w:p>
    <w:p>
      <w:pPr>
        <w:spacing w:after="200"/>
      </w:pPr>
      <w:r>
        <w:t xml:space="preserve">That legacy informs everything Andrew builds. Laguna Beach Tennis Academy is not a program designed around one coach—it’s a professional development system designed to outlast any single person. Andrew’s vision is to make LBTA the standard for how tennis academies should operate: structured, accountable, results-driven, and built on an authentic love for the sport.</w:t>
      </w:r>
    </w:p>
    <w:p>
      <w:pPr>
        <w:spacing w:after="200"/>
      </w:pPr>
      <w:r>
        <w:rPr>
          <w:i/>
          <w:iCs/>
        </w:rPr>
        <w:t xml:space="preserve">Every player who steps on court at LBTA—from a five-year-old hitting their first ball to an ATP professional preparing for a Grand Slam qualifier—deserves the same thing: elite coaching, professional systems, and a coach who’s been in the arena.</w:t>
      </w:r>
    </w:p>
    <w:p>
      <w:pPr>
        <w:pBdr>
          <w:bottom w:val="single" w:color="C5952A" w:sz="6" w:space="8"/>
        </w:pBdr>
        <w:spacing w:after="200" w:before="200"/>
      </w:pPr>
      <w:r>
        <w:t xml:space="preserve"/>
      </w:r>
    </w:p>
    <w:p>
      <w:pPr>
        <w:pStyle w:val="Heading2"/>
        <w:jc w:val="center"/>
      </w:pPr>
      <w: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EDE6" w:val="clear"/>
            <w:tcMar>
              <w:top w:type="dxa" w:w="60"/>
              <w:left w:type="dxa" w:w="100"/>
              <w:bottom w:type="dxa" w:w="60"/>
              <w:right w:type="dxa" w:w="100"/>
            </w:tcMar>
          </w:tcPr>
          <w:p>
            <w:r>
              <w:rPr>
                <w:rFonts w:ascii="Arial" w:cs="Arial" w:eastAsia="Arial" w:hAnsi="Arial"/>
                <w:b/>
                <w:bCs/>
                <w:color w:val="1B365D"/>
                <w:sz w:val="19"/>
                <w:szCs w:val="19"/>
              </w:rPr>
              <w:t xml:space="preserve">Founder</w:t>
            </w:r>
          </w:p>
        </w:tc>
        <w:tc>
          <w:tcPr>
            <w:tcW w:type="dxa" w:w="6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Laguna Beach Tennis Academy  |  Fit4Tennis</w:t>
            </w:r>
          </w:p>
        </w:tc>
      </w:tr>
      <w:tr>
        <w:tc>
          <w:tcPr>
            <w:tcW w:type="dxa" w:w="3200"/>
            <w:tcBorders>
              <w:top w:val="single" w:color="DDDDDD" w:sz="1"/>
              <w:left w:val="single" w:color="DDDDDD" w:sz="1"/>
              <w:bottom w:val="single" w:color="DDDDDD" w:sz="1"/>
              <w:right w:val="single" w:color="DDDDDD" w:sz="1"/>
            </w:tcBorders>
            <w:shd w:fill="F0EDE6" w:val="clear"/>
            <w:tcMar>
              <w:top w:type="dxa" w:w="60"/>
              <w:left w:type="dxa" w:w="100"/>
              <w:bottom w:type="dxa" w:w="60"/>
              <w:right w:type="dxa" w:w="100"/>
            </w:tcMar>
          </w:tcPr>
          <w:p>
            <w:r>
              <w:rPr>
                <w:rFonts w:ascii="Arial" w:cs="Arial" w:eastAsia="Arial" w:hAnsi="Arial"/>
                <w:b/>
                <w:bCs/>
                <w:color w:val="1B365D"/>
                <w:sz w:val="19"/>
                <w:szCs w:val="19"/>
              </w:rPr>
              <w:t xml:space="preserve">Experience</w:t>
            </w:r>
          </w:p>
        </w:tc>
        <w:tc>
          <w:tcPr>
            <w:tcW w:type="dxa" w:w="6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25+ years in tennis; former top-ranked junior (#3 SoCal, #12 USA) and ITF Futures professional</w:t>
            </w:r>
          </w:p>
        </w:tc>
      </w:tr>
      <w:tr>
        <w:tc>
          <w:tcPr>
            <w:tcW w:type="dxa" w:w="3200"/>
            <w:tcBorders>
              <w:top w:val="single" w:color="DDDDDD" w:sz="1"/>
              <w:left w:val="single" w:color="DDDDDD" w:sz="1"/>
              <w:bottom w:val="single" w:color="DDDDDD" w:sz="1"/>
              <w:right w:val="single" w:color="DDDDDD" w:sz="1"/>
            </w:tcBorders>
            <w:shd w:fill="F0EDE6" w:val="clear"/>
            <w:tcMar>
              <w:top w:type="dxa" w:w="60"/>
              <w:left w:type="dxa" w:w="100"/>
              <w:bottom w:type="dxa" w:w="60"/>
              <w:right w:type="dxa" w:w="100"/>
            </w:tcMar>
          </w:tcPr>
          <w:p>
            <w:r>
              <w:rPr>
                <w:rFonts w:ascii="Arial" w:cs="Arial" w:eastAsia="Arial" w:hAnsi="Arial"/>
                <w:b/>
                <w:bCs/>
                <w:color w:val="1B365D"/>
                <w:sz w:val="19"/>
                <w:szCs w:val="19"/>
              </w:rPr>
              <w:t xml:space="preserve">ATP Players Coached</w:t>
            </w:r>
          </w:p>
        </w:tc>
        <w:tc>
          <w:tcPr>
            <w:tcW w:type="dxa" w:w="6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Karuê Sell (#258)  ·  Colton Smith (#133)  ·  Ryan Seggerman (#63 Doubles)  ·  Max McKennon (#458)</w:t>
            </w:r>
          </w:p>
        </w:tc>
      </w:tr>
      <w:tr>
        <w:tc>
          <w:tcPr>
            <w:tcW w:type="dxa" w:w="3200"/>
            <w:tcBorders>
              <w:top w:val="single" w:color="DDDDDD" w:sz="1"/>
              <w:left w:val="single" w:color="DDDDDD" w:sz="1"/>
              <w:bottom w:val="single" w:color="DDDDDD" w:sz="1"/>
              <w:right w:val="single" w:color="DDDDDD" w:sz="1"/>
            </w:tcBorders>
            <w:shd w:fill="F0EDE6" w:val="clear"/>
            <w:tcMar>
              <w:top w:type="dxa" w:w="60"/>
              <w:left w:type="dxa" w:w="100"/>
              <w:bottom w:type="dxa" w:w="60"/>
              <w:right w:type="dxa" w:w="100"/>
            </w:tcMar>
          </w:tcPr>
          <w:p>
            <w:r>
              <w:rPr>
                <w:rFonts w:ascii="Arial" w:cs="Arial" w:eastAsia="Arial" w:hAnsi="Arial"/>
                <w:b/>
                <w:bCs/>
                <w:color w:val="1B365D"/>
                <w:sz w:val="19"/>
                <w:szCs w:val="19"/>
              </w:rPr>
              <w:t xml:space="preserve">D1 Players Developed</w:t>
            </w:r>
          </w:p>
        </w:tc>
        <w:tc>
          <w:tcPr>
            <w:tcW w:type="dxa" w:w="6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Sean Daryabeigi (South Carolina)  ·  Rebecca Lynn (Yale)  ·  Lauren Stein (Cornell)</w:t>
            </w:r>
          </w:p>
        </w:tc>
      </w:tr>
      <w:tr>
        <w:tc>
          <w:tcPr>
            <w:tcW w:type="dxa" w:w="3200"/>
            <w:tcBorders>
              <w:top w:val="single" w:color="DDDDDD" w:sz="1"/>
              <w:left w:val="single" w:color="DDDDDD" w:sz="1"/>
              <w:bottom w:val="single" w:color="DDDDDD" w:sz="1"/>
              <w:right w:val="single" w:color="DDDDDD" w:sz="1"/>
            </w:tcBorders>
            <w:shd w:fill="F0EDE6" w:val="clear"/>
            <w:tcMar>
              <w:top w:type="dxa" w:w="60"/>
              <w:left w:type="dxa" w:w="100"/>
              <w:bottom w:type="dxa" w:w="60"/>
              <w:right w:type="dxa" w:w="100"/>
            </w:tcMar>
          </w:tcPr>
          <w:p>
            <w:r>
              <w:rPr>
                <w:rFonts w:ascii="Arial" w:cs="Arial" w:eastAsia="Arial" w:hAnsi="Arial"/>
                <w:b/>
                <w:bCs/>
                <w:color w:val="1B365D"/>
                <w:sz w:val="19"/>
                <w:szCs w:val="19"/>
              </w:rPr>
              <w:t xml:space="preserve">Academy Scale</w:t>
            </w:r>
          </w:p>
        </w:tc>
        <w:tc>
          <w:tcPr>
            <w:tcW w:type="dxa" w:w="6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2,000+ players  ·  ~1,900 families  ·  5 JTT teams  ·  Official City of Laguna Beach tennis partner</w:t>
            </w:r>
          </w:p>
        </w:tc>
      </w:tr>
      <w:tr>
        <w:tc>
          <w:tcPr>
            <w:tcW w:type="dxa" w:w="3200"/>
            <w:tcBorders>
              <w:top w:val="single" w:color="DDDDDD" w:sz="1"/>
              <w:left w:val="single" w:color="DDDDDD" w:sz="1"/>
              <w:bottom w:val="single" w:color="DDDDDD" w:sz="1"/>
              <w:right w:val="single" w:color="DDDDDD" w:sz="1"/>
            </w:tcBorders>
            <w:shd w:fill="F0EDE6" w:val="clear"/>
            <w:tcMar>
              <w:top w:type="dxa" w:w="60"/>
              <w:left w:type="dxa" w:w="100"/>
              <w:bottom w:type="dxa" w:w="60"/>
              <w:right w:type="dxa" w:w="100"/>
            </w:tcMar>
          </w:tcPr>
          <w:p>
            <w:r>
              <w:rPr>
                <w:rFonts w:ascii="Arial" w:cs="Arial" w:eastAsia="Arial" w:hAnsi="Arial"/>
                <w:b/>
                <w:bCs/>
                <w:color w:val="1B365D"/>
                <w:sz w:val="19"/>
                <w:szCs w:val="19"/>
              </w:rPr>
              <w:t xml:space="preserve">Specialty</w:t>
            </w:r>
          </w:p>
        </w:tc>
        <w:tc>
          <w:tcPr>
            <w:tcW w:type="dxa" w:w="6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Player development systems, high-performance training, movement-based coaching</w:t>
            </w:r>
          </w:p>
        </w:tc>
      </w:tr>
      <w:tr>
        <w:tc>
          <w:tcPr>
            <w:tcW w:type="dxa" w:w="3200"/>
            <w:tcBorders>
              <w:top w:val="single" w:color="DDDDDD" w:sz="1"/>
              <w:left w:val="single" w:color="DDDDDD" w:sz="1"/>
              <w:bottom w:val="single" w:color="DDDDDD" w:sz="1"/>
              <w:right w:val="single" w:color="DDDDDD" w:sz="1"/>
            </w:tcBorders>
            <w:shd w:fill="F0EDE6" w:val="clear"/>
            <w:tcMar>
              <w:top w:type="dxa" w:w="60"/>
              <w:left w:type="dxa" w:w="100"/>
              <w:bottom w:type="dxa" w:w="60"/>
              <w:right w:type="dxa" w:w="100"/>
            </w:tcMar>
          </w:tcPr>
          <w:p>
            <w:r>
              <w:rPr>
                <w:rFonts w:ascii="Arial" w:cs="Arial" w:eastAsia="Arial" w:hAnsi="Arial"/>
                <w:b/>
                <w:bCs/>
                <w:color w:val="1B365D"/>
                <w:sz w:val="19"/>
                <w:szCs w:val="19"/>
              </w:rPr>
              <w:t xml:space="preserve">Global Experience</w:t>
            </w:r>
          </w:p>
        </w:tc>
        <w:tc>
          <w:tcPr>
            <w:tcW w:type="dxa" w:w="6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Spain, Croatia, Norway, South America, USA</w:t>
            </w:r>
          </w:p>
        </w:tc>
      </w:tr>
      <w:tr>
        <w:tc>
          <w:tcPr>
            <w:tcW w:type="dxa" w:w="3200"/>
            <w:tcBorders>
              <w:top w:val="single" w:color="DDDDDD" w:sz="1"/>
              <w:left w:val="single" w:color="DDDDDD" w:sz="1"/>
              <w:bottom w:val="single" w:color="DDDDDD" w:sz="1"/>
              <w:right w:val="single" w:color="DDDDDD" w:sz="1"/>
            </w:tcBorders>
            <w:shd w:fill="F0EDE6" w:val="clear"/>
            <w:tcMar>
              <w:top w:type="dxa" w:w="60"/>
              <w:left w:type="dxa" w:w="100"/>
              <w:bottom w:type="dxa" w:w="60"/>
              <w:right w:type="dxa" w:w="100"/>
            </w:tcMar>
          </w:tcPr>
          <w:p>
            <w:r>
              <w:rPr>
                <w:rFonts w:ascii="Arial" w:cs="Arial" w:eastAsia="Arial" w:hAnsi="Arial"/>
                <w:b/>
                <w:bCs/>
                <w:color w:val="1B365D"/>
                <w:sz w:val="19"/>
                <w:szCs w:val="19"/>
              </w:rPr>
              <w:t xml:space="preserve">Certifications</w:t>
            </w:r>
          </w:p>
        </w:tc>
        <w:tc>
          <w:tcPr>
            <w:tcW w:type="dxa" w:w="6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GPTCA-ATP Certified  ·  World Tennis Conference Speaker</w:t>
            </w:r>
          </w:p>
        </w:tc>
      </w:tr>
      <w:tr>
        <w:tc>
          <w:tcPr>
            <w:tcW w:type="dxa" w:w="3200"/>
            <w:tcBorders>
              <w:top w:val="single" w:color="DDDDDD" w:sz="1"/>
              <w:left w:val="single" w:color="DDDDDD" w:sz="1"/>
              <w:bottom w:val="single" w:color="DDDDDD" w:sz="1"/>
              <w:right w:val="single" w:color="DDDDDD" w:sz="1"/>
            </w:tcBorders>
            <w:shd w:fill="F0EDE6" w:val="clear"/>
            <w:tcMar>
              <w:top w:type="dxa" w:w="60"/>
              <w:left w:type="dxa" w:w="100"/>
              <w:bottom w:type="dxa" w:w="60"/>
              <w:right w:type="dxa" w:w="100"/>
            </w:tcMar>
          </w:tcPr>
          <w:p>
            <w:r>
              <w:rPr>
                <w:rFonts w:ascii="Arial" w:cs="Arial" w:eastAsia="Arial" w:hAnsi="Arial"/>
                <w:b/>
                <w:bCs/>
                <w:color w:val="1B365D"/>
                <w:sz w:val="19"/>
                <w:szCs w:val="19"/>
              </w:rPr>
              <w:t xml:space="preserve">Base</w:t>
            </w:r>
          </w:p>
        </w:tc>
        <w:tc>
          <w:tcPr>
            <w:tcW w:type="dxa" w:w="6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Laguna Beach, California</w:t>
            </w:r>
          </w:p>
        </w:tc>
      </w:tr>
      <w:tr>
        <w:tc>
          <w:tcPr>
            <w:tcW w:type="dxa" w:w="3200"/>
            <w:tcBorders>
              <w:top w:val="single" w:color="DDDDDD" w:sz="1"/>
              <w:left w:val="single" w:color="DDDDDD" w:sz="1"/>
              <w:bottom w:val="single" w:color="DDDDDD" w:sz="1"/>
              <w:right w:val="single" w:color="DDDDDD" w:sz="1"/>
            </w:tcBorders>
            <w:shd w:fill="F0EDE6" w:val="clear"/>
            <w:tcMar>
              <w:top w:type="dxa" w:w="60"/>
              <w:left w:type="dxa" w:w="100"/>
              <w:bottom w:type="dxa" w:w="60"/>
              <w:right w:type="dxa" w:w="100"/>
            </w:tcMar>
          </w:tcPr>
          <w:p>
            <w:r>
              <w:rPr>
                <w:rFonts w:ascii="Arial" w:cs="Arial" w:eastAsia="Arial" w:hAnsi="Arial"/>
                <w:b/>
                <w:bCs/>
                <w:color w:val="1B365D"/>
                <w:sz w:val="19"/>
                <w:szCs w:val="19"/>
              </w:rPr>
              <w:t xml:space="preserve">Contact</w:t>
            </w:r>
          </w:p>
        </w:tc>
        <w:tc>
          <w:tcPr>
            <w:tcW w:type="dxa" w:w="6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andrew@tennisbeast.com  |  949-241-0847</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365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595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2026-02-28T23:11:35.260Z</dcterms:created>
  <dcterms:modified xsi:type="dcterms:W3CDTF">2026-02-28T23:11:35.261Z</dcterms:modified>
</cp:coreProperties>
</file>

<file path=docProps/custom.xml><?xml version="1.0" encoding="utf-8"?>
<Properties xmlns="http://schemas.openxmlformats.org/officeDocument/2006/custom-properties" xmlns:vt="http://schemas.openxmlformats.org/officeDocument/2006/docPropsVTypes"/>
</file>