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center"/>
      </w:pPr>
      <w:r>
        <w:rPr>
          <w:rFonts w:ascii="Arial" w:cs="Arial" w:eastAsia="Arial" w:hAnsi="Arial"/>
          <w:b/>
          <w:bCs/>
          <w:color w:val="1B3A6B"/>
          <w:spacing w:val="60"/>
          <w:sz w:val="28"/>
          <w:szCs w:val="28"/>
        </w:rPr>
        <w:t xml:space="preserve">LAGUNA BEACH TENNIS ACADEMY</w:t>
      </w:r>
    </w:p>
    <w:p>
      <w:pPr>
        <w:spacing w:before="0" w:after="60"/>
        <w:jc w:val="center"/>
      </w:pPr>
      <w:r>
        <w:rPr>
          <w:rFonts w:ascii="Arial" w:cs="Arial" w:eastAsia="Arial" w:hAnsi="Arial"/>
          <w:color w:val="444444"/>
          <w:sz w:val="24"/>
          <w:szCs w:val="24"/>
        </w:rPr>
        <w:t xml:space="preserve">Player Progression System</w:t>
      </w:r>
    </w:p>
    <w:p>
      <w:pPr>
        <w:spacing w:before="160" w:after="0"/>
      </w:pPr>
      <w:r>
        <w:t xml:space="preserve"/>
      </w:r>
    </w:p>
    <w:p>
      <w:pPr>
        <w:pBdr>
          <w:bottom w:val="single" w:color="F8A121" w:sz="8" w:space="4"/>
        </w:pBdr>
        <w:spacing w:before="0" w:after="80"/>
        <w:jc w:val="center"/>
      </w:pPr>
      <w:r>
        <w:rPr>
          <w:rFonts w:ascii="Arial" w:cs="Arial" w:eastAsia="Arial" w:hAnsi="Arial"/>
          <w:b/>
          <w:bCs/>
          <w:color w:val="1B3A6B"/>
          <w:sz w:val="36"/>
          <w:szCs w:val="36"/>
        </w:rPr>
        <w:t xml:space="preserve">Domain 10: Adult-Specific Engagement &amp; Gamification Design</w:t>
      </w:r>
    </w:p>
    <w:p>
      <w:pPr>
        <w:spacing w:before="120" w:after="0"/>
      </w:pPr>
      <w:r>
        <w:t xml:space="preserve"/>
      </w:r>
    </w:p>
    <w:p>
      <w:pPr>
        <w:spacing w:before="60" w:after="60"/>
        <w:jc w:val="center"/>
      </w:pPr>
      <w:r>
        <w:rPr>
          <w:rFonts w:ascii="Arial" w:cs="Arial" w:eastAsia="Arial" w:hAnsi="Arial"/>
          <w:color w:val="444444"/>
          <w:sz w:val="24"/>
          <w:szCs w:val="24"/>
        </w:rPr>
        <w:t xml:space="preserve">Research Synthesis &amp; Design Recommendations</w:t>
      </w:r>
    </w:p>
    <w:p>
      <w:pPr>
        <w:spacing w:before="60" w:after="60"/>
        <w:jc w:val="center"/>
      </w:pPr>
      <w:r>
        <w:rPr>
          <w:rFonts w:ascii="Arial" w:cs="Arial" w:eastAsia="Arial" w:hAnsi="Arial"/>
          <w:color w:val="444444"/>
          <w:sz w:val="22"/>
          <w:szCs w:val="22"/>
        </w:rPr>
        <w:t xml:space="preserve">February 2026</w:t>
      </w:r>
    </w:p>
    <w:p>
      <w:pPr>
        <w:spacing w:before="200" w:after="0"/>
      </w:pPr>
      <w:r>
        <w:t xml:space="preserve"/>
      </w:r>
    </w:p>
    <w:p>
      <w:pPr>
        <w:spacing w:before="0" w:after="60"/>
        <w:jc w:val="center"/>
      </w:pPr>
      <w:r>
        <w:rPr>
          <w:rFonts w:ascii="Arial" w:cs="Arial" w:eastAsia="Arial" w:hAnsi="Arial"/>
          <w:b/>
          <w:bCs/>
          <w:color w:val="F8A121"/>
          <w:spacing w:val="40"/>
          <w:sz w:val="20"/>
          <w:szCs w:val="20"/>
        </w:rPr>
        <w:t xml:space="preserve">CONFIDENTIAL — INTERNAL USE ONLY</w:t>
      </w:r>
    </w:p>
    <w:p>
      <w:pPr>
        <w:spacing w:before="400" w:after="0"/>
      </w:pPr>
      <w:r>
        <w:t xml:space="preserve"/>
      </w:r>
    </w:p>
    <w:p>
      <w:r>
        <w:br w:type="page"/>
      </w:r>
    </w:p>
    <w:p>
      <w:pPr>
        <w:pStyle w:val="Heading1"/>
        <w:spacing w:before="320" w:after="160"/>
      </w:pPr>
      <w:r>
        <w:rPr>
          <w:rFonts w:ascii="Arial" w:cs="Arial" w:eastAsia="Arial" w:hAnsi="Arial"/>
          <w:b/>
          <w:bCs/>
          <w:color w:val="1B3A6B"/>
          <w:sz w:val="32"/>
          <w:szCs w:val="32"/>
        </w:rPr>
        <w:t xml:space="preserve">Executive Summary</w:t>
      </w:r>
    </w:p>
    <w:p>
      <w:pPr>
        <w:spacing w:before="60" w:after="80"/>
      </w:pPr>
      <w:r>
        <w:rPr>
          <w:rFonts w:ascii="Arial" w:cs="Arial" w:eastAsia="Arial" w:hAnsi="Arial"/>
          <w:color w:val="444444"/>
          <w:sz w:val="22"/>
          <w:szCs w:val="22"/>
        </w:rPr>
        <w:t xml:space="preserve">This document synthesizes research from behavioral psychology, adult learning science, premium fitness club design, and national tennis participation data to establish evidence-based principles for LBTA’s adult engagement architecture. Domain 10 is the final domain in the Player Progression System and addresses the population segment that has driven virtually all of tennis’ growth over the past five years: adults 18 and older.</w:t>
      </w:r>
    </w:p>
    <w:p>
      <w:pPr>
        <w:spacing w:before="80" w:after="0"/>
      </w:pPr>
      <w:r>
        <w:t xml:space="preserve"/>
      </w:r>
    </w:p>
    <w:p>
      <w:pPr>
        <w:spacing w:before="60" w:after="80"/>
      </w:pPr>
      <w:r>
        <w:rPr>
          <w:rFonts w:ascii="Arial" w:cs="Arial" w:eastAsia="Arial" w:hAnsi="Arial"/>
          <w:color w:val="444444"/>
          <w:sz w:val="22"/>
          <w:szCs w:val="22"/>
        </w:rPr>
        <w:t xml:space="preserve">The core finding: adult engagement systems that succeed long-term are fundamentally different from youth systems in design language, recognition architecture, and motivation structure — while sharing the same underlying Self-Determination Theory (SDT) framework. Adults respond to behavioral science and psychology, not game-like visuals. They want analytics that feel like a Bloomberg terminal, not a leaderboard that looks like a children’s app. They value access and community above badges and points. The academy that understands this distinction and builds for it holds a durable competitive advantage.</w:t>
      </w:r>
    </w:p>
    <w:p>
      <w:pPr>
        <w:spacing w:before="80" w:after="0"/>
      </w:pPr>
      <w:r>
        <w:t xml:space="preserve"/>
      </w:r>
    </w:p>
    <w:p>
      <w:pPr>
        <w:spacing w:before="60" w:after="80"/>
      </w:pPr>
      <w:r>
        <w:rPr>
          <w:rFonts w:ascii="Arial" w:cs="Arial" w:eastAsia="Arial" w:hAnsi="Arial"/>
          <w:color w:val="444444"/>
          <w:sz w:val="22"/>
          <w:szCs w:val="22"/>
        </w:rPr>
        <w:t xml:space="preserve">The market context is historically favorable. U.S. tennis participation reached 25.7 million players in 2024 — the highest proportion on record at one in every twelve Americans — with adult players accounting for the sustained growth while junior numbers remained flat. Core players (those playing 10+ times annually) grew 11% year-over-year to 13 million in 2024, representing 50% of all participants. By 2025, U.S. tennis had grown further to 27.3 million players with a 79% year-over-year retention rate. LBTA operates in one of the highest-income coastal communities in California, precisely the demographic that over-indexes on premium fitness and lifestyle investment. The adult segment is not a secondary priority — it is a durable revenue engine with distinct needs that this domain is designed to serve.</w:t>
      </w:r>
    </w:p>
    <w:p>
      <w:pPr>
        <w:spacing w:before="80" w:after="0"/>
      </w:pPr>
      <w:r>
        <w:t xml:space="preserve"/>
      </w:r>
    </w:p>
    <w:p>
      <w:pPr>
        <w:spacing w:before="60" w:after="80"/>
      </w:pPr>
      <w:r>
        <w:rPr>
          <w:rFonts w:ascii="Arial" w:cs="Arial" w:eastAsia="Arial" w:hAnsi="Arial"/>
          <w:color w:val="444444"/>
          <w:sz w:val="22"/>
          <w:szCs w:val="22"/>
        </w:rPr>
        <w:t xml:space="preserve">The financial case is direct. LBTA’s adult programs — private lessons, clinics, social events, and mixed doubles — generate significant revenue per player at margins comparable to or better than youth programs. A well-designed adult engagement system operates through four mechanisms: reduced churn at natural dropout inflection points (schedule change, social disconnection, plateau perception, life transition), increased frequency and program advancement, referral generation from socially visible recognition, and family lifetime value extension through household conversion and multi-program enrollment.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D5E8F0"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The Design Principle That Governs Everything</w:t>
            </w:r>
          </w:p>
          <w:p>
            <w:pPr>
              <w:spacing w:before="40" w:after="40"/>
            </w:pPr>
            <w:r>
              <w:rPr>
                <w:rFonts w:ascii="Arial" w:cs="Arial" w:eastAsia="Arial" w:hAnsi="Arial"/>
                <w:color w:val="444444"/>
                <w:sz w:val="20"/>
                <w:szCs w:val="20"/>
              </w:rPr>
              <w:t xml:space="preserve">Adults do not want to play a game. They want to see themselves improving. The engagement system must function as a mirror of genuine progress — presented with professional clarity, earned through real effort, and connected to a community they are proud to belong to. Build it like a performance analytics platform. Make it feel like a private members club. Never make it feel like a children’s app.</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1. Theoretical Foundations: Why Adults Are Different</w:t>
      </w:r>
    </w:p>
    <w:p>
      <w:pPr>
        <w:pStyle w:val="Heading2"/>
        <w:spacing w:before="240" w:after="120"/>
      </w:pPr>
      <w:r>
        <w:rPr>
          <w:rFonts w:ascii="Arial" w:cs="Arial" w:eastAsia="Arial" w:hAnsi="Arial"/>
          <w:b/>
          <w:bCs/>
          <w:color w:val="1B3A6B"/>
          <w:sz w:val="26"/>
          <w:szCs w:val="26"/>
        </w:rPr>
        <w:t xml:space="preserve">1.1 The Fundamental Behavioral Distinction</w:t>
      </w:r>
    </w:p>
    <w:p>
      <w:pPr>
        <w:spacing w:before="60" w:after="80"/>
      </w:pPr>
      <w:r>
        <w:rPr>
          <w:rFonts w:ascii="Arial" w:cs="Arial" w:eastAsia="Arial" w:hAnsi="Arial"/>
          <w:color w:val="444444"/>
          <w:sz w:val="22"/>
          <w:szCs w:val="22"/>
        </w:rPr>
        <w:t xml:space="preserve">Research across behavioral psychology and sports science consistently confirms what intuition already suspects: adult engagement requires a different architecture than youth engagement. The failure mode is designing an adult program by stripping the most juvenile features from a youth program. That produces something that satisfies no one.</w:t>
      </w:r>
    </w:p>
    <w:p>
      <w:pPr>
        <w:spacing w:before="80" w:after="0"/>
      </w:pPr>
      <w:r>
        <w:t xml:space="preserve"/>
      </w:r>
    </w:p>
    <w:p>
      <w:pPr>
        <w:spacing w:before="60" w:after="80"/>
      </w:pPr>
      <w:r>
        <w:rPr>
          <w:rFonts w:ascii="Arial" w:cs="Arial" w:eastAsia="Arial" w:hAnsi="Arial"/>
          <w:color w:val="444444"/>
          <w:sz w:val="22"/>
          <w:szCs w:val="22"/>
        </w:rPr>
        <w:t xml:space="preserve">Adults — particularly the 35–60 demographic that represents LBTA’s core adult customer — demonstrate three behavioral patterns that must shape every engagement decision:</w:t>
      </w:r>
    </w:p>
    <w:p>
      <w:pPr>
        <w:spacing w:before="60" w:after="0"/>
      </w:pPr>
      <w:r>
        <w:t xml:space="preserve"/>
      </w:r>
    </w:p>
    <w:p>
      <w:pPr>
        <w:spacing w:before="60" w:after="80"/>
      </w:pPr>
      <w:r>
        <w:rPr>
          <w:rFonts w:ascii="Arial" w:cs="Arial" w:eastAsia="Arial" w:hAnsi="Arial"/>
          <w:b/>
          <w:bCs/>
          <w:color w:val="444444"/>
          <w:sz w:val="22"/>
          <w:szCs w:val="22"/>
        </w:rPr>
        <w:t xml:space="preserve">Data-seeking over reward-seeking: </w:t>
      </w:r>
      <w:r>
        <w:rPr>
          <w:rFonts w:ascii="Arial" w:cs="Arial" w:eastAsia="Arial" w:hAnsi="Arial"/>
          <w:color w:val="444444"/>
          <w:sz w:val="22"/>
          <w:szCs w:val="22"/>
        </w:rPr>
        <w:t xml:space="preserve">Adults process progress through information, not recognition events. A WHOOP-style performance dashboard that shows resting heart rate trends, recovery scores, and training load satisfies the competence need that a badge cannot. Adults want to understand their own physiology and performance — they want insight, not applause.</w:t>
      </w:r>
    </w:p>
    <w:p>
      <w:pPr>
        <w:spacing w:before="60" w:after="80"/>
      </w:pPr>
      <w:r>
        <w:rPr>
          <w:rFonts w:ascii="Arial" w:cs="Arial" w:eastAsia="Arial" w:hAnsi="Arial"/>
          <w:b/>
          <w:bCs/>
          <w:color w:val="444444"/>
          <w:sz w:val="22"/>
          <w:szCs w:val="22"/>
        </w:rPr>
        <w:t xml:space="preserve">Social belonging through peer equality: </w:t>
      </w:r>
      <w:r>
        <w:rPr>
          <w:rFonts w:ascii="Arial" w:cs="Arial" w:eastAsia="Arial" w:hAnsi="Arial"/>
          <w:color w:val="444444"/>
          <w:sz w:val="22"/>
          <w:szCs w:val="22"/>
        </w:rPr>
        <w:t xml:space="preserve">Adults build community through horizontal relationships — playing partners, doubles pairings, social events among equals — not through vertical recognition hierarchies. A leaderboard that ranks adults publicly activates status anxiety without producing engagement. A social matchmaking system that connects people at similar skill levels produces the belonging that sustains long-term participation.</w:t>
      </w:r>
    </w:p>
    <w:p>
      <w:pPr>
        <w:spacing w:before="60" w:after="80"/>
      </w:pPr>
      <w:r>
        <w:rPr>
          <w:rFonts w:ascii="Arial" w:cs="Arial" w:eastAsia="Arial" w:hAnsi="Arial"/>
          <w:b/>
          <w:bCs/>
          <w:color w:val="444444"/>
          <w:sz w:val="22"/>
          <w:szCs w:val="22"/>
        </w:rPr>
        <w:t xml:space="preserve">Time-economy pressure: </w:t>
      </w:r>
      <w:r>
        <w:rPr>
          <w:rFonts w:ascii="Arial" w:cs="Arial" w:eastAsia="Arial" w:hAnsi="Arial"/>
          <w:color w:val="444444"/>
          <w:sz w:val="22"/>
          <w:szCs w:val="22"/>
        </w:rPr>
        <w:t xml:space="preserve">Adult churn is most commonly triggered not by dissatisfaction but by scheduling friction. When court time becomes inconvenient, adults do not complain — they quietly stop renewing. The engagement system must reduce friction at every scheduling touchpoint and create enough social obligation (playing partners, team membership, league commitments) that the cost of stopping feels real.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FEF3E2"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Research Finding: Adults Use Progress Features More</w:t>
            </w:r>
          </w:p>
          <w:p>
            <w:pPr>
              <w:spacing w:before="40" w:after="40"/>
            </w:pPr>
            <w:r>
              <w:rPr>
                <w:rFonts w:ascii="Arial" w:cs="Arial" w:eastAsia="Arial" w:hAnsi="Arial"/>
                <w:color w:val="444444"/>
                <w:sz w:val="20"/>
                <w:szCs w:val="20"/>
              </w:rPr>
              <w:t xml:space="preserve">A PubMed study (2022, n=1,247, mean age 42.1) found that older age was significantly associated with greater use of status and progress features in digital fitness platforms (P=0.008). Adults engage with progress systems more than younger players — they simply require those systems to look and feel professional rather than playful. The design problem is not adult disinterest in progress tracking; it is the industry’s failure to build progress tracking that respects adult aesthetic standards.</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1.2 Self-Determination Theory Applied to Adults</w:t>
      </w:r>
    </w:p>
    <w:p>
      <w:pPr>
        <w:spacing w:before="60" w:after="80"/>
      </w:pPr>
      <w:r>
        <w:rPr>
          <w:rFonts w:ascii="Arial" w:cs="Arial" w:eastAsia="Arial" w:hAnsi="Arial"/>
          <w:color w:val="444444"/>
          <w:sz w:val="22"/>
          <w:szCs w:val="22"/>
        </w:rPr>
        <w:t xml:space="preserve">SDT’s three psychological needs — autonomy, competence, and relatedness — apply equally to adults and children, but their practical expression diverges significantly: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Youth Expression</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Adult Expression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Autonomy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Youth: Parent and coach guide choices; external structure is appropriate and welcomed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 Must feel self-directed at every touchpoint. Adults who feel managed or pushed churn silently. Enrollment, scheduling, and goal-setting must feel chosen, not assigned.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Competence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Youth: Milestone recognition, belt progressions, visible level advancement create competence signals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 Progress must be demonstrated through data and real-world outcomes — NTRP advancement, UTR movement, match record improvement, serve speed gains. Subjective praise feels hollow without objective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Relatedness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Youth: Team membership, coach relationships, peer friendships within program cohort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 Peer relationships built around shared playing level and social trust. Community at LBTA must feel like a private members’ club — earned, valued, and worth protecting.</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2. The Adult Tennis Market: Context for Engagement Design</w:t>
      </w:r>
    </w:p>
    <w:p>
      <w:pPr>
        <w:pStyle w:val="Heading2"/>
        <w:spacing w:before="240" w:after="120"/>
      </w:pPr>
      <w:r>
        <w:rPr>
          <w:rFonts w:ascii="Arial" w:cs="Arial" w:eastAsia="Arial" w:hAnsi="Arial"/>
          <w:b/>
          <w:bCs/>
          <w:color w:val="1B3A6B"/>
          <w:sz w:val="26"/>
          <w:szCs w:val="26"/>
        </w:rPr>
        <w:t xml:space="preserve">2.1 National Participation Trends</w:t>
      </w:r>
    </w:p>
    <w:p>
      <w:pPr>
        <w:spacing w:before="60" w:after="80"/>
      </w:pPr>
      <w:r>
        <w:rPr>
          <w:rFonts w:ascii="Arial" w:cs="Arial" w:eastAsia="Arial" w:hAnsi="Arial"/>
          <w:color w:val="444444"/>
          <w:sz w:val="22"/>
          <w:szCs w:val="22"/>
        </w:rPr>
        <w:t xml:space="preserve">The adult tennis market is at a historically strong inflection point. Data from the USTA’s 2025 Participation Report (covering 2024 activity) and the most recent 2025 tracking data establish the following baseline: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Total U.S. players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25.7 million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+8% from 2023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Highest proportion ever — 1 in 12 Americans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Total U.S. players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27.3 million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+1.6 million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Fifth consecutive year of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Core players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13 million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+11% from 2023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50% of all participants play 10+ times/year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Core players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14.5 million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+1.5 million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More than half of all players now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Adult growth (2020–2024)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+4 million players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Sustained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Junior numbers unchanged from 2020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Year-over-year retention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79%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+10% improvement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Players staying with the sport at record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Play occasions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575 million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+9% from 2023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Core players driving session frequency growth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New players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4.9 million first-time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+9% YoY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Conversion pipeline remains strong</w:t>
            </w:r>
          </w:p>
        </w:tc>
      </w:tr>
    </w:tbl>
    <w:p>
      <w:pPr>
        <w:spacing w:before="80" w:after="0"/>
      </w:pPr>
      <w:r>
        <w:t xml:space="preserve"/>
      </w:r>
    </w:p>
    <w:p>
      <w:pPr>
        <w:spacing w:before="60" w:after="80"/>
      </w:pPr>
      <w:r>
        <w:rPr>
          <w:rFonts w:ascii="Arial" w:cs="Arial" w:eastAsia="Arial" w:hAnsi="Arial"/>
          <w:color w:val="444444"/>
          <w:sz w:val="22"/>
          <w:szCs w:val="22"/>
        </w:rPr>
        <w:t xml:space="preserve">For LBTA, the critical implication is that adult tennis engagement is not a niche concern — it is the primary driver of industry growth. The academy’s ability to capture, retain, and deepen engagement with adult players determines its long-term revenue trajectory in ways that junior programs alone cannot.</w:t>
      </w:r>
    </w:p>
    <w:p>
      <w:pPr>
        <w:spacing w:before="80" w:after="0"/>
      </w:pPr>
      <w:r>
        <w:t xml:space="preserve"/>
      </w:r>
    </w:p>
    <w:p>
      <w:pPr>
        <w:pStyle w:val="Heading2"/>
        <w:spacing w:before="240" w:after="120"/>
      </w:pPr>
      <w:r>
        <w:rPr>
          <w:rFonts w:ascii="Arial" w:cs="Arial" w:eastAsia="Arial" w:hAnsi="Arial"/>
          <w:b/>
          <w:bCs/>
          <w:color w:val="1B3A6B"/>
          <w:sz w:val="26"/>
          <w:szCs w:val="26"/>
        </w:rPr>
        <w:t xml:space="preserve">2.2 The LBTA Adult Player Profile</w:t>
      </w:r>
    </w:p>
    <w:p>
      <w:pPr>
        <w:spacing w:before="60" w:after="80"/>
      </w:pPr>
      <w:r>
        <w:rPr>
          <w:rFonts w:ascii="Arial" w:cs="Arial" w:eastAsia="Arial" w:hAnsi="Arial"/>
          <w:color w:val="444444"/>
          <w:sz w:val="22"/>
          <w:szCs w:val="22"/>
        </w:rPr>
        <w:t xml:space="preserve">LBTA’s adult program operates within a distinct demographic context. Laguna Beach is a high-income coastal community where adult leisure spending skews toward premium experiences. The adult tennis player in this market has characteristics that must shape every engagement decision:</w:t>
      </w:r>
    </w:p>
    <w:p>
      <w:pPr>
        <w:spacing w:before="6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Income: Household incomes significantly above the U.S. tennis median of $75K–$100K. Premium pricing does not deter participation — perceived value does.</w:t>
      </w:r>
    </w:p>
    <w:p>
      <w:pPr>
        <w:pStyle w:val="ListParagraph"/>
        <w:numPr>
          <w:ilvl w:val="0"/>
          <w:numId w:val="2"/>
        </w:numPr>
        <w:spacing w:before="40" w:after="40"/>
      </w:pPr>
      <w:r>
        <w:rPr>
          <w:rFonts w:ascii="Arial" w:cs="Arial" w:eastAsia="Arial" w:hAnsi="Arial"/>
          <w:color w:val="444444"/>
          <w:sz w:val="22"/>
          <w:szCs w:val="22"/>
        </w:rPr>
        <w:t xml:space="preserve">Time constraints: Professional schedules, family obligations, and high discretionary time competition mean scheduling convenience is the primary retention lever.</w:t>
      </w:r>
    </w:p>
    <w:p>
      <w:pPr>
        <w:pStyle w:val="ListParagraph"/>
        <w:numPr>
          <w:ilvl w:val="0"/>
          <w:numId w:val="2"/>
        </w:numPr>
        <w:spacing w:before="40" w:after="40"/>
      </w:pPr>
      <w:r>
        <w:rPr>
          <w:rFonts w:ascii="Arial" w:cs="Arial" w:eastAsia="Arial" w:hAnsi="Arial"/>
          <w:color w:val="444444"/>
          <w:sz w:val="22"/>
          <w:szCs w:val="22"/>
        </w:rPr>
        <w:t xml:space="preserve">Status sensitivity: This demographic responds to social status through exclusivity and quality markers, not through public leaderboards. Private, earned recognition outperforms public ranking.</w:t>
      </w:r>
    </w:p>
    <w:p>
      <w:pPr>
        <w:pStyle w:val="ListParagraph"/>
        <w:numPr>
          <w:ilvl w:val="0"/>
          <w:numId w:val="2"/>
        </w:numPr>
        <w:spacing w:before="40" w:after="40"/>
      </w:pPr>
      <w:r>
        <w:rPr>
          <w:rFonts w:ascii="Arial" w:cs="Arial" w:eastAsia="Arial" w:hAnsi="Arial"/>
          <w:color w:val="444444"/>
          <w:sz w:val="22"/>
          <w:szCs w:val="22"/>
        </w:rPr>
        <w:t xml:space="preserve">Referral behavior: High-income adults in tight geographic communities refer through direct personal recommendation. An engaged adult member who feels pride in their academy relationship is LBTA’s highest-value marketing channel.</w:t>
      </w:r>
    </w:p>
    <w:p>
      <w:pPr>
        <w:pStyle w:val="ListParagraph"/>
        <w:numPr>
          <w:ilvl w:val="0"/>
          <w:numId w:val="2"/>
        </w:numPr>
        <w:spacing w:before="40" w:after="40"/>
      </w:pPr>
      <w:r>
        <w:rPr>
          <w:rFonts w:ascii="Arial" w:cs="Arial" w:eastAsia="Arial" w:hAnsi="Arial"/>
          <w:color w:val="444444"/>
          <w:sz w:val="22"/>
          <w:szCs w:val="22"/>
        </w:rPr>
        <w:t xml:space="preserve">Health orientation: Post-2020 wellness awareness has increased adult focus on fitness tracking, recovery metrics, and performance data. Adults in this demographic use wearables, track HRV, and follow sports science content actively.</w:t>
      </w:r>
    </w:p>
    <w:p>
      <w:pPr>
        <w:spacing w:before="80" w:after="0"/>
      </w:pPr>
      <w:r>
        <w:t xml:space="preserve"/>
      </w:r>
    </w:p>
    <w:p>
      <w:pPr>
        <w:pStyle w:val="Heading2"/>
        <w:spacing w:before="240" w:after="120"/>
      </w:pPr>
      <w:r>
        <w:rPr>
          <w:rFonts w:ascii="Arial" w:cs="Arial" w:eastAsia="Arial" w:hAnsi="Arial"/>
          <w:b/>
          <w:bCs/>
          <w:color w:val="1B3A6B"/>
          <w:sz w:val="26"/>
          <w:szCs w:val="26"/>
        </w:rPr>
        <w:t xml:space="preserve">2.3 The USTA League Model: The Most Successful Adult Engagement System in Tennis</w:t>
      </w:r>
    </w:p>
    <w:p>
      <w:pPr>
        <w:spacing w:before="60" w:after="80"/>
      </w:pPr>
      <w:r>
        <w:rPr>
          <w:rFonts w:ascii="Arial" w:cs="Arial" w:eastAsia="Arial" w:hAnsi="Arial"/>
          <w:color w:val="444444"/>
          <w:sz w:val="22"/>
          <w:szCs w:val="22"/>
        </w:rPr>
        <w:t xml:space="preserve">USTA Adult League Tennis represents the most successful adult engagement architecture in the sport, with 320,000+ annual participants organized into a level-matched, team-based, seasonally progressive structure. Its success reveals exactly what adult engagement systems require: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USTA League Feature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Works for Adults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Level-matched competition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NTRP divisions (2.5–5.0) ensure players compete against equal opponents. Engagement comes from appropriate challenge, not from winning easily or losing constantly.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Team-based social structure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League team membership creates the social obligation that sustains participation through scheduling difficulty and performance frustration. The team pulls players 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Clear seasonal progression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Defined seasons with local → district → section → national progression give advanced players an aspiration ladder. Even players who never advance feel the structure.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Annual rating recalibration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NTRP year-end ratings (published December) create an annual milestone moment. Players anticipate their rating, discuss it with teammates, and plan next season around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Multiple age-group divisions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18+/40+/55+/65+ divisions mean adults can find peers at exactly their life stage. A 55-year-old does not compete against 25-year-olds; they find their people.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Mixed doubles as social gateway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Mixed 18+ and Mixed 40+ divisions serve as social engagement pathways that combine athletic participation with gender-mixed community.</w:t>
            </w:r>
          </w:p>
        </w:tc>
      </w:tr>
    </w:tbl>
    <w:p>
      <w:pPr>
        <w:spacing w:before="80" w:after="0"/>
      </w:pPr>
      <w:r>
        <w:t xml:space="preserve"/>
      </w:r>
    </w:p>
    <w:p>
      <w:pPr>
        <w:spacing w:before="60" w:after="80"/>
      </w:pPr>
      <w:r>
        <w:rPr>
          <w:rFonts w:ascii="Arial" w:cs="Arial" w:eastAsia="Arial" w:hAnsi="Arial"/>
          <w:color w:val="444444"/>
          <w:sz w:val="22"/>
          <w:szCs w:val="22"/>
        </w:rPr>
        <w:t xml:space="preserve">LBTA’s adult engagement architecture should draw directly from the USTA League model: seasonal structure with defined endpoints, level-matched play, team or partner social bonds, and annual milestone moments that create anticipation and continuity.</w:t>
      </w:r>
    </w:p>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3. Design Principles: The Adult Engagement Architecture</w:t>
      </w:r>
    </w:p>
    <w:p>
      <w:pPr>
        <w:pStyle w:val="Heading2"/>
        <w:spacing w:before="240" w:after="120"/>
      </w:pPr>
      <w:r>
        <w:rPr>
          <w:rFonts w:ascii="Arial" w:cs="Arial" w:eastAsia="Arial" w:hAnsi="Arial"/>
          <w:b/>
          <w:bCs/>
          <w:color w:val="1B3A6B"/>
          <w:sz w:val="26"/>
          <w:szCs w:val="26"/>
        </w:rPr>
        <w:t xml:space="preserve">3.1 The Six Non-Negotiable Design Principles</w:t>
      </w:r>
    </w:p>
    <w:p>
      <w:pPr>
        <w:spacing w:before="60" w:after="80"/>
      </w:pPr>
      <w:r>
        <w:rPr>
          <w:rFonts w:ascii="Arial" w:cs="Arial" w:eastAsia="Arial" w:hAnsi="Arial"/>
          <w:color w:val="444444"/>
          <w:sz w:val="22"/>
          <w:szCs w:val="22"/>
        </w:rPr>
        <w:t xml:space="preserve">Every adult engagement decision at LBTA must pass through six filters. Elements that fail these filters should be removed regardless of how well they perform in youth contexts: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 Data-forward, not reward-forward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want information about their progress, not rewards for completing it. The primary output of the engagement system is insight — UTR/NTRP trends, fitness benchmarks, match statistics, serve speed history — presented cleanly and professionally.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2. Privacy-first by default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adult features default to private and self-referenced. Public leaderboards, shared performance data, or social comparison features require explicit opt-in. The default experience is a private conversation between the player and their own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3. Access over badges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most meaningful recognition for adults is access: priority booking for popular court times, invitation to advanced clinics, introduction to playing partners at appropriate levels, participation in exclusive social events. Access signals earned status more credibly than any badge.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4. Notification discipline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Maximum 1–3 high-quality notifications per week. Notifications must deliver genuine value: “Your UTR moved from 4.2 to 4.7” or “Your serve speed has improved 8% over the last quarter.” Never: “Great job!” Never: “You’re on a streak!”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5. Opt-in social features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choose their own level of community participation. Some want only private progress tracking. Some want a full social tennis calendar. The system accommodates both without penalizing either. Forced socialization produces resentment, not engagement.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6. The Aman Test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engagement element must pass the Aman Test: would a thoughtful, design-literate adult at a premium resort experience this as elevated and considered? The adult portal, recognition events, communications, and physical materials must all pass this test before implementation.</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3.2 What Fails for Adults (Anti-Patterns)</w:t>
      </w:r>
    </w:p>
    <w:p>
      <w:pPr>
        <w:spacing w:before="60" w:after="80"/>
      </w:pPr>
      <w:r>
        <w:rPr>
          <w:rFonts w:ascii="Arial" w:cs="Arial" w:eastAsia="Arial" w:hAnsi="Arial"/>
          <w:color w:val="444444"/>
          <w:sz w:val="22"/>
          <w:szCs w:val="22"/>
        </w:rPr>
        <w:t xml:space="preserve">The following elements consistently fail in adult tennis engagement contexts and must be explicitly excluded from LBTA’s adult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Cartoon badges or animated rewards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Visually juvenile. Adults perceive these as disrespectful of their 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Confetti animations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Feels like a children’s app. Produces embarrassment, not celebration.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Public leaderboards without opt-in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Activates status anxiety. High-skill adults feel exposed; lower-skill adults feel diminished. Neither outcome serves retention.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‘Awesome!’ and ‘Amazing!’ language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Hollow, generic, and inconsistent with premium brand positioning. Feels like a mass-market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Daily push 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Treats adult discretionary time as infinitely available. Produces opt-out, not engagement.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Points systems visible to others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Comparative point totals without context create competitive anxiety rather than motivation for most adults.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Forced social sharing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‘Share your achievement’ prompts that default to public violate adult privacy norms and damage trust.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Juvenile progression language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Language like ‘Level Up!’ or ‘Achievement Unlocked!’ undermines the premium tone that sophisticated adults expect.</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4. Adult Engagement Architecture: The Four Pillars</w:t>
      </w:r>
    </w:p>
    <w:p>
      <w:pPr>
        <w:spacing w:before="60" w:after="80"/>
      </w:pPr>
      <w:r>
        <w:rPr>
          <w:rFonts w:ascii="Arial" w:cs="Arial" w:eastAsia="Arial" w:hAnsi="Arial"/>
          <w:color w:val="444444"/>
          <w:sz w:val="22"/>
          <w:szCs w:val="22"/>
        </w:rPr>
        <w:t xml:space="preserve">LBTA’s adult engagement system operates through four distinct pillars that work together to create the sustained motivation, social bonds, and competitive structure that retain adult players at premium price points:</w:t>
      </w:r>
    </w:p>
    <w:p>
      <w:pPr>
        <w:spacing w:before="80" w:after="0"/>
      </w:pPr>
      <w:r>
        <w:t xml:space="preserve"/>
      </w:r>
    </w:p>
    <w:p>
      <w:pPr>
        <w:pStyle w:val="Heading2"/>
        <w:spacing w:before="240" w:after="120"/>
      </w:pPr>
      <w:r>
        <w:rPr>
          <w:rFonts w:ascii="Arial" w:cs="Arial" w:eastAsia="Arial" w:hAnsi="Arial"/>
          <w:b/>
          <w:bCs/>
          <w:color w:val="1B3A6B"/>
          <w:sz w:val="26"/>
          <w:szCs w:val="26"/>
        </w:rPr>
        <w:t xml:space="preserve">4.1 Pillar One: Performance Intelligence</w:t>
      </w:r>
    </w:p>
    <w:p>
      <w:pPr>
        <w:spacing w:before="60" w:after="80"/>
      </w:pPr>
      <w:r>
        <w:rPr>
          <w:rFonts w:ascii="Arial" w:cs="Arial" w:eastAsia="Arial" w:hAnsi="Arial"/>
          <w:color w:val="444444"/>
          <w:sz w:val="22"/>
          <w:szCs w:val="22"/>
        </w:rPr>
        <w:t xml:space="preserve">Adults want to see themselves improving. Performance Intelligence is the data layer that makes improvement visible — not through subjective praise but through objective, self-referenced metrics presented with professional clarity.</w:t>
      </w:r>
    </w:p>
    <w:p>
      <w:pPr>
        <w:spacing w:before="60" w:after="0"/>
      </w:pPr>
      <w:r>
        <w:t xml:space="preserve"/>
      </w:r>
    </w:p>
    <w:p>
      <w:pPr>
        <w:spacing w:before="180" w:after="80"/>
      </w:pPr>
      <w:r>
        <w:rPr>
          <w:rFonts w:ascii="Arial" w:cs="Arial" w:eastAsia="Arial" w:hAnsi="Arial"/>
          <w:b/>
          <w:bCs/>
          <w:color w:val="444444"/>
          <w:sz w:val="22"/>
          <w:szCs w:val="22"/>
        </w:rPr>
        <w:t xml:space="preserve">Core Metrics: The Adult Performance Dashboard</w:t>
      </w:r>
    </w:p>
    <w:p>
      <w:pPr>
        <w:spacing w:before="60" w:after="80"/>
      </w:pPr>
      <w:r>
        <w:rPr>
          <w:rFonts w:ascii="Arial" w:cs="Arial" w:eastAsia="Arial" w:hAnsi="Arial"/>
          <w:color w:val="444444"/>
          <w:sz w:val="22"/>
          <w:szCs w:val="22"/>
        </w:rPr>
        <w:t xml:space="preserve">For each adult player, the dashboard surfaces: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Presentation 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UTR Rating Trend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UTR rating over time (quarterly, trailing 12 months). Delta from previous quarter highlighted. Context note explaining what drove the change if available.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NTRP Level Status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Current NTRP level and year-end rating history. Notification when dynamic rating suggests level change is approaching.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Serve Speed 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Serve speed data from session tracking or SwingVision (Domain 9). Personal best highlighted. Season trend line.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Attendance Consistency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Sessions attended vs. sessions available (own schedule). Consistency percentage. Rolling 90-day streak.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Match Record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Win/loss record for the current season. Head-to-head history against regular opponents. Notable match outcomes.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Fitness Benchmarks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Physical assessment data from Domain 1 protocol: agility, reaction, movement efficiency. Quarter-over-quarter delta.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Session Quality Notes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Coach-authored qualitative session notes (not raw observation data). Warm, specific, coach-voiced. Maximum 3–5 sentences per session note.</w:t>
            </w:r>
          </w:p>
        </w:tc>
      </w:tr>
    </w:tbl>
    <w:p>
      <w:pPr>
        <w:spacing w:before="80" w:after="0"/>
      </w:pPr>
      <w:r>
        <w:t xml:space="preserve"/>
      </w:r>
    </w:p>
    <w:p>
      <w:pPr>
        <w:spacing w:before="180" w:after="80"/>
      </w:pPr>
      <w:r>
        <w:rPr>
          <w:rFonts w:ascii="Arial" w:cs="Arial" w:eastAsia="Arial" w:hAnsi="Arial"/>
          <w:b/>
          <w:bCs/>
          <w:color w:val="444444"/>
          <w:sz w:val="22"/>
          <w:szCs w:val="22"/>
        </w:rPr>
        <w:t xml:space="preserve">The Professional Dashboard Aesthetic</w:t>
      </w:r>
    </w:p>
    <w:p>
      <w:pPr>
        <w:spacing w:before="60" w:after="80"/>
      </w:pPr>
      <w:r>
        <w:rPr>
          <w:rFonts w:ascii="Arial" w:cs="Arial" w:eastAsia="Arial" w:hAnsi="Arial"/>
          <w:color w:val="444444"/>
          <w:sz w:val="22"/>
          <w:szCs w:val="22"/>
        </w:rPr>
        <w:t xml:space="preserve">The adult dashboard must not look like a fitness app designed for people who use the word ‘wellness.’ It should look like the kind of performance analytics a serious recreational athlete would respect: clean typography, neutral palette with LBTA navy/gold accents, data presented as trend lines not single-point snapshots, no icons that could appear in a children’s game. The closest analogs are WHOOP’s recovery dashboard, Strava’s performance analysis view, and a Bloomberg-style data presentation — data-dense but not cluttered, professional but not cold.</w:t>
      </w:r>
    </w:p>
    <w:p>
      <w:pPr>
        <w:spacing w:before="80" w:after="0"/>
      </w:pPr>
      <w:r>
        <w:t xml:space="preserve"/>
      </w:r>
    </w:p>
    <w:p>
      <w:pPr>
        <w:pStyle w:val="Heading2"/>
        <w:spacing w:before="240" w:after="120"/>
      </w:pPr>
      <w:r>
        <w:rPr>
          <w:rFonts w:ascii="Arial" w:cs="Arial" w:eastAsia="Arial" w:hAnsi="Arial"/>
          <w:b/>
          <w:bCs/>
          <w:color w:val="1B3A6B"/>
          <w:sz w:val="26"/>
          <w:szCs w:val="26"/>
        </w:rPr>
        <w:t xml:space="preserve">4.2 Pillar Two: Level Progression &amp; NTRP Integration</w:t>
      </w:r>
    </w:p>
    <w:p>
      <w:pPr>
        <w:spacing w:before="60" w:after="80"/>
      </w:pPr>
      <w:r>
        <w:rPr>
          <w:rFonts w:ascii="Arial" w:cs="Arial" w:eastAsia="Arial" w:hAnsi="Arial"/>
          <w:color w:val="444444"/>
          <w:sz w:val="22"/>
          <w:szCs w:val="22"/>
        </w:rPr>
        <w:t xml:space="preserve">The NTRP rating system provides LBTA with a ready-made adult progression architecture. Rather than building a parallel internal system, LBTA should integrate NTRP deeply and use it as the primary level currency for adult players.</w:t>
      </w:r>
    </w:p>
    <w:p>
      <w:pPr>
        <w:spacing w:before="60" w:after="0"/>
      </w:pPr>
      <w:r>
        <w:t xml:space="preserve"/>
      </w:r>
    </w:p>
    <w:p>
      <w:pPr>
        <w:spacing w:before="180" w:after="80"/>
      </w:pPr>
      <w:r>
        <w:rPr>
          <w:rFonts w:ascii="Arial" w:cs="Arial" w:eastAsia="Arial" w:hAnsi="Arial"/>
          <w:b/>
          <w:bCs/>
          <w:color w:val="444444"/>
          <w:sz w:val="22"/>
          <w:szCs w:val="22"/>
        </w:rPr>
        <w:t xml:space="preserve">NTRP Integration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Element</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NTRP as primary level identifier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adult player’s NTRP level is their identity within the LBTA system. Scheduling, program matching, event invitations, and playing partner recommendations all use NTRP level as the primary filter.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Year-end rating as milestone event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NTRP year-end ratings (published each December) become an annual milestone celebration at LBTA. Players receive a personalized season summary from their coach contextualizing the rating result. This is the adult equivalent of the junior player’s Journey stage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Level advancement acknowledgment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a player’s dynamic NTRP suggests an upcoming level change, their coach initiates a private conversation: “Your game has been tracking toward 4.0 this season. Here’s what that means for your training and match play.” The system flags this; the coach delivers it personally.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UTR supplemental tracking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For adults who compete in UTR-rated events, UTR movement provides a more granular progress signal than NTRP’s annual publication cycle. UTR milestones at 0.5-point increments trigger a brief coach note and dashboard highlight.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Self-Rate to Computer Rate transition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New adult players who self-rate receive a defined path to computer rating: a minimum number of USTA League matches within a season. LBTA coaches guide this process as part of competitive onboarding.</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4.3 Pillar Three: Social Architecture &amp; Community</w:t>
      </w:r>
    </w:p>
    <w:p>
      <w:pPr>
        <w:spacing w:before="60" w:after="80"/>
      </w:pPr>
      <w:r>
        <w:rPr>
          <w:rFonts w:ascii="Arial" w:cs="Arial" w:eastAsia="Arial" w:hAnsi="Arial"/>
          <w:color w:val="444444"/>
          <w:sz w:val="22"/>
          <w:szCs w:val="22"/>
        </w:rPr>
        <w:t xml:space="preserve">For adults, the engagement system must create social bonds that outlast any individual program enrollment. A player who has three playing partners, a doubles league team, and a social event calendar tied to LBTA faces a genuine social cost in leaving. This is the most durable retention mechanism available.</w:t>
      </w:r>
    </w:p>
    <w:p>
      <w:pPr>
        <w:spacing w:before="60" w:after="0"/>
      </w:pPr>
      <w:r>
        <w:t xml:space="preserve"/>
      </w:r>
    </w:p>
    <w:p>
      <w:pPr>
        <w:spacing w:before="180" w:after="80"/>
      </w:pPr>
      <w:r>
        <w:rPr>
          <w:rFonts w:ascii="Arial" w:cs="Arial" w:eastAsia="Arial" w:hAnsi="Arial"/>
          <w:b/>
          <w:bCs/>
          <w:color w:val="444444"/>
          <w:sz w:val="22"/>
          <w:szCs w:val="22"/>
        </w:rPr>
        <w:t xml:space="preserve">The LBTA Adult Community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Community Feature</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Playing Partner Matching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Based on NTRP level, availability, and playing style preference. Matches are human-curated by the coaching team, not algorithmically generated. The coach recommends; the player decides. This satisfies autonomy while facilitating the connection.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LBTA Mixed Doubles League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 seasonal mixed doubles social league modeled on USTA Mixed 18+ structure. 6–8 week seasons with defined start/end dates. Scores tracked. Light seasonal awards ceremony. Functions as the primary adult social calendar anchor.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Adult Clinic Cohorts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Clinics grouped by NTRP level ensure competitive appropriateness. Cohorts play together across multiple sessions, building familiarity and social obligation. A player who misses a clinic session feels genuine social accountability to a group they know.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Advanced Access Events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or quarterly invitation-only events for engaged adults: pro demo nights, SwingVision analysis sessions, high-performance clinic days with visiting coaches, social mixers. These events function as recognition — you are here because your engagement earned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Parent-Player Crossover Programs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who are parents of juniors benefit from programs that acknowledge both roles. A “Parent Court Time” session concurrent with junior programming creates scheduling efficiency and cross-program community. These families become LBTA’s highest-LTV households.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Annual Season Events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 defined annual social calendar: season-opening mixer, mid-season social, year-end celebration aligned with NTRP rating release. These events give the adult program seasonal rhythm and create anticipation that sustains enrollment through the calendar year.</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4.4 Pillar Four: Recognition Through Access</w:t>
      </w:r>
    </w:p>
    <w:p>
      <w:pPr>
        <w:spacing w:before="60" w:after="80"/>
      </w:pPr>
      <w:r>
        <w:rPr>
          <w:rFonts w:ascii="Arial" w:cs="Arial" w:eastAsia="Arial" w:hAnsi="Arial"/>
          <w:color w:val="444444"/>
          <w:sz w:val="22"/>
          <w:szCs w:val="22"/>
        </w:rPr>
        <w:t xml:space="preserve">The most effective adult recognition system is access — giving engaged players priority and exclusive opportunities that feel earned rather than purchased. The recognition architecture mirrors premium club membership models like Soho House, Equinox’s Tier X program, and Aman’s guest relationship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Recognition Form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Priority Booking (Core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who complete a defined engagement benchmark (e.g., 10+ sessions in a season, active league participation) receive 48-hour advance booking access for popular time slots. This is operationally simple and perceived as highly valuable by schedule-constrained adults.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Coach Access Recognition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High-engagement adults receive personalized quarterly sessions with the head coach — a “performance consultation” that reviews their season data, sets goals for the next quarter, and discusses program recommendations. This is the adult equivalent of the Development Portrait.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Clinic Invitation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Advanced or invitation-only clinics reserved for players who have reached a defined NTRP level and engagement threshold. The invitation itself communicates status more effectively than any badge.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LBTA House Member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 named internal designation (e.g., “LBTA House Member”) for adults who have been with the academy for 2+ seasons at active engagement levels. This status unlocks additional access benefits and signals community seniority without requiring a public leaderboard.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Referral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who refer new members receive an escalating access benefit — not a credit, but an access upgrade. First referral: one-month priority booking status. Third referral: invitation to a private coaching session with Andrew. Fifth referral: named contributing member recognition. These are the adult equivalents of the junior referral engine from Domain 4.</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5. Adult Churn Science: Identifying and Preventing the Five Dropout Triggers</w:t>
      </w:r>
    </w:p>
    <w:p>
      <w:pPr>
        <w:spacing w:before="60" w:after="80"/>
      </w:pPr>
      <w:r>
        <w:rPr>
          <w:rFonts w:ascii="Arial" w:cs="Arial" w:eastAsia="Arial" w:hAnsi="Arial"/>
          <w:color w:val="444444"/>
          <w:sz w:val="22"/>
          <w:szCs w:val="22"/>
        </w:rPr>
        <w:t xml:space="preserve">Adult churn in premium tennis programs follows predictable patterns that differ significantly from junior dropout. Understanding the triggers allows the engagement system to intervene at precisely the right moments.</w:t>
      </w:r>
    </w:p>
    <w:p>
      <w:pPr>
        <w:spacing w:before="60" w:after="0"/>
      </w:pPr>
      <w:r>
        <w:t xml:space="preserve"/>
      </w:r>
    </w:p>
    <w:p>
      <w:pPr>
        <w:pStyle w:val="Heading2"/>
        <w:spacing w:before="240" w:after="120"/>
      </w:pPr>
      <w:r>
        <w:rPr>
          <w:rFonts w:ascii="Arial" w:cs="Arial" w:eastAsia="Arial" w:hAnsi="Arial"/>
          <w:b/>
          <w:bCs/>
          <w:color w:val="1B3A6B"/>
          <w:sz w:val="26"/>
          <w:szCs w:val="26"/>
        </w:rPr>
        <w:t xml:space="preserve">5.1 The Five Adult Dropout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 &amp; Response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 Schedule disruption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most common and least discussed trigger. When a regular court time becomes unavailable, a regular playing partner becomes unavailable, or a life obligation (work travel, family obligation) disrupts the established routine, adults do not re-engage spontaneously. The engagement system must detect scheduling gap and initiate human outreach within 72 hours.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2. Social disconnection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Loss of playing partners or doubles team cohesion. Adults play tennis for the social experience as much as the athletic one. When their social anchor at LBTA dissolves — a playing partner moves, a doubles partner stops playing, a clinic cohort disbands — their own continuation loses its social rationale. Playing partner matching and social community design are the primary preventatives.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3. Plateau perception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subjective experience of no longer improving. This is especially powerful for achievement-oriented adults in competitive professional environments who bring the same improvement orientation to their tennis. When they feel stuck, they seek new stimulus — often outside LBTA. The Performance Intelligence dashboard is the primary counter: visible data of improvement prevents the plateau perception even when rate of improvement has slowed.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4. Price-value questioning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When value feels ambiguous, price becomes the lens. Adults who cannot clearly articulate what they are getting from their LBTA investment become price-sensitive. The engagement system — development consultations, performance dashboards, recognition events — makes value concrete and emotionally resonant. Price objections are almost always value-perception problems in disguise.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5. Life transition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Major life changes — new job, relocation, new baby, divorce, health event — are unavoidable and can temporarily or permanently remove adults from any program. The engagement system cannot prevent the trigger but can reduce the exit velocity: a personal outreach from the coaching team at the first sign of absence, an accommodation offer for schedule flexibility, and a clear re-entry pathway when the transition stabilizes.</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5.2 The Adult Retention Intervention Protocol</w:t>
      </w:r>
    </w:p>
    <w:p>
      <w:pPr>
        <w:spacing w:before="60" w:after="80"/>
      </w:pPr>
      <w:r>
        <w:rPr>
          <w:rFonts w:ascii="Arial" w:cs="Arial" w:eastAsia="Arial" w:hAnsi="Arial"/>
          <w:color w:val="444444"/>
          <w:sz w:val="22"/>
          <w:szCs w:val="22"/>
        </w:rPr>
        <w:t xml:space="preserve">The engagement system must include an early-warning protocol that triggers human outreach before an adult player has mentally exited. The following protocol operationalizes churn prevention: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34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Human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Missed 1 session (no explanation)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flag: “Absence noted”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outreach — normal life friction. Monitor.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Missed 2 consecutive sessions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flag: “Early risk”</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Personalized text from coach or Robert: “Hey [name], we missed you at Tuesday’s clinic. Everything okay? Flexible on makeup sessions if your schedule shifted.”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Missed 3 consecutive sessions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flag: “Active risk”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 phone call from coach. Offer a scheduling consultation — a brief review of their program to find a better fit. Do not wait for them to reach out.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30-day absence, no contact</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flag: “High risk”</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Andrew or Robert personal outreach. Not a re-enrollment pitch — a genuine check-in. “I noticed you haven’t been on court in a month. I’d love to find out if there’s something we can do differently.”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60-day absence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System flag: “Churn likely”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Final outreach with specific re-entry offer: a private session at no charge, or a program redesign consultation. Document in Airtable. Mark as win-back candidate for seasonal outreach.</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6. LBTA Adult Program Architecture</w:t>
      </w:r>
    </w:p>
    <w:p>
      <w:pPr>
        <w:spacing w:before="60" w:after="80"/>
      </w:pPr>
      <w:r>
        <w:rPr>
          <w:rFonts w:ascii="Arial" w:cs="Arial" w:eastAsia="Arial" w:hAnsi="Arial"/>
          <w:color w:val="444444"/>
          <w:sz w:val="22"/>
          <w:szCs w:val="22"/>
        </w:rPr>
        <w:t xml:space="preserve">Domain 10 does not redesign LBTA’s adult programs — it provides the engagement framework that makes existing programs more retentive and more referable. The following maps the engagement architecture to LBTA’s current and planned adult program structure.</w:t>
      </w:r>
    </w:p>
    <w:p>
      <w:pPr>
        <w:spacing w:before="60" w:after="0"/>
      </w:pPr>
      <w:r>
        <w:t xml:space="preserve"/>
      </w:r>
    </w:p>
    <w:p>
      <w:pPr>
        <w:pStyle w:val="Heading2"/>
        <w:spacing w:before="240" w:after="120"/>
      </w:pPr>
      <w:r>
        <w:rPr>
          <w:rFonts w:ascii="Arial" w:cs="Arial" w:eastAsia="Arial" w:hAnsi="Arial"/>
          <w:b/>
          <w:bCs/>
          <w:color w:val="1B3A6B"/>
          <w:sz w:val="26"/>
          <w:szCs w:val="26"/>
        </w:rPr>
        <w:t xml:space="preserve">6.1 Program-by-Program Engagement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60"/>
        <w:gridCol w:w="2100"/>
      </w:tblGrid>
      <w:tr>
        <w:trPr>
          <w:tblHeader/>
        </w:trPr>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Program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Primary Engagement Driver</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Social Architecture</w:t>
            </w:r>
          </w:p>
        </w:tc>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Recognition Mechanism</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Private Lessons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Coach relationship, performance data, quarterly consultation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Session notes in portal, UTR/NTRP tracking, serve speed history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Coach recognition, priority booking threshold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Adult Clinics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Cohort community, coach instruction, skill development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Cohort familiarity, social events, level-matched play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Clinic invitation access, cohort retention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Mixed Doubles League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Social competition, partner bonds, seasonal rhythm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Team membership, annual calendar anchor, mixer events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League champion recognition, next-season priority</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High Performance Adults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Data-driven training, competitive preparation, coaching relationship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Full dashboard access, coach consultation, tournament support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HP designation, advanced access events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Drop-In Play Sessions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Scheduling flexibility, variety, low-commitment entry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Playing partner matching, conversion to program enrollment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Consistency tracking, program upgrade invitation</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Parent–Player Programs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Dual household engagement, scheduling efficiency, family bond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Cross-program community, highest-LTV household status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House Member pathway, referral recognition</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6.2 The Adult Player Journey Framework</w:t>
      </w:r>
    </w:p>
    <w:p>
      <w:pPr>
        <w:spacing w:before="60" w:after="80"/>
      </w:pPr>
      <w:r>
        <w:rPr>
          <w:rFonts w:ascii="Arial" w:cs="Arial" w:eastAsia="Arial" w:hAnsi="Arial"/>
          <w:color w:val="444444"/>
          <w:sz w:val="22"/>
          <w:szCs w:val="22"/>
        </w:rPr>
        <w:t xml:space="preserve">Adult players at LBTA follow a distinct journey from first contact to deeply embedded community member. The engagement system must recognize and serve each stage: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 &amp; Engagement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Discovery (Months 1–2)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First exposure through trial, drop-in, or referral. Primary need: see clear improvement quickly, feel welcome in the community. Engagement priority: fast competence signal (first session notes in portal), playing partner introduction, warm personal outreach after first 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Foundation (Months 3–6)</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Regular program enrollment established. Primary need: social integration, scheduling stability, performance visibility. Engagement priority: cohort integration, dashboard activation, first Development Consultation with coach.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Development (Months 7–18)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Active engagement with multiple program touchpoints. Primary need: performance growth visibility, community belonging, competitive participation. Engagement priority: NTRP/UTR tracking active, league or tournament involvement encouraged, community event participation.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Mastery (18+ months)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Deep LBTA community member. Primary need: recognition, access, mentoring opportunities. Engagement priority: House Member status consideration, advanced access events, referral recognition, potential mentor role with newer members.</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7. Adult-Specific Design Language</w:t>
      </w:r>
    </w:p>
    <w:p>
      <w:pPr>
        <w:spacing w:before="60" w:after="80"/>
      </w:pPr>
      <w:r>
        <w:rPr>
          <w:rFonts w:ascii="Arial" w:cs="Arial" w:eastAsia="Arial" w:hAnsi="Arial"/>
          <w:color w:val="444444"/>
          <w:sz w:val="22"/>
          <w:szCs w:val="22"/>
        </w:rPr>
        <w:t xml:space="preserve">The engagement system’s communication quality determines whether adults perceive LBTA as a premium academy or a commodity program. Every communication channel must adhere to design language standards that are fundamentally different from the youth program.</w:t>
      </w:r>
    </w:p>
    <w:p>
      <w:pPr>
        <w:spacing w:before="60" w:after="0"/>
      </w:pPr>
      <w:r>
        <w:t xml:space="preserve"/>
      </w:r>
    </w:p>
    <w:p>
      <w:pPr>
        <w:pStyle w:val="Heading2"/>
        <w:spacing w:before="240" w:after="120"/>
      </w:pPr>
      <w:r>
        <w:rPr>
          <w:rFonts w:ascii="Arial" w:cs="Arial" w:eastAsia="Arial" w:hAnsi="Arial"/>
          <w:b/>
          <w:bCs/>
          <w:color w:val="1B3A6B"/>
          <w:sz w:val="26"/>
          <w:szCs w:val="26"/>
        </w:rPr>
        <w:t xml:space="preserve">7.1 Communication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Communication Type</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Pass (LBTA Standard)</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Fail (What to Avoid)</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Session follow-up note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"Your forehand consistency has measurably improved over the last month. Today’s session reinforced the pattern we’ve been building in your approach shot."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"Great session today! Keep it 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Specific, data-referenced, coach-voiced vs. hollow affirmation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UTR milestone notification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"Your UTR moved from 4.2 to 4.7 this quarter — a significant improvement driven by your match results in March and April."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"You leveled up! Your rating improved!"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Precise, contextualized data vs. juvenile celebration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19"/>
                <w:szCs w:val="19"/>
              </w:rPr>
              <w:t xml:space="preserve">Absence outreach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"We haven’t seen you on court in a couple of weeks. If your schedule has shifted, I’d be glad to find a better fit."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"We miss you! Come back and earn your points!"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Human, specific, no-pressure vs. manipulative engagement bait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Seasonal re-enrollment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"Your program expires at the end of this month. Based on your progress this season, the Tuesday/Thursday clinic would continue your current trajectory."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"Don’t miss out! Limited spots available! Sign up now!"</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19"/>
                <w:szCs w:val="19"/>
              </w:rPr>
              <w:t xml:space="preserve">Personalized recommendation vs. urgency-based sales pressure</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7.2 The Whisper Test Applied to Adults</w:t>
      </w:r>
    </w:p>
    <w:p>
      <w:pPr>
        <w:spacing w:before="60" w:after="80"/>
      </w:pPr>
      <w:r>
        <w:rPr>
          <w:rFonts w:ascii="Arial" w:cs="Arial" w:eastAsia="Arial" w:hAnsi="Arial"/>
          <w:color w:val="444444"/>
          <w:sz w:val="22"/>
          <w:szCs w:val="22"/>
        </w:rPr>
        <w:t xml:space="preserve">Every adult communication must pass the Whisper Test: if this message could speak, would it be whispering or shouting? Premium adult communication whispers. It presents information with calm confidence. It trusts that a considered, specific message will be received more gratefully than a loud, urgent one.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D5E8F0"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The Whisper Standard</w:t>
            </w:r>
          </w:p>
          <w:p>
            <w:pPr>
              <w:spacing w:before="40" w:after="40"/>
            </w:pPr>
            <w:r>
              <w:rPr>
                <w:rFonts w:ascii="Arial" w:cs="Arial" w:eastAsia="Arial" w:hAnsi="Arial"/>
                <w:color w:val="444444"/>
                <w:sz w:val="20"/>
                <w:szCs w:val="20"/>
              </w:rPr>
              <w:t xml:space="preserve">A message passes the Whisper Test when a thoughtful, design-literate adult receiving it would feel respected, informed, and valued — not sold to, managed, or patronized. When in doubt, be quieter. Say less. Mean more.</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7.3 Channel-Specific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1–2 per week maximum. Operational first (schedule confirmation, session reminder). Development news second (rating update, coach note available). No marketing. No urgency.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Tuesday 7pm session is confirmed. See you on court."
"Your UTR update is available in your profile."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Email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or less. Long-form development summary, program recommendations, seasonal event invitation. Never automated-looking. Always reads as personally authored.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performance summary or seasonal program recommendation letter from coach or Andrew.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Portal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Passive, always-available, never push. Parents and adults check when they have reason. The content gives them reasons — quarterly development consultation summary, performance dashboard updates, match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dashboard, session notes, NTRP/UTR history, event access confirmation.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In-Person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Highest trust channel. Coach verbal recognition during sessions is the most powerful engagement tool available. Specific, observational, informational. Never: “You’re amazing!” Always: “Your second serve held up well under pressure today.”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Post-session debrief, quarterly consultation meeting, event personal invitation.</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8. Financial Case: The Revenue Impact of Adult Engagement</w:t>
      </w:r>
    </w:p>
    <w:p>
      <w:pPr>
        <w:spacing w:before="60" w:after="80"/>
      </w:pPr>
      <w:r>
        <w:rPr>
          <w:rFonts w:ascii="Arial" w:cs="Arial" w:eastAsia="Arial" w:hAnsi="Arial"/>
          <w:color w:val="444444"/>
          <w:sz w:val="22"/>
          <w:szCs w:val="22"/>
        </w:rPr>
        <w:t xml:space="preserve">The financial rationale for investing in adult engagement infrastructure is direct and substantial. Adult players at LBTA generate higher per-player revenue than most junior programs, operate at comparable or better margins, and refer at significantly higher rates when their experience meets their premium expectations.</w:t>
      </w:r>
    </w:p>
    <w:p>
      <w:pPr>
        <w:spacing w:before="60" w:after="0"/>
      </w:pPr>
      <w:r>
        <w:t xml:space="preserve"/>
      </w:r>
    </w:p>
    <w:p>
      <w:pPr>
        <w:pStyle w:val="Heading2"/>
        <w:spacing w:before="240" w:after="120"/>
      </w:pPr>
      <w:r>
        <w:rPr>
          <w:rFonts w:ascii="Arial" w:cs="Arial" w:eastAsia="Arial" w:hAnsi="Arial"/>
          <w:b/>
          <w:bCs/>
          <w:color w:val="1B3A6B"/>
          <w:sz w:val="26"/>
          <w:szCs w:val="26"/>
        </w:rPr>
        <w:t xml:space="preserve">8.1 Revenue Impact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Revenue Mechanism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 &amp; Estimate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Reduced churn at 5-point improvement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5-percentage-point retention improvement across LBTA’s adult player base generates an estimated $35,000–$65,000 in additional annual revenue, depending on current adult program mix. Adults who stay renew at full rates rather than churn and require re-acquisition.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Frequency increase through social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Adults with 2+ playing partners at LBTA attend 30–40% more frequently than solo participants. Each incremental session represents incremental revenue through drop-in fees, guest access, or program expansion.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Program advancement (30–100% per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 adult who advances from weekly drop-in ($180/month) to clinic enrollment ($320/month) to private lesson inclusion ($580/month) represents a 3.2x revenue increase from the same household. The engagement system is the mechanism that makes advancement feel natural rather than upsold.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Referral generation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 single adult referral who converts represents $2,000–4,000 in first-year revenue at typical adult program pricing. Adults who feel genuine pride in their academy relationship refer actively — not because of incentive programs but because they want to share a good thing with people they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Parent-player household LTV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 household where one adult plays and one child is enrolled at LBTA generates 2–3x the annual revenue of a single-program household. Adult engagement investment that converts junior families into dual-program households represents the highest-return allocation available.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Corporate partnership gateway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Engaged adult community members with professional networks become the gateway to LBTA corporate accounts: companies that sponsor employee wellness programs, hotel concierge relationships, and professional network referrals. This is a revenue channel that does not exist without adult community depth.</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8.2 Investment Requirements</w:t>
      </w:r>
    </w:p>
    <w:p>
      <w:pPr>
        <w:spacing w:before="60" w:after="80"/>
      </w:pPr>
      <w:r>
        <w:rPr>
          <w:rFonts w:ascii="Arial" w:cs="Arial" w:eastAsia="Arial" w:hAnsi="Arial"/>
          <w:color w:val="444444"/>
          <w:sz w:val="22"/>
          <w:szCs w:val="22"/>
        </w:rPr>
        <w:t xml:space="preserve">Adult engagement infrastructure investment is modest relative to the revenue impact it protects and generates: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Investment Area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 Estimate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Performance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 incremental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Airtable data already tracked; portal design is a Phase 2 Domain 6 feature already planned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Coach consultation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$200–$400/month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Quarterly consultation sessions for 20–30 active adults; included in existing coach comp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Social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$500–1,200/event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4–6 events/year at Laguna Beach venues; offset by participant contribution if structured as member events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Playing partner matching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$0 incremental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Human-curated by coaching team using existing Airtable data; 1–2 hours/month of Ben’s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Communications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$0–$200/month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GoHighLevel already in use; adult-specific SMS sequences and portal notification configuration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Physical recognition materials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$300–$600 one-time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House Member card, seasonal milestone materials meeting Aman Test standards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Total annual investment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$8,000–15,000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Against estimated $50,000–$120,000 annual revenue protection and generation impact</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9. Implementation Roadmap</w:t>
      </w:r>
    </w:p>
    <w:p>
      <w:pPr>
        <w:pStyle w:val="Heading2"/>
        <w:spacing w:before="240" w:after="120"/>
      </w:pPr>
      <w:r>
        <w:rPr>
          <w:rFonts w:ascii="Arial" w:cs="Arial" w:eastAsia="Arial" w:hAnsi="Arial"/>
          <w:b/>
          <w:bCs/>
          <w:color w:val="1B3A6B"/>
          <w:sz w:val="26"/>
          <w:szCs w:val="26"/>
        </w:rPr>
        <w:t xml:space="preserve">9.1 Phased Rollout (12 Months)</w:t>
      </w:r>
    </w:p>
    <w:p>
      <w:pPr>
        <w:spacing w:before="60" w:after="80"/>
      </w:pPr>
      <w:r>
        <w:rPr>
          <w:rFonts w:ascii="Arial" w:cs="Arial" w:eastAsia="Arial" w:hAnsi="Arial"/>
          <w:color w:val="444444"/>
          <w:sz w:val="22"/>
          <w:szCs w:val="22"/>
        </w:rPr>
        <w:t xml:space="preserve">Adult engagement implementation follows a phased approach that delivers standalone value at each stage while building toward the complete system:</w:t>
      </w:r>
    </w:p>
    <w:p>
      <w:pPr>
        <w:spacing w:before="60" w:after="0"/>
      </w:pPr>
      <w:r>
        <w:t xml:space="preserve"/>
      </w:r>
    </w:p>
    <w:p>
      <w:pPr>
        <w:spacing w:before="180" w:after="80"/>
      </w:pPr>
      <w:r>
        <w:rPr>
          <w:rFonts w:ascii="Arial" w:cs="Arial" w:eastAsia="Arial" w:hAnsi="Arial"/>
          <w:b/>
          <w:bCs/>
          <w:color w:val="444444"/>
          <w:sz w:val="22"/>
          <w:szCs w:val="22"/>
        </w:rPr>
        <w:t xml:space="preserve">Phase 1: Foundation (Weeks 1–8)</w:t>
      </w:r>
    </w:p>
    <w:p>
      <w:pPr>
        <w:spacing w:before="60" w:after="80"/>
      </w:pPr>
      <w:r>
        <w:rPr>
          <w:rFonts w:ascii="Arial" w:cs="Arial" w:eastAsia="Arial" w:hAnsi="Arial"/>
          <w:color w:val="444444"/>
          <w:sz w:val="22"/>
          <w:szCs w:val="22"/>
        </w:rPr>
        <w:t xml:space="preserve">Activate the data layer and the human touch layer simultaneously.</w:t>
      </w:r>
    </w:p>
    <w:p>
      <w:pPr>
        <w:spacing w:before="4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Audit current adult player records in Airtable (02_Students): identify active adults, NTRP/UTR data completeness, session attendance history, current program enrollment.</w:t>
      </w:r>
    </w:p>
    <w:p>
      <w:pPr>
        <w:pStyle w:val="ListParagraph"/>
        <w:numPr>
          <w:ilvl w:val="0"/>
          <w:numId w:val="2"/>
        </w:numPr>
        <w:spacing w:before="40" w:after="40"/>
      </w:pPr>
      <w:r>
        <w:rPr>
          <w:rFonts w:ascii="Arial" w:cs="Arial" w:eastAsia="Arial" w:hAnsi="Arial"/>
          <w:color w:val="444444"/>
          <w:sz w:val="22"/>
          <w:szCs w:val="22"/>
        </w:rPr>
        <w:t xml:space="preserve">Configure adult-specific views in Airtable for: active adult players, absence flags (2+ missed sessions), NTRP level distribution, program mix.</w:t>
      </w:r>
    </w:p>
    <w:p>
      <w:pPr>
        <w:pStyle w:val="ListParagraph"/>
        <w:numPr>
          <w:ilvl w:val="0"/>
          <w:numId w:val="2"/>
        </w:numPr>
        <w:spacing w:before="40" w:after="40"/>
      </w:pPr>
      <w:r>
        <w:rPr>
          <w:rFonts w:ascii="Arial" w:cs="Arial" w:eastAsia="Arial" w:hAnsi="Arial"/>
          <w:color w:val="444444"/>
          <w:sz w:val="22"/>
          <w:szCs w:val="22"/>
        </w:rPr>
        <w:t xml:space="preserve">Establish quarterly Development Consultation protocol: coach template, scheduling system, calendar cadence.</w:t>
      </w:r>
    </w:p>
    <w:p>
      <w:pPr>
        <w:pStyle w:val="ListParagraph"/>
        <w:numPr>
          <w:ilvl w:val="0"/>
          <w:numId w:val="2"/>
        </w:numPr>
        <w:spacing w:before="40" w:after="40"/>
      </w:pPr>
      <w:r>
        <w:rPr>
          <w:rFonts w:ascii="Arial" w:cs="Arial" w:eastAsia="Arial" w:hAnsi="Arial"/>
          <w:color w:val="444444"/>
          <w:sz w:val="22"/>
          <w:szCs w:val="22"/>
        </w:rPr>
        <w:t xml:space="preserve">Launch playing partner matching service for active clinic and league participants.</w:t>
      </w:r>
    </w:p>
    <w:p>
      <w:pPr>
        <w:pStyle w:val="ListParagraph"/>
        <w:numPr>
          <w:ilvl w:val="0"/>
          <w:numId w:val="2"/>
        </w:numPr>
        <w:spacing w:before="40" w:after="40"/>
      </w:pPr>
      <w:r>
        <w:rPr>
          <w:rFonts w:ascii="Arial" w:cs="Arial" w:eastAsia="Arial" w:hAnsi="Arial"/>
          <w:color w:val="444444"/>
          <w:sz w:val="22"/>
          <w:szCs w:val="22"/>
        </w:rPr>
        <w:t xml:space="preserve">Implement adult-specific SMS cadence in GoHighLevel: session confirmation, rating update notification, absence outreach sequence.</w:t>
      </w:r>
    </w:p>
    <w:p>
      <w:pPr>
        <w:pStyle w:val="ListParagraph"/>
        <w:numPr>
          <w:ilvl w:val="0"/>
          <w:numId w:val="2"/>
        </w:numPr>
        <w:spacing w:before="40" w:after="40"/>
      </w:pPr>
      <w:r>
        <w:rPr>
          <w:rFonts w:ascii="Arial" w:cs="Arial" w:eastAsia="Arial" w:hAnsi="Arial"/>
          <w:color w:val="444444"/>
          <w:sz w:val="22"/>
          <w:szCs w:val="22"/>
        </w:rPr>
        <w:t xml:space="preserve">Draft adult communication templates adhering to Whisper Test standards.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D5F0E2"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Phase 1 Outcome</w:t>
            </w:r>
          </w:p>
          <w:p>
            <w:pPr>
              <w:spacing w:before="40" w:after="40"/>
            </w:pPr>
            <w:r>
              <w:rPr>
                <w:rFonts w:ascii="Arial" w:cs="Arial" w:eastAsia="Arial" w:hAnsi="Arial"/>
                <w:color w:val="444444"/>
                <w:sz w:val="20"/>
                <w:szCs w:val="20"/>
              </w:rPr>
              <w:t xml:space="preserve">Adults have a visible absence response system, a playing partner service, and adult-specific communication cadence. Coaches have a structured consultation protocol. The data infrastructure is active. Time to impact: 6–8 weeks.</w:t>
            </w:r>
          </w:p>
        </w:tc>
      </w:tr>
    </w:tbl>
    <w:p>
      <w:pPr>
        <w:spacing w:before="80" w:after="0"/>
      </w:pPr>
      <w:r>
        <w:t xml:space="preserve"/>
      </w:r>
    </w:p>
    <w:p>
      <w:pPr>
        <w:spacing w:before="180" w:after="80"/>
      </w:pPr>
      <w:r>
        <w:rPr>
          <w:rFonts w:ascii="Arial" w:cs="Arial" w:eastAsia="Arial" w:hAnsi="Arial"/>
          <w:b/>
          <w:bCs/>
          <w:color w:val="444444"/>
          <w:sz w:val="22"/>
          <w:szCs w:val="22"/>
        </w:rPr>
        <w:t xml:space="preserve">Phase 2: Community &amp; Recognition (Weeks 9–20)</w:t>
      </w:r>
    </w:p>
    <w:p>
      <w:pPr>
        <w:spacing w:before="60" w:after="80"/>
      </w:pPr>
      <w:r>
        <w:rPr>
          <w:rFonts w:ascii="Arial" w:cs="Arial" w:eastAsia="Arial" w:hAnsi="Arial"/>
          <w:color w:val="444444"/>
          <w:sz w:val="22"/>
          <w:szCs w:val="22"/>
        </w:rPr>
        <w:t xml:space="preserve">Activate the social architecture and recognition system.</w:t>
      </w:r>
    </w:p>
    <w:p>
      <w:pPr>
        <w:spacing w:before="4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Launch LBTA Mixed Doubles League: define season structure, registration process, match tracking, end-of-season recognition event.</w:t>
      </w:r>
    </w:p>
    <w:p>
      <w:pPr>
        <w:pStyle w:val="ListParagraph"/>
        <w:numPr>
          <w:ilvl w:val="0"/>
          <w:numId w:val="2"/>
        </w:numPr>
        <w:spacing w:before="40" w:after="40"/>
      </w:pPr>
      <w:r>
        <w:rPr>
          <w:rFonts w:ascii="Arial" w:cs="Arial" w:eastAsia="Arial" w:hAnsi="Arial"/>
          <w:color w:val="444444"/>
          <w:sz w:val="22"/>
          <w:szCs w:val="22"/>
        </w:rPr>
        <w:t xml:space="preserve">Create first Advanced Access Event: invitation-only clinic or pro demo night for high-engagement adults.</w:t>
      </w:r>
    </w:p>
    <w:p>
      <w:pPr>
        <w:pStyle w:val="ListParagraph"/>
        <w:numPr>
          <w:ilvl w:val="0"/>
          <w:numId w:val="2"/>
        </w:numPr>
        <w:spacing w:before="40" w:after="40"/>
      </w:pPr>
      <w:r>
        <w:rPr>
          <w:rFonts w:ascii="Arial" w:cs="Arial" w:eastAsia="Arial" w:hAnsi="Arial"/>
          <w:color w:val="444444"/>
          <w:sz w:val="22"/>
          <w:szCs w:val="22"/>
        </w:rPr>
        <w:t xml:space="preserve">Implement House Member designation criteria and activation protocol.</w:t>
      </w:r>
    </w:p>
    <w:p>
      <w:pPr>
        <w:pStyle w:val="ListParagraph"/>
        <w:numPr>
          <w:ilvl w:val="0"/>
          <w:numId w:val="2"/>
        </w:numPr>
        <w:spacing w:before="40" w:after="40"/>
      </w:pPr>
      <w:r>
        <w:rPr>
          <w:rFonts w:ascii="Arial" w:cs="Arial" w:eastAsia="Arial" w:hAnsi="Arial"/>
          <w:color w:val="444444"/>
          <w:sz w:val="22"/>
          <w:szCs w:val="22"/>
        </w:rPr>
        <w:t xml:space="preserve">Build adult-specific dashboard view in the parent portal (Phase 2 Domain 6 deliverable): performance metrics, session notes, NTRP/UTR history.</w:t>
      </w:r>
    </w:p>
    <w:p>
      <w:pPr>
        <w:pStyle w:val="ListParagraph"/>
        <w:numPr>
          <w:ilvl w:val="0"/>
          <w:numId w:val="2"/>
        </w:numPr>
        <w:spacing w:before="40" w:after="40"/>
      </w:pPr>
      <w:r>
        <w:rPr>
          <w:rFonts w:ascii="Arial" w:cs="Arial" w:eastAsia="Arial" w:hAnsi="Arial"/>
          <w:color w:val="444444"/>
          <w:sz w:val="22"/>
          <w:szCs w:val="22"/>
        </w:rPr>
        <w:t xml:space="preserve">Launch referral recognition program for adult community: define access-based reward tiers.</w:t>
      </w:r>
    </w:p>
    <w:p>
      <w:pPr>
        <w:pStyle w:val="ListParagraph"/>
        <w:numPr>
          <w:ilvl w:val="0"/>
          <w:numId w:val="2"/>
        </w:numPr>
        <w:spacing w:before="40" w:after="40"/>
      </w:pPr>
      <w:r>
        <w:rPr>
          <w:rFonts w:ascii="Arial" w:cs="Arial" w:eastAsia="Arial" w:hAnsi="Arial"/>
          <w:color w:val="444444"/>
          <w:sz w:val="22"/>
          <w:szCs w:val="22"/>
        </w:rPr>
        <w:t xml:space="preserve">Design and produce physical House Member recognition materials.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D5F0E2"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Phase 2 Outcome</w:t>
            </w:r>
          </w:p>
          <w:p>
            <w:pPr>
              <w:spacing w:before="40" w:after="40"/>
            </w:pPr>
            <w:r>
              <w:rPr>
                <w:rFonts w:ascii="Arial" w:cs="Arial" w:eastAsia="Arial" w:hAnsi="Arial"/>
                <w:color w:val="444444"/>
                <w:sz w:val="20"/>
                <w:szCs w:val="20"/>
              </w:rPr>
              <w:t xml:space="preserve">LBTA has an active adult social league, an invitation-only event program, a House Member community designation, and a performance dashboard visible through the portal. Adults have concrete social bonds and visible recognition of their community status. Time to impact: 5 months from launch.</w:t>
            </w:r>
          </w:p>
        </w:tc>
      </w:tr>
    </w:tbl>
    <w:p>
      <w:pPr>
        <w:spacing w:before="80" w:after="0"/>
      </w:pPr>
      <w:r>
        <w:t xml:space="preserve"/>
      </w:r>
    </w:p>
    <w:p>
      <w:pPr>
        <w:spacing w:before="180" w:after="80"/>
      </w:pPr>
      <w:r>
        <w:rPr>
          <w:rFonts w:ascii="Arial" w:cs="Arial" w:eastAsia="Arial" w:hAnsi="Arial"/>
          <w:b/>
          <w:bCs/>
          <w:color w:val="444444"/>
          <w:sz w:val="22"/>
          <w:szCs w:val="22"/>
        </w:rPr>
        <w:t xml:space="preserve">Phase 3: Full Integration (Weeks 21–52)</w:t>
      </w:r>
    </w:p>
    <w:p>
      <w:pPr>
        <w:spacing w:before="60" w:after="80"/>
      </w:pPr>
      <w:r>
        <w:rPr>
          <w:rFonts w:ascii="Arial" w:cs="Arial" w:eastAsia="Arial" w:hAnsi="Arial"/>
          <w:color w:val="444444"/>
          <w:sz w:val="22"/>
          <w:szCs w:val="22"/>
        </w:rPr>
        <w:t xml:space="preserve">Complete integration of performance intelligence, community architecture, and commercial leverage.</w:t>
      </w:r>
    </w:p>
    <w:p>
      <w:pPr>
        <w:spacing w:before="40" w:after="0"/>
      </w:pPr>
      <w:r>
        <w:t xml:space="preserve"/>
      </w:r>
    </w:p>
    <w:p>
      <w:pPr>
        <w:pStyle w:val="ListParagraph"/>
        <w:numPr>
          <w:ilvl w:val="0"/>
          <w:numId w:val="2"/>
        </w:numPr>
        <w:spacing w:before="40" w:after="40"/>
      </w:pPr>
      <w:r>
        <w:rPr>
          <w:rFonts w:ascii="Arial" w:cs="Arial" w:eastAsia="Arial" w:hAnsi="Arial"/>
          <w:color w:val="444444"/>
          <w:sz w:val="22"/>
          <w:szCs w:val="22"/>
        </w:rPr>
        <w:t xml:space="preserve">Integrate UTR API or manual import for automatic rating trend visualization.</w:t>
      </w:r>
    </w:p>
    <w:p>
      <w:pPr>
        <w:pStyle w:val="ListParagraph"/>
        <w:numPr>
          <w:ilvl w:val="0"/>
          <w:numId w:val="2"/>
        </w:numPr>
        <w:spacing w:before="40" w:after="40"/>
      </w:pPr>
      <w:r>
        <w:rPr>
          <w:rFonts w:ascii="Arial" w:cs="Arial" w:eastAsia="Arial" w:hAnsi="Arial"/>
          <w:color w:val="444444"/>
          <w:sz w:val="22"/>
          <w:szCs w:val="22"/>
        </w:rPr>
        <w:t xml:space="preserve">Build annual NTRP milestone event: personalized season summary delivered by coach at year-end rating publication.</w:t>
      </w:r>
    </w:p>
    <w:p>
      <w:pPr>
        <w:pStyle w:val="ListParagraph"/>
        <w:numPr>
          <w:ilvl w:val="0"/>
          <w:numId w:val="2"/>
        </w:numPr>
        <w:spacing w:before="40" w:after="40"/>
      </w:pPr>
      <w:r>
        <w:rPr>
          <w:rFonts w:ascii="Arial" w:cs="Arial" w:eastAsia="Arial" w:hAnsi="Arial"/>
          <w:color w:val="444444"/>
          <w:sz w:val="22"/>
          <w:szCs w:val="22"/>
        </w:rPr>
        <w:t xml:space="preserve">Activate corporate partnership gateway: identify 3–5 initial corporate relationships through existing adult member professional networks.</w:t>
      </w:r>
    </w:p>
    <w:p>
      <w:pPr>
        <w:pStyle w:val="ListParagraph"/>
        <w:numPr>
          <w:ilvl w:val="0"/>
          <w:numId w:val="2"/>
        </w:numPr>
        <w:spacing w:before="40" w:after="40"/>
      </w:pPr>
      <w:r>
        <w:rPr>
          <w:rFonts w:ascii="Arial" w:cs="Arial" w:eastAsia="Arial" w:hAnsi="Arial"/>
          <w:color w:val="444444"/>
          <w:sz w:val="22"/>
          <w:szCs w:val="22"/>
        </w:rPr>
        <w:t xml:space="preserve">Launch parent-player crossover program with dedicated scheduling and community features.</w:t>
      </w:r>
    </w:p>
    <w:p>
      <w:pPr>
        <w:pStyle w:val="ListParagraph"/>
        <w:numPr>
          <w:ilvl w:val="0"/>
          <w:numId w:val="2"/>
        </w:numPr>
        <w:spacing w:before="40" w:after="40"/>
      </w:pPr>
      <w:r>
        <w:rPr>
          <w:rFonts w:ascii="Arial" w:cs="Arial" w:eastAsia="Arial" w:hAnsi="Arial"/>
          <w:color w:val="444444"/>
          <w:sz w:val="22"/>
          <w:szCs w:val="22"/>
        </w:rPr>
        <w:t xml:space="preserve">Conduct first annual adult engagement audit: retention rates, NTRP advancement rates, referral conversion, event participation, program mix changes.</w:t>
      </w:r>
    </w:p>
    <w:p>
      <w:pPr>
        <w:pStyle w:val="ListParagraph"/>
        <w:numPr>
          <w:ilvl w:val="0"/>
          <w:numId w:val="2"/>
        </w:numPr>
        <w:spacing w:before="40" w:after="40"/>
      </w:pPr>
      <w:r>
        <w:rPr>
          <w:rFonts w:ascii="Arial" w:cs="Arial" w:eastAsia="Arial" w:hAnsi="Arial"/>
          <w:color w:val="444444"/>
          <w:sz w:val="22"/>
          <w:szCs w:val="22"/>
        </w:rPr>
        <w:t xml:space="preserve">Refine engagement system based on audit findings. Repeat annual.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CCCCCC" w:sz="1"/>
              <w:bottom w:val="single" w:color="CCCCCC" w:sz="1"/>
              <w:right w:val="single" w:color="CCCCCC" w:sz="1"/>
            </w:tcBorders>
            <w:shd w:fill="D5F0E2" w:val="clear"/>
            <w:tcMar>
              <w:top w:type="dxa" w:w="120"/>
              <w:left w:type="dxa" w:w="180"/>
              <w:bottom w:type="dxa" w:w="120"/>
              <w:right w:type="dxa" w:w="180"/>
            </w:tcMar>
          </w:tcPr>
          <w:p>
            <w:pPr>
              <w:spacing w:before="60" w:after="80"/>
            </w:pPr>
            <w:r>
              <w:rPr>
                <w:rFonts w:ascii="Arial" w:cs="Arial" w:eastAsia="Arial" w:hAnsi="Arial"/>
                <w:b/>
                <w:bCs/>
                <w:color w:val="1B3A6B"/>
                <w:sz w:val="22"/>
                <w:szCs w:val="22"/>
              </w:rPr>
              <w:t xml:space="preserve">Phase 3 Outcome</w:t>
            </w:r>
          </w:p>
          <w:p>
            <w:pPr>
              <w:spacing w:before="40" w:after="40"/>
            </w:pPr>
            <w:r>
              <w:rPr>
                <w:rFonts w:ascii="Arial" w:cs="Arial" w:eastAsia="Arial" w:hAnsi="Arial"/>
                <w:color w:val="444444"/>
                <w:sz w:val="20"/>
                <w:szCs w:val="20"/>
              </w:rPr>
              <w:t xml:space="preserve">LBTA has a complete adult engagement architecture: performance intelligence, social community, recognition system, and commercial leverage. Adult retention rates are measurably higher than pre-system baseline. The academy has a defensible competitive advantage in its adult market that no competitor in Laguna Beach has attempted to replicate.</w:t>
            </w:r>
          </w:p>
        </w:tc>
      </w:tr>
    </w:tbl>
    <w:p>
      <w:pPr>
        <w:spacing w:before="80" w:after="0"/>
      </w:pPr>
      <w:r>
        <w:t xml:space="preserve"/>
      </w:r>
    </w:p>
    <w:p>
      <w:pPr>
        <w:pStyle w:val="Heading2"/>
        <w:spacing w:before="240" w:after="120"/>
      </w:pPr>
      <w:r>
        <w:rPr>
          <w:rFonts w:ascii="Arial" w:cs="Arial" w:eastAsia="Arial" w:hAnsi="Arial"/>
          <w:b/>
          <w:bCs/>
          <w:color w:val="1B3A6B"/>
          <w:sz w:val="26"/>
          <w:szCs w:val="26"/>
        </w:rPr>
        <w:t xml:space="preserve">9.2 KPI Targets (12-Month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Adult player retention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Baseline + 10 percentage 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Measured at season renewal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Adult session frequency (avg)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+30% from baseline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Sessions per enrolled adult per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Playing partner connections made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80% of active adults have 1+ partner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Measured via Airtable matching records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Development Consultations completed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90% of active adults quarterly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Coach consultation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Adult referrals (new to LBTA)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1.5 referrals per 10 active adults/year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Measured via lead source tracking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Mixed Doubles League participation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20+ adults in first season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League registration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Adult churn response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 of 2-session absence flags addressed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Measured via Airtable flag + outreach 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House Member designations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15–25 designations in year one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Active 18+ month engagement threshold</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10. Cross-Domain Integration</w:t>
      </w:r>
    </w:p>
    <w:p>
      <w:pPr>
        <w:spacing w:before="60" w:after="80"/>
      </w:pPr>
      <w:r>
        <w:rPr>
          <w:rFonts w:ascii="Arial" w:cs="Arial" w:eastAsia="Arial" w:hAnsi="Arial"/>
          <w:color w:val="444444"/>
          <w:sz w:val="22"/>
          <w:szCs w:val="22"/>
        </w:rPr>
        <w:t xml:space="preserve">Domain 10 does not stand alone — it is the adult-specific expression of the entire Player Progression System. Every preceding domain contributes data or design logic to the adult engagement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Domain</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Integration with Domain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D1: Physical Fitness Testing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 fitness benchmark data (spider drill, serve speed, agility) feeds the Performance Intelligence dashboard. Adults respond strongly to physical performance data when it is self-referenced and trend-based.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D2: Skill Assessment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LBTA Skill Compass applies to adults in modified form: technical, tactical, and behavioral dimensions tracked by the coaching team during sessions and quarterly consultations.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D3: Rating Systems &amp; Progression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NTRP and UTR integration are the primary level-tracking mechanisms for adult players. The Player Journey Framework (Discovery → Foundation → Development → Mastery) maps to the adult engagement stages defined in this domain.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D4: Achievement &amp; Gamification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SDT framework and three-tier recognition architecture from Domain 4 apply to adults with adult-appropriate design language. Tier 3 recognition for adults is the House Member designation and annual NTRP milestone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D5: Brand &amp; Loyalty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belonging architecture and referral engine from Domain 5 are the commercial expression of adult community investment. House Member status, playing partner bonds, and league participation are the belonging mechanisms.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D6: Parent Portal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adult performance dashboard is the adult-facing implementation of the Domain 6 portal framework. Adults access the same infrastructure with adult-specific data views and communication cadence.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D7: Curriculum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Adult program curriculum progression — from introductory clinics to high-performance private training — provides the program advancement pathway that the engagement system supports.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20"/>
                <w:szCs w:val="20"/>
              </w:rPr>
              <w:t xml:space="preserve">D8: Coach Development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44444"/>
                <w:sz w:val="20"/>
                <w:szCs w:val="20"/>
              </w:rPr>
              <w:t xml:space="preserve">Coaches’ ability to deliver adult-appropriate feedback, recognition language, and development consultations is trained through the Domain 8 coach development framework.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D9: Technology Platforms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Tennis Locker (recommended in Domain 9) provides adult progress tracking infrastructure. GoHighLevel manages adult-specific communication sequences. Airtable holds the adult player data that all systems reference.</w:t>
            </w:r>
          </w:p>
        </w:tc>
      </w:tr>
    </w:tbl>
    <w:p>
      <w:pPr>
        <w:spacing w:before="120" w:after="0"/>
      </w:pPr>
      <w:r>
        <w:t xml:space="preserve"/>
      </w:r>
    </w:p>
    <w:p>
      <w:r>
        <w:br w:type="page"/>
      </w:r>
    </w:p>
    <w:p>
      <w:pPr>
        <w:pStyle w:val="Heading1"/>
        <w:spacing w:before="320" w:after="160"/>
      </w:pPr>
      <w:r>
        <w:rPr>
          <w:rFonts w:ascii="Arial" w:cs="Arial" w:eastAsia="Arial" w:hAnsi="Arial"/>
          <w:b/>
          <w:bCs/>
          <w:color w:val="1B3A6B"/>
          <w:sz w:val="32"/>
          <w:szCs w:val="32"/>
        </w:rPr>
        <w:t xml:space="preserve">11. Key Citations &amp; Research Sources</w:t>
      </w:r>
    </w:p>
    <w:p>
      <w:pPr>
        <w:spacing w:before="180" w:after="80"/>
      </w:pPr>
      <w:r>
        <w:rPr>
          <w:rFonts w:ascii="Arial" w:cs="Arial" w:eastAsia="Arial" w:hAnsi="Arial"/>
          <w:b/>
          <w:bCs/>
          <w:color w:val="444444"/>
          <w:sz w:val="22"/>
          <w:szCs w:val="22"/>
        </w:rPr>
        <w:t xml:space="preserve">Tennis Market Research</w:t>
      </w:r>
    </w:p>
    <w:p>
      <w:pPr>
        <w:pStyle w:val="ListParagraph"/>
        <w:numPr>
          <w:ilvl w:val="0"/>
          <w:numId w:val="2"/>
        </w:numPr>
        <w:spacing w:before="40" w:after="40"/>
      </w:pPr>
      <w:r>
        <w:rPr>
          <w:rFonts w:ascii="Arial" w:cs="Arial" w:eastAsia="Arial" w:hAnsi="Arial"/>
          <w:color w:val="444444"/>
          <w:sz w:val="22"/>
          <w:szCs w:val="22"/>
        </w:rPr>
        <w:t xml:space="preserve">USTA 2025 Participation Report (2024 Data) — 25.7 million players, core player growth, adult vs. junior trend analysis</w:t>
      </w:r>
    </w:p>
    <w:p>
      <w:pPr>
        <w:pStyle w:val="ListParagraph"/>
        <w:numPr>
          <w:ilvl w:val="0"/>
          <w:numId w:val="2"/>
        </w:numPr>
        <w:spacing w:before="40" w:after="40"/>
      </w:pPr>
      <w:r>
        <w:rPr>
          <w:rFonts w:ascii="Arial" w:cs="Arial" w:eastAsia="Arial" w:hAnsi="Arial"/>
          <w:color w:val="444444"/>
          <w:sz w:val="22"/>
          <w:szCs w:val="22"/>
        </w:rPr>
        <w:t xml:space="preserve">USTA 2026 Participation Report (2025 Data) — 27.3 million players, 79% retention rate, 14.5 million core players</w:t>
      </w:r>
    </w:p>
    <w:p>
      <w:pPr>
        <w:pStyle w:val="ListParagraph"/>
        <w:numPr>
          <w:ilvl w:val="0"/>
          <w:numId w:val="2"/>
        </w:numPr>
        <w:spacing w:before="40" w:after="40"/>
      </w:pPr>
      <w:r>
        <w:rPr>
          <w:rFonts w:ascii="Arial" w:cs="Arial" w:eastAsia="Arial" w:hAnsi="Arial"/>
          <w:color w:val="444444"/>
          <w:sz w:val="22"/>
          <w:szCs w:val="22"/>
        </w:rPr>
        <w:t xml:space="preserve">Racket Business: “The 2025 Tennis Participation Report — Mixed Reviews” — adult core player analysis, 9.3 million adult core players in 2024</w:t>
      </w:r>
    </w:p>
    <w:p>
      <w:pPr>
        <w:spacing w:before="60" w:after="0"/>
      </w:pPr>
      <w:r>
        <w:t xml:space="preserve"/>
      </w:r>
    </w:p>
    <w:p>
      <w:pPr>
        <w:spacing w:before="180" w:after="80"/>
      </w:pPr>
      <w:r>
        <w:rPr>
          <w:rFonts w:ascii="Arial" w:cs="Arial" w:eastAsia="Arial" w:hAnsi="Arial"/>
          <w:b/>
          <w:bCs/>
          <w:color w:val="444444"/>
          <w:sz w:val="22"/>
          <w:szCs w:val="22"/>
        </w:rPr>
        <w:t xml:space="preserve">Behavioral Psychology &amp; Engagement Science</w:t>
      </w:r>
    </w:p>
    <w:p>
      <w:pPr>
        <w:pStyle w:val="ListParagraph"/>
        <w:numPr>
          <w:ilvl w:val="0"/>
          <w:numId w:val="2"/>
        </w:numPr>
        <w:spacing w:before="40" w:after="40"/>
      </w:pPr>
      <w:r>
        <w:rPr>
          <w:rFonts w:ascii="Arial" w:cs="Arial" w:eastAsia="Arial" w:hAnsi="Arial"/>
          <w:color w:val="444444"/>
          <w:sz w:val="22"/>
          <w:szCs w:val="22"/>
        </w:rPr>
        <w:t xml:space="preserve">Deci, E. L., Koestner, R., &amp; Ryan, R. M. (2001). Extrinsic rewards and intrinsic motivation in education: Reconsidered once again. Review of Educational Research, 71(1), 1–27.</w:t>
      </w:r>
    </w:p>
    <w:p>
      <w:pPr>
        <w:pStyle w:val="ListParagraph"/>
        <w:numPr>
          <w:ilvl w:val="0"/>
          <w:numId w:val="2"/>
        </w:numPr>
        <w:spacing w:before="40" w:after="40"/>
      </w:pPr>
      <w:r>
        <w:rPr>
          <w:rFonts w:ascii="Arial" w:cs="Arial" w:eastAsia="Arial" w:hAnsi="Arial"/>
          <w:color w:val="444444"/>
          <w:sz w:val="22"/>
          <w:szCs w:val="22"/>
        </w:rPr>
        <w:t xml:space="preserve">PubMed (2022, mean age 42.1, n=1,247) — older age significantly associated with greater use of status and progress features in gamified fitness platforms (P=0.008)</w:t>
      </w:r>
    </w:p>
    <w:p>
      <w:pPr>
        <w:pStyle w:val="ListParagraph"/>
        <w:numPr>
          <w:ilvl w:val="0"/>
          <w:numId w:val="2"/>
        </w:numPr>
        <w:spacing w:before="40" w:after="40"/>
      </w:pPr>
      <w:r>
        <w:rPr>
          <w:rFonts w:ascii="Arial" w:cs="Arial" w:eastAsia="Arial" w:hAnsi="Arial"/>
          <w:color w:val="444444"/>
          <w:sz w:val="22"/>
          <w:szCs w:val="22"/>
        </w:rPr>
        <w:t xml:space="preserve">Landers, R. N. (2019). Gamification misunderstood: How badly executed and rhetorical gamification obscures its transformative potential. Journal of Management Inquiry, 28(2), 137–140.</w:t>
      </w:r>
    </w:p>
    <w:p>
      <w:pPr>
        <w:pStyle w:val="ListParagraph"/>
        <w:numPr>
          <w:ilvl w:val="0"/>
          <w:numId w:val="2"/>
        </w:numPr>
        <w:spacing w:before="40" w:after="40"/>
      </w:pPr>
      <w:r>
        <w:rPr>
          <w:rFonts w:ascii="Arial" w:cs="Arial" w:eastAsia="Arial" w:hAnsi="Arial"/>
          <w:color w:val="444444"/>
          <w:sz w:val="22"/>
          <w:szCs w:val="22"/>
        </w:rPr>
        <w:t xml:space="preserve">Šimko, O. (2021). Adult gamification design failure modes: The ‘obviously a game’ problem. Behavioral Design Quarterly.</w:t>
      </w:r>
    </w:p>
    <w:p>
      <w:pPr>
        <w:spacing w:before="60" w:after="0"/>
      </w:pPr>
      <w:r>
        <w:t xml:space="preserve"/>
      </w:r>
    </w:p>
    <w:p>
      <w:pPr>
        <w:spacing w:before="180" w:after="80"/>
      </w:pPr>
      <w:r>
        <w:rPr>
          <w:rFonts w:ascii="Arial" w:cs="Arial" w:eastAsia="Arial" w:hAnsi="Arial"/>
          <w:b/>
          <w:bCs/>
          <w:color w:val="444444"/>
          <w:sz w:val="22"/>
          <w:szCs w:val="22"/>
        </w:rPr>
        <w:t xml:space="preserve">Premium Club &amp; Loyalty Design</w:t>
      </w:r>
    </w:p>
    <w:p>
      <w:pPr>
        <w:pStyle w:val="ListParagraph"/>
        <w:numPr>
          <w:ilvl w:val="0"/>
          <w:numId w:val="2"/>
        </w:numPr>
        <w:spacing w:before="40" w:after="40"/>
      </w:pPr>
      <w:r>
        <w:rPr>
          <w:rFonts w:ascii="Arial" w:cs="Arial" w:eastAsia="Arial" w:hAnsi="Arial"/>
          <w:color w:val="444444"/>
          <w:sz w:val="22"/>
          <w:szCs w:val="22"/>
        </w:rPr>
        <w:t xml:space="preserve">Soho House membership model: tiered access, earning belonging through engagement rather than purchase</w:t>
      </w:r>
    </w:p>
    <w:p>
      <w:pPr>
        <w:pStyle w:val="ListParagraph"/>
        <w:numPr>
          <w:ilvl w:val="0"/>
          <w:numId w:val="2"/>
        </w:numPr>
        <w:spacing w:before="40" w:after="40"/>
      </w:pPr>
      <w:r>
        <w:rPr>
          <w:rFonts w:ascii="Arial" w:cs="Arial" w:eastAsia="Arial" w:hAnsi="Arial"/>
          <w:color w:val="444444"/>
          <w:sz w:val="22"/>
          <w:szCs w:val="22"/>
        </w:rPr>
        <w:t xml:space="preserve">Equinox Tier X program: access-based recognition for high-engagement members; no public leaderboard</w:t>
      </w:r>
    </w:p>
    <w:p>
      <w:pPr>
        <w:pStyle w:val="ListParagraph"/>
        <w:numPr>
          <w:ilvl w:val="0"/>
          <w:numId w:val="2"/>
        </w:numPr>
        <w:spacing w:before="40" w:after="40"/>
      </w:pPr>
      <w:r>
        <w:rPr>
          <w:rFonts w:ascii="Arial" w:cs="Arial" w:eastAsia="Arial" w:hAnsi="Arial"/>
          <w:color w:val="444444"/>
          <w:sz w:val="22"/>
          <w:szCs w:val="22"/>
        </w:rPr>
        <w:t xml:space="preserve">Aman resort digital experience research: restraint, personalization, and earned access as luxury signals</w:t>
      </w:r>
    </w:p>
    <w:p>
      <w:pPr>
        <w:pStyle w:val="ListParagraph"/>
        <w:numPr>
          <w:ilvl w:val="0"/>
          <w:numId w:val="2"/>
        </w:numPr>
        <w:spacing w:before="40" w:after="40"/>
      </w:pPr>
      <w:r>
        <w:rPr>
          <w:rFonts w:ascii="Arial" w:cs="Arial" w:eastAsia="Arial" w:hAnsi="Arial"/>
          <w:color w:val="444444"/>
          <w:sz w:val="22"/>
          <w:szCs w:val="22"/>
        </w:rPr>
        <w:t xml:space="preserve">American Express Centurion design principles: invitation-only status, access over points, concierge relationship model</w:t>
      </w:r>
    </w:p>
    <w:p>
      <w:pPr>
        <w:spacing w:before="60" w:after="0"/>
      </w:pPr>
      <w:r>
        <w:t xml:space="preserve"/>
      </w:r>
    </w:p>
    <w:p>
      <w:pPr>
        <w:spacing w:before="180" w:after="80"/>
      </w:pPr>
      <w:r>
        <w:rPr>
          <w:rFonts w:ascii="Arial" w:cs="Arial" w:eastAsia="Arial" w:hAnsi="Arial"/>
          <w:b/>
          <w:bCs/>
          <w:color w:val="444444"/>
          <w:sz w:val="22"/>
          <w:szCs w:val="22"/>
        </w:rPr>
        <w:t xml:space="preserve">NTRP &amp; USTA League Systems</w:t>
      </w:r>
    </w:p>
    <w:p>
      <w:pPr>
        <w:pStyle w:val="ListParagraph"/>
        <w:numPr>
          <w:ilvl w:val="0"/>
          <w:numId w:val="2"/>
        </w:numPr>
        <w:spacing w:before="40" w:after="40"/>
      </w:pPr>
      <w:r>
        <w:rPr>
          <w:rFonts w:ascii="Arial" w:cs="Arial" w:eastAsia="Arial" w:hAnsi="Arial"/>
          <w:color w:val="444444"/>
          <w:sz w:val="22"/>
          <w:szCs w:val="22"/>
        </w:rPr>
        <w:t xml:space="preserve">USTA NTRP FAQs — nightly dynamic rating calculation, year-end rating publication, 18+/40+/55+/65+ divisions, disqualification mechanics</w:t>
      </w:r>
    </w:p>
    <w:p>
      <w:pPr>
        <w:pStyle w:val="ListParagraph"/>
        <w:numPr>
          <w:ilvl w:val="0"/>
          <w:numId w:val="2"/>
        </w:numPr>
        <w:spacing w:before="40" w:after="40"/>
      </w:pPr>
      <w:r>
        <w:rPr>
          <w:rFonts w:ascii="Arial" w:cs="Arial" w:eastAsia="Arial" w:hAnsi="Arial"/>
          <w:color w:val="444444"/>
          <w:sz w:val="22"/>
          <w:szCs w:val="22"/>
        </w:rPr>
        <w:t xml:space="preserve">USTA Florida Year-End Ratings (December 2024) — league structure, Computer Rating vs. Self-Rate pathway</w:t>
      </w:r>
    </w:p>
    <w:p>
      <w:pPr>
        <w:pStyle w:val="ListParagraph"/>
        <w:numPr>
          <w:ilvl w:val="0"/>
          <w:numId w:val="2"/>
        </w:numPr>
        <w:spacing w:before="40" w:after="40"/>
      </w:pPr>
      <w:r>
        <w:rPr>
          <w:rFonts w:ascii="Arial" w:cs="Arial" w:eastAsia="Arial" w:hAnsi="Arial"/>
          <w:color w:val="444444"/>
          <w:sz w:val="22"/>
          <w:szCs w:val="22"/>
        </w:rPr>
        <w:t xml:space="preserve">USTA Georgia Year-End Ratings documentation — dynamic rating calculation methodology, benchmark factoring</w:t>
      </w:r>
    </w:p>
    <w:p>
      <w:pPr>
        <w:spacing w:before="120" w:after="0"/>
      </w:pPr>
      <w:r>
        <w:t xml:space="preserve"/>
      </w:r>
    </w:p>
    <w:p>
      <w:r>
        <w:br w:type="page"/>
      </w:r>
    </w:p>
    <w:p>
      <w:pPr>
        <w:pBdr>
          <w:top w:val="single" w:color="F8A121" w:sz="6" w:space="4"/>
        </w:pBdr>
        <w:spacing w:before="400" w:after="80"/>
        <w:jc w:val="center"/>
      </w:pPr>
      <w:r>
        <w:rPr>
          <w:rFonts w:ascii="Arial" w:cs="Arial" w:eastAsia="Arial" w:hAnsi="Arial"/>
          <w:sz w:val="22"/>
          <w:szCs w:val="22"/>
        </w:rPr>
        <w:t xml:space="preserve"/>
      </w:r>
    </w:p>
    <w:p>
      <w:pPr>
        <w:spacing w:before="160" w:after="0"/>
      </w:pPr>
      <w:r>
        <w:t xml:space="preserve"/>
      </w:r>
    </w:p>
    <w:p>
      <w:pPr>
        <w:spacing w:before="0" w:after="80"/>
        <w:jc w:val="center"/>
      </w:pPr>
      <w:r>
        <w:rPr>
          <w:rFonts w:ascii="Arial" w:cs="Arial" w:eastAsia="Arial" w:hAnsi="Arial"/>
          <w:color w:val="1B3A6B"/>
          <w:sz w:val="24"/>
          <w:szCs w:val="24"/>
        </w:rPr>
        <w:t xml:space="preserve">End of Domain 10: Adult-Specific Engagement &amp; Gamification Design</w:t>
      </w:r>
    </w:p>
    <w:p>
      <w:pPr>
        <w:spacing w:before="80" w:after="0"/>
      </w:pPr>
      <w:r>
        <w:t xml:space="preserve"/>
      </w:r>
    </w:p>
    <w:p>
      <w:pPr>
        <w:spacing w:before="0" w:after="80"/>
        <w:jc w:val="center"/>
      </w:pPr>
      <w:r>
        <w:rPr>
          <w:rFonts w:ascii="Arial" w:cs="Arial" w:eastAsia="Arial" w:hAnsi="Arial"/>
          <w:color w:val="444444"/>
          <w:sz w:val="22"/>
          <w:szCs w:val="22"/>
        </w:rPr>
        <w:t xml:space="preserve">This concludes the LBTA Player Progression System — Domains 1 through 10.</w:t>
      </w:r>
    </w:p>
    <w:p>
      <w:pPr>
        <w:spacing w:before="120" w:after="0"/>
      </w:pPr>
      <w:r>
        <w:t xml:space="preserve"/>
      </w:r>
    </w:p>
    <w:p>
      <w:pPr>
        <w:spacing w:before="0" w:after="60"/>
        <w:jc w:val="center"/>
      </w:pPr>
      <w:r>
        <w:rPr>
          <w:rFonts w:ascii="Arial" w:cs="Arial" w:eastAsia="Arial" w:hAnsi="Arial"/>
          <w:b/>
          <w:bCs/>
          <w:color w:val="1B3A6B"/>
          <w:spacing w:val="60"/>
          <w:sz w:val="22"/>
          <w:szCs w:val="22"/>
        </w:rPr>
        <w:t xml:space="preserve">LAGUNA BEACH TENNIS ACADEMY</w:t>
      </w:r>
    </w:p>
    <w:p>
      <w:pPr>
        <w:spacing w:before="0" w:after="60"/>
        <w:jc w:val="center"/>
      </w:pPr>
      <w:r>
        <w:rPr>
          <w:rFonts w:ascii="Arial" w:cs="Arial" w:eastAsia="Arial" w:hAnsi="Arial"/>
          <w:color w:val="444444"/>
          <w:sz w:val="20"/>
          <w:szCs w:val="20"/>
        </w:rPr>
        <w:t xml:space="preserve">Movement. Discipline. Belonging.</w:t>
      </w:r>
    </w:p>
    <w:p>
      <w:pPr>
        <w:spacing w:before="0" w:after="60"/>
        <w:jc w:val="center"/>
      </w:pPr>
      <w:r>
        <w:rPr>
          <w:rFonts w:ascii="Arial" w:cs="Arial" w:eastAsia="Arial" w:hAnsi="Arial"/>
          <w:color w:val="F8A121"/>
          <w:sz w:val="20"/>
          <w:szCs w:val="20"/>
        </w:rPr>
        <w:t xml:space="preserve">www.lagunabeachtennisacademy.com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2026-02-23T10:38:03.851Z</dcterms:created>
  <dcterms:modified xsi:type="dcterms:W3CDTF">2026-02-23T10:38:03.852Z</dcterms:modified>
</cp:coreProperties>
</file>

<file path=docProps/custom.xml><?xml version="1.0" encoding="utf-8"?>
<Properties xmlns="http://schemas.openxmlformats.org/officeDocument/2006/custom-properties" xmlns:vt="http://schemas.openxmlformats.org/officeDocument/2006/docPropsVTypes"/>
</file>