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20"/>
        <w:jc w:val="center"/>
      </w:pPr>
      <w:r>
        <w:rPr>
          <w:rFonts w:ascii="Arial" w:cs="Arial" w:eastAsia="Arial" w:hAnsi="Arial"/>
          <w:b/>
          <w:bCs/>
          <w:color w:val="C4A265"/>
          <w:spacing w:val="200"/>
          <w:sz w:val="20"/>
          <w:szCs w:val="20"/>
        </w:rPr>
        <w:t xml:space="preserve">LAGUNA BEACH TENNIS ACADEMY</w:t>
      </w:r>
    </w:p>
    <w:p>
      <w:pPr>
        <w:spacing w:after="80"/>
        <w:jc w:val="center"/>
      </w:pPr>
      <w:r>
        <w:rPr>
          <w:rFonts w:ascii="Arial" w:cs="Arial" w:eastAsia="Arial" w:hAnsi="Arial"/>
          <w:b/>
          <w:bCs/>
          <w:color w:val="1B2A4A"/>
          <w:sz w:val="48"/>
          <w:szCs w:val="48"/>
        </w:rPr>
        <w:t xml:space="preserve">Player Progression System</w:t>
      </w:r>
    </w:p>
    <w:p>
      <w:pPr>
        <w:pBdr>
          <w:bottom w:val="single" w:color="C4A265" w:sz="4" w:space="1"/>
        </w:pBdr>
        <w:spacing w:after="200"/>
      </w:pPr>
    </w:p>
    <w:p>
      <w:pPr>
        <w:spacing w:after="120"/>
        <w:jc w:val="center"/>
      </w:pPr>
      <w:r>
        <w:rPr>
          <w:rFonts w:ascii="Arial" w:cs="Arial" w:eastAsia="Arial" w:hAnsi="Arial"/>
          <w:color w:val="4A5568"/>
          <w:sz w:val="32"/>
          <w:szCs w:val="32"/>
        </w:rPr>
        <w:t xml:space="preserve">Domain 1: Physical Fitness &amp; Testing Protocols</w:t>
      </w:r>
    </w:p>
    <w:p>
      <w:pPr>
        <w:spacing w:after="400"/>
        <w:jc w:val="center"/>
      </w:pPr>
      <w:r>
        <w:rPr>
          <w:rFonts w:ascii="Arial" w:cs="Arial" w:eastAsia="Arial" w:hAnsi="Arial"/>
          <w:i/>
          <w:iCs/>
          <w:color w:val="4A5568"/>
          <w:sz w:val="24"/>
          <w:szCs w:val="24"/>
        </w:rPr>
        <w:t xml:space="preserve">Research Synthesis &amp; Design Recommendations</w:t>
      </w:r>
    </w:p>
    <w:p>
      <w:pPr>
        <w:spacing w:after="80"/>
        <w:jc w:val="center"/>
      </w:pPr>
      <w:r>
        <w:rPr>
          <w:rFonts w:ascii="Arial" w:cs="Arial" w:eastAsia="Arial" w:hAnsi="Arial"/>
          <w:color w:val="999999"/>
          <w:sz w:val="18"/>
          <w:szCs w:val="18"/>
        </w:rPr>
        <w:t xml:space="preserve">Prepared: February 2026  |  Classification: Internal  |  Version 1.0</w:t>
      </w:r>
    </w:p>
    <w:p>
      <w:r>
        <w:br w:type="page"/>
      </w:r>
    </w:p>
    <w:p>
      <w:pPr>
        <w:pStyle w:val="Heading1"/>
        <w:pBdr>
          <w:bottom w:val="single" w:color="C4A265" w:sz="6" w:space="8"/>
        </w:pBdr>
        <w:spacing w:before="360" w:after="200"/>
      </w:pPr>
      <w:r>
        <w:rPr>
          <w:rFonts w:ascii="Arial" w:cs="Arial" w:eastAsia="Arial" w:hAnsi="Arial"/>
          <w:b/>
          <w:bCs/>
          <w:color w:val="1B2A4A"/>
          <w:sz w:val="32"/>
          <w:szCs w:val="32"/>
        </w:rPr>
        <w:t xml:space="preserve">1. Research Synthesis</w:t>
      </w:r>
    </w:p>
    <w:p>
      <w:pPr>
        <w:spacing w:after="160" w:line="276"/>
        <w:jc w:val="left"/>
      </w:pPr>
      <w:r>
        <w:rPr>
          <w:rFonts w:ascii="Arial" w:cs="Arial" w:eastAsia="Arial" w:hAnsi="Arial"/>
          <w:color w:val="333333"/>
          <w:sz w:val="21"/>
          <w:szCs w:val="21"/>
        </w:rPr>
        <w:t xml:space="preserve">This domain examines the evidence base for physical fitness testing in junior tennis, covering validated protocols, normative benchmarks, technology tools, and implementation models from national federations. The goal is to identify what LBTA can adopt at a 4-coach, 340-student scale without introducing clinical complexity or corporate assessment culture.</w:t>
      </w:r>
    </w:p>
    <w:p>
      <w:pPr>
        <w:pStyle w:val="Heading2"/>
        <w:spacing w:before="280" w:after="160"/>
      </w:pPr>
      <w:r>
        <w:rPr>
          <w:rFonts w:ascii="Arial" w:cs="Arial" w:eastAsia="Arial" w:hAnsi="Arial"/>
          <w:b/>
          <w:bCs/>
          <w:color w:val="1B2A4A"/>
          <w:sz w:val="26"/>
          <w:szCs w:val="26"/>
        </w:rPr>
        <w:t xml:space="preserve">1.1 Validated Tennis-Specific Testing Protocols</w:t>
      </w:r>
    </w:p>
    <w:p>
      <w:pPr>
        <w:spacing w:after="160" w:line="276"/>
        <w:jc w:val="left"/>
      </w:pPr>
      <w:r>
        <w:rPr>
          <w:rFonts w:ascii="Arial" w:cs="Arial" w:eastAsia="Arial" w:hAnsi="Arial"/>
          <w:b/>
          <w:bCs/>
          <w:color w:val="333333"/>
          <w:sz w:val="21"/>
          <w:szCs w:val="21"/>
        </w:rPr>
        <w:t xml:space="preserve">The Spider Drill</w:t>
      </w:r>
      <w:r>
        <w:rPr>
          <w:rFonts w:ascii="Arial" w:cs="Arial" w:eastAsia="Arial" w:hAnsi="Arial"/>
          <w:color w:val="333333"/>
          <w:sz w:val="21"/>
          <w:szCs w:val="21"/>
        </w:rPr>
        <w:t xml:space="preserve"> is the gold-standard change-of-direction speed (CODS) test for tennis. Huggins et al. (2017) established its reliability in youth players: within-session ICC = 0.93–0.95, between-session ICC = 0.95, coefficient of variation 1.8–4.1%. The protocol covers 20 meters in a T-shape pattern—forward sprint to center cone, side shuffle left 2.5m, side shuffle right 5m, side shuffle left 2.5m to center, backpedal 5m through timing gates. The smallest detectable difference (SDD) is ±1.1%, meaning any improvement beyond this threshold represents genuine progress rather than measurement noise.</w:t>
      </w:r>
    </w:p>
    <w:p>
      <w:pPr>
        <w:spacing w:after="160" w:line="276"/>
        <w:jc w:val="left"/>
      </w:pPr>
      <w:r>
        <w:rPr>
          <w:rFonts w:ascii="Arial" w:cs="Arial" w:eastAsia="Arial" w:hAnsi="Arial"/>
          <w:b/>
          <w:bCs/>
          <w:color w:val="333333"/>
          <w:sz w:val="21"/>
          <w:szCs w:val="21"/>
        </w:rPr>
        <w:t xml:space="preserve">The Modified T-Test</w:t>
      </w:r>
      <w:r>
        <w:rPr>
          <w:rFonts w:ascii="Arial" w:cs="Arial" w:eastAsia="Arial" w:hAnsi="Arial"/>
          <w:color w:val="333333"/>
          <w:sz w:val="21"/>
          <w:szCs w:val="21"/>
        </w:rPr>
        <w:t xml:space="preserve"> shows good to excellent reliability (ICC = 0.79–0.97) and correlates with on-court movement quality. The Pro-Agility test is less reliable for tennis (ICC = 0.66–0.88) due to its linear nature. The </w:t>
      </w:r>
      <w:r>
        <w:rPr>
          <w:rFonts w:ascii="Arial" w:cs="Arial" w:eastAsia="Arial" w:hAnsi="Arial"/>
          <w:b/>
          <w:bCs/>
          <w:color w:val="333333"/>
          <w:sz w:val="21"/>
          <w:szCs w:val="21"/>
        </w:rPr>
        <w:t xml:space="preserve">Tennis-Specific Agility Test (TAT)</w:t>
      </w:r>
      <w:r>
        <w:rPr>
          <w:rFonts w:ascii="Arial" w:cs="Arial" w:eastAsia="Arial" w:hAnsi="Arial"/>
          <w:color w:val="333333"/>
          <w:sz w:val="21"/>
          <w:szCs w:val="21"/>
        </w:rPr>
        <w:t xml:space="preserve"> adds a cognitive-reactive component using FITLIGHT sensors (ICC = 0.74), with moderate correlation to the Spider Drill (r = 0.70), capturing decision-making speed alongside movement.</w:t>
      </w:r>
    </w:p>
    <w:p>
      <w:pPr>
        <w:spacing w:after="160" w:line="276"/>
        <w:jc w:val="left"/>
      </w:pPr>
      <w:r>
        <w:rPr>
          <w:rFonts w:ascii="Arial" w:cs="Arial" w:eastAsia="Arial" w:hAnsi="Arial"/>
          <w:b/>
          <w:bCs/>
          <w:color w:val="333333"/>
          <w:sz w:val="21"/>
          <w:szCs w:val="21"/>
        </w:rPr>
        <w:t xml:space="preserve">The ITF Conditioning Fitness Battery</w:t>
      </w:r>
      <w:r>
        <w:rPr>
          <w:rFonts w:ascii="Arial" w:cs="Arial" w:eastAsia="Arial" w:hAnsi="Arial"/>
          <w:color w:val="333333"/>
          <w:sz w:val="21"/>
          <w:szCs w:val="21"/>
        </w:rPr>
        <w:t xml:space="preserve"> (November 2019 protocol) provides the most comprehensive field-based framework: Spider Drill, modified T-test, 10m/20m sprints, sit-and-reach flexibility, push-ups (1 minute), shoulder/wrist flexibility, and serve-and-run acceleration. The protocol includes standardized penalty systems (0.5 seconds per line touch, 1.0 seconds for protocol failure) and a repeated sprint ability component using percentage decrement scores across 5 trials.</w:t>
      </w:r>
    </w:p>
    <w:p>
      <w:pPr>
        <w:spacing w:after="160" w:line="276"/>
        <w:jc w:val="left"/>
      </w:pPr>
      <w:r>
        <w:rPr>
          <w:rFonts w:ascii="Arial" w:cs="Arial" w:eastAsia="Arial" w:hAnsi="Arial"/>
          <w:color w:val="333333"/>
          <w:sz w:val="21"/>
          <w:szCs w:val="21"/>
        </w:rPr>
        <w:t xml:space="preserve">For LBTA, the ITF battery provides the reference standard, but full implementation requires simplification. The Spider Drill alone, combined with 2–3 supplementary measures, captures the most actionable data for a community academy operation.</w:t>
      </w:r>
    </w:p>
    <w:p>
      <w:pPr>
        <w:pStyle w:val="Heading2"/>
        <w:spacing w:before="280" w:after="160"/>
      </w:pPr>
      <w:r>
        <w:rPr>
          <w:rFonts w:ascii="Arial" w:cs="Arial" w:eastAsia="Arial" w:hAnsi="Arial"/>
          <w:b/>
          <w:bCs/>
          <w:color w:val="1B2A4A"/>
          <w:sz w:val="26"/>
          <w:szCs w:val="26"/>
        </w:rPr>
        <w:t xml:space="preserve">1.2 National Federation Benchmarking: The DTB Model</w:t>
      </w:r>
    </w:p>
    <w:p>
      <w:pPr>
        <w:spacing w:after="160" w:line="276"/>
        <w:jc w:val="left"/>
      </w:pPr>
      <w:r>
        <w:rPr>
          <w:rFonts w:ascii="Arial" w:cs="Arial" w:eastAsia="Arial" w:hAnsi="Arial"/>
          <w:color w:val="333333"/>
          <w:sz w:val="21"/>
          <w:szCs w:val="21"/>
        </w:rPr>
        <w:t xml:space="preserve">The German Tennis Federation (DTB) operates the most rigorous national fitness profiling system, testing approximately 400 squad players biannually. Ferrauti et al. (2013) and Fernandez-Fernandez et al. (2014) documented the system across 1,052 players from 2009–2013, establishing </w:t>
      </w:r>
      <w:r>
        <w:rPr>
          <w:rFonts w:ascii="Arial" w:cs="Arial" w:eastAsia="Arial" w:hAnsi="Arial"/>
          <w:b/>
          <w:bCs/>
          <w:color w:val="333333"/>
          <w:sz w:val="21"/>
          <w:szCs w:val="21"/>
        </w:rPr>
        <w:t xml:space="preserve">age-group and gender-specific percentile norms</w:t>
      </w:r>
      <w:r>
        <w:rPr>
          <w:rFonts w:ascii="Arial" w:cs="Arial" w:eastAsia="Arial" w:hAnsi="Arial"/>
          <w:color w:val="333333"/>
          <w:sz w:val="21"/>
          <w:szCs w:val="21"/>
        </w:rPr>
        <w:t xml:space="preserve"> for U12 through U18 divisions.</w:t>
      </w:r>
    </w:p>
    <w:p>
      <w:pPr>
        <w:spacing w:after="160" w:line="276"/>
        <w:jc w:val="left"/>
      </w:pPr>
      <w:r>
        <w:rPr>
          <w:rFonts w:ascii="Arial" w:cs="Arial" w:eastAsia="Arial" w:hAnsi="Arial"/>
          <w:color w:val="333333"/>
          <w:sz w:val="21"/>
          <w:szCs w:val="21"/>
        </w:rPr>
        <w:t xml:space="preserve">The DTB battery includes anthropometrics, grip strength, countermovement jump (CMJ), 2kg medicine ball overhead throw, serve velocity, 10m/20m sprints, shuttle sprints (forehand/backhand patterns), and the Hit &amp; Turn test. Individual player profiles are generated showing strengths and weaknesses relative to age/gender cohorts.</w:t>
      </w:r>
    </w:p>
    <w:p>
      <w:pPr>
        <w:spacing w:after="160" w:line="276"/>
        <w:jc w:val="left"/>
      </w:pPr>
      <w:r>
        <w:rPr>
          <w:rFonts w:ascii="Arial" w:cs="Arial" w:eastAsia="Arial" w:hAnsi="Arial"/>
          <w:color w:val="333333"/>
          <w:sz w:val="21"/>
          <w:szCs w:val="21"/>
        </w:rPr>
        <w:t xml:space="preserve">Key correlation findings from the DTB data: sprint speed (5m/10m/20m) correlates with national ranking at r = 0.63–0.74; vertical power (squat jump, CMJ, drop jump) at r = 0.66–0.80; and maximal grip strength on the dominant side at r = 0.67–0.73. These correlations validate that physical metrics meaningfully predict competitive outcomes, though technical and tactical skill remain the dominant performance drivers.</w:t>
      </w:r>
    </w:p>
    <w:p>
      <w:pPr>
        <w:spacing w:after="160" w:line="276"/>
        <w:jc w:val="left"/>
      </w:pPr>
      <w:r>
        <w:rPr>
          <w:rFonts w:ascii="Arial" w:cs="Arial" w:eastAsia="Arial" w:hAnsi="Arial"/>
          <w:b/>
          <w:bCs/>
          <w:color w:val="333333"/>
          <w:sz w:val="21"/>
          <w:szCs w:val="21"/>
        </w:rPr>
        <w:t xml:space="preserve">The DTB model’s primary insight for LBTA: </w:t>
      </w:r>
      <w:r>
        <w:rPr>
          <w:rFonts w:ascii="Arial" w:cs="Arial" w:eastAsia="Arial" w:hAnsi="Arial"/>
          <w:color w:val="333333"/>
          <w:sz w:val="21"/>
          <w:szCs w:val="21"/>
        </w:rPr>
        <w:t xml:space="preserve">percentile-based individual profiling is more useful than absolute benchmarks. A player compared against their own age/gender cohort receives actionable guidance; a player compared against professional norms receives discouragement. The system enables coaches to design efficient fitness interventions by identifying specific weaknesses, preserving court time for technical work.</w:t>
      </w:r>
    </w:p>
    <w:p>
      <w:pPr>
        <w:pStyle w:val="Heading2"/>
        <w:spacing w:before="280" w:after="160"/>
      </w:pPr>
      <w:r>
        <w:rPr>
          <w:rFonts w:ascii="Arial" w:cs="Arial" w:eastAsia="Arial" w:hAnsi="Arial"/>
          <w:b/>
          <w:bCs/>
          <w:color w:val="1B2A4A"/>
          <w:sz w:val="26"/>
          <w:szCs w:val="26"/>
        </w:rPr>
        <w:t xml:space="preserve">1.3 Serve Speed Benchmarks &amp; Physical Predictors</w:t>
      </w:r>
    </w:p>
    <w:p>
      <w:pPr>
        <w:spacing w:after="160" w:line="276"/>
        <w:jc w:val="left"/>
      </w:pPr>
      <w:r>
        <w:rPr>
          <w:rFonts w:ascii="Arial" w:cs="Arial" w:eastAsia="Arial" w:hAnsi="Arial"/>
          <w:color w:val="333333"/>
          <w:sz w:val="21"/>
          <w:szCs w:val="21"/>
        </w:rPr>
        <w:t xml:space="preserve">Serve speed is the most parent-visible fitness metric and a natural anchor for progress tracking. Research establishes clear age-progression patterns and physical predictors: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60"/>
        <w:gridCol w:w="1560"/>
        <w:gridCol w:w="2640"/>
      </w:tblGrid>
      <w:tr>
        <w:tc>
          <w:tcPr>
            <w:tcW w:type="dxa" w:w="18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18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1st Serve</w:t>
            </w:r>
          </w:p>
        </w:tc>
        <w:tc>
          <w:tcPr>
            <w:tcW w:type="dxa" w:w="15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2nd Serve</w:t>
            </w:r>
          </w:p>
        </w:tc>
        <w:tc>
          <w:tcPr>
            <w:tcW w:type="dxa" w:w="15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Age Range</w:t>
            </w:r>
          </w:p>
        </w:tc>
        <w:tc>
          <w:tcPr>
            <w:tcW w:type="dxa" w:w="264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 Context</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Professional Men</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color w:val="333333"/>
                <w:sz w:val="18"/>
                <w:szCs w:val="18"/>
              </w:rPr>
              <w:t xml:space="preserve">185 ± 10 km/h</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color w:val="333333"/>
                <w:sz w:val="18"/>
                <w:szCs w:val="18"/>
              </w:rPr>
              <w:t xml:space="preserve">150 ± 10 km/h</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color w:val="333333"/>
                <w:sz w:val="18"/>
                <w:szCs w:val="18"/>
              </w:rPr>
              <w:t xml:space="preserve">Adult</w:t>
            </w:r>
          </w:p>
        </w:tc>
        <w:tc>
          <w:tcPr>
            <w:tcW w:type="dxa" w:w="26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ATP Tour averages</w:t>
            </w:r>
          </w:p>
        </w:tc>
      </w:tr>
      <w:tr>
        <w:tc>
          <w:tcPr>
            <w:tcW w:type="dxa" w:w="18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Professional Women</w:t>
            </w:r>
          </w:p>
        </w:tc>
        <w:tc>
          <w:tcPr>
            <w:tcW w:type="dxa" w:w="18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center"/>
            </w:pPr>
            <w:r>
              <w:rPr>
                <w:rFonts w:ascii="Arial" w:cs="Arial" w:eastAsia="Arial" w:hAnsi="Arial"/>
                <w:color w:val="333333"/>
                <w:sz w:val="18"/>
                <w:szCs w:val="18"/>
              </w:rPr>
              <w:t xml:space="preserve">155 ± 10 km/h</w:t>
            </w:r>
          </w:p>
        </w:tc>
        <w:tc>
          <w:tcPr>
            <w:tcW w:type="dxa" w:w="156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center"/>
            </w:pPr>
            <w:r>
              <w:rPr>
                <w:rFonts w:ascii="Arial" w:cs="Arial" w:eastAsia="Arial" w:hAnsi="Arial"/>
                <w:color w:val="333333"/>
                <w:sz w:val="18"/>
                <w:szCs w:val="18"/>
              </w:rPr>
              <w:t xml:space="preserve">130 ± 10 km/h</w:t>
            </w:r>
          </w:p>
        </w:tc>
        <w:tc>
          <w:tcPr>
            <w:tcW w:type="dxa" w:w="156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center"/>
            </w:pPr>
            <w:r>
              <w:rPr>
                <w:rFonts w:ascii="Arial" w:cs="Arial" w:eastAsia="Arial" w:hAnsi="Arial"/>
                <w:color w:val="333333"/>
                <w:sz w:val="18"/>
                <w:szCs w:val="18"/>
              </w:rPr>
              <w:t xml:space="preserve">Adult</w:t>
            </w:r>
          </w:p>
        </w:tc>
        <w:tc>
          <w:tcPr>
            <w:tcW w:type="dxa" w:w="264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WTA Tour averages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Elite Junior Boys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color w:val="333333"/>
                <w:sz w:val="18"/>
                <w:szCs w:val="18"/>
              </w:rPr>
              <w:t xml:space="preserve">~169 km/h</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color w:val="333333"/>
                <w:sz w:val="18"/>
                <w:szCs w:val="18"/>
              </w:rPr>
              <w:t xml:space="preserve">—</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color w:val="333333"/>
                <w:sz w:val="18"/>
                <w:szCs w:val="18"/>
              </w:rPr>
              <w:t xml:space="preserve">11–14</w:t>
            </w:r>
          </w:p>
        </w:tc>
        <w:tc>
          <w:tcPr>
            <w:tcW w:type="dxa" w:w="26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National-level juniors</w:t>
            </w:r>
          </w:p>
        </w:tc>
      </w:tr>
      <w:tr>
        <w:tc>
          <w:tcPr>
            <w:tcW w:type="dxa" w:w="18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Club Junior Boys</w:t>
            </w:r>
          </w:p>
        </w:tc>
        <w:tc>
          <w:tcPr>
            <w:tcW w:type="dxa" w:w="18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center"/>
            </w:pPr>
            <w:r>
              <w:rPr>
                <w:rFonts w:ascii="Arial" w:cs="Arial" w:eastAsia="Arial" w:hAnsi="Arial"/>
                <w:color w:val="333333"/>
                <w:sz w:val="18"/>
                <w:szCs w:val="18"/>
              </w:rPr>
              <w:t xml:space="preserve">~107 km/h</w:t>
            </w:r>
          </w:p>
        </w:tc>
        <w:tc>
          <w:tcPr>
            <w:tcW w:type="dxa" w:w="156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center"/>
            </w:pPr>
            <w:r>
              <w:rPr>
                <w:rFonts w:ascii="Arial" w:cs="Arial" w:eastAsia="Arial" w:hAnsi="Arial"/>
                <w:color w:val="333333"/>
                <w:sz w:val="18"/>
                <w:szCs w:val="18"/>
              </w:rPr>
              <w:t xml:space="preserve">—</w:t>
            </w:r>
          </w:p>
        </w:tc>
        <w:tc>
          <w:tcPr>
            <w:tcW w:type="dxa" w:w="156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center"/>
            </w:pPr>
            <w:r>
              <w:rPr>
                <w:rFonts w:ascii="Arial" w:cs="Arial" w:eastAsia="Arial" w:hAnsi="Arial"/>
                <w:color w:val="333333"/>
                <w:sz w:val="18"/>
                <w:szCs w:val="18"/>
              </w:rPr>
              <w:t xml:space="preserve">11–14</w:t>
            </w:r>
          </w:p>
        </w:tc>
        <w:tc>
          <w:tcPr>
            <w:tcW w:type="dxa" w:w="264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Recreational/club level</w:t>
            </w:r>
          </w:p>
        </w:tc>
      </w:tr>
    </w:tbl>
    <w:p>
      <w:pPr>
        <w:spacing w:after="80"/>
      </w:pPr>
    </w:p>
    <w:p>
      <w:pPr>
        <w:spacing w:after="160" w:line="276"/>
        <w:jc w:val="left"/>
      </w:pPr>
      <w:r>
        <w:rPr>
          <w:rFonts w:ascii="Arial" w:cs="Arial" w:eastAsia="Arial" w:hAnsi="Arial"/>
          <w:b/>
          <w:bCs/>
          <w:color w:val="333333"/>
          <w:sz w:val="21"/>
          <w:szCs w:val="21"/>
        </w:rPr>
        <w:t xml:space="preserve">Physical predictors of serve speed: </w:t>
      </w:r>
      <w:r>
        <w:rPr>
          <w:rFonts w:ascii="Arial" w:cs="Arial" w:eastAsia="Arial" w:hAnsi="Arial"/>
          <w:color w:val="333333"/>
          <w:sz w:val="21"/>
          <w:szCs w:val="21"/>
        </w:rPr>
        <w:t xml:space="preserve">Concentric shoulder rotation strength at 210°/s shows the strongest correlation (ρ = 0.71 external, ρ = 0.61 internal). Height (ρ = 0.68), medicine ball throw distance, and grip strength are significant secondary predictors. Plyometric medicine ball training programs increased serve speed 5–15 km/h over 8-week interventions without compromising accuracy. Lean arm mass partially mediates the strength–speed relationship, confirming that physical development pathways matter beyond raw power.</w:t>
      </w:r>
    </w:p>
    <w:p>
      <w:pPr>
        <w:spacing w:after="160" w:line="276"/>
        <w:jc w:val="left"/>
      </w:pPr>
      <w:r>
        <w:rPr>
          <w:rFonts w:ascii="Arial" w:cs="Arial" w:eastAsia="Arial" w:hAnsi="Arial"/>
          <w:color w:val="333333"/>
          <w:sz w:val="21"/>
          <w:szCs w:val="21"/>
        </w:rPr>
        <w:t xml:space="preserve">For LBTA’s population (predominantly recreational, ages 6–18), club-level benchmarks are the appropriate reference. Professional norms should be reserved for the High Performance track and never presented as aspirational targets to recreational families.</w:t>
      </w:r>
    </w:p>
    <w:p>
      <w:pPr>
        <w:pStyle w:val="Heading2"/>
        <w:spacing w:before="280" w:after="160"/>
      </w:pPr>
      <w:r>
        <w:rPr>
          <w:rFonts w:ascii="Arial" w:cs="Arial" w:eastAsia="Arial" w:hAnsi="Arial"/>
          <w:b/>
          <w:bCs/>
          <w:color w:val="1B2A4A"/>
          <w:sz w:val="26"/>
          <w:szCs w:val="26"/>
        </w:rPr>
        <w:t xml:space="preserve">1.4 Wearable Technology Assessment</w:t>
      </w:r>
    </w:p>
    <w:p>
      <w:pPr>
        <w:spacing w:before="200" w:after="120"/>
      </w:pPr>
      <w:r>
        <w:rPr>
          <w:rFonts w:ascii="Arial" w:cs="Arial" w:eastAsia="Arial" w:hAnsi="Arial"/>
          <w:b/>
          <w:bCs/>
          <w:color w:val="4A5568"/>
          <w:sz w:val="22"/>
          <w:szCs w:val="22"/>
        </w:rPr>
        <w:t xml:space="preserve">WHOOP</w:t>
      </w:r>
    </w:p>
    <w:p>
      <w:pPr>
        <w:spacing w:after="160" w:line="276"/>
        <w:jc w:val="left"/>
      </w:pPr>
      <w:r>
        <w:rPr>
          <w:rFonts w:ascii="Arial" w:cs="Arial" w:eastAsia="Arial" w:hAnsi="Arial"/>
          <w:color w:val="333333"/>
          <w:sz w:val="21"/>
          <w:szCs w:val="21"/>
        </w:rPr>
        <w:t xml:space="preserve">WHOOP demonstrates the strongest validation profile among consumer wearables for tennis applications. CQUniversity research (Sensors journal) found </w:t>
      </w:r>
      <w:r>
        <w:rPr>
          <w:rFonts w:ascii="Arial" w:cs="Arial" w:eastAsia="Arial" w:hAnsi="Arial"/>
          <w:b/>
          <w:bCs/>
          <w:color w:val="333333"/>
          <w:sz w:val="21"/>
          <w:szCs w:val="21"/>
        </w:rPr>
        <w:t xml:space="preserve">99.7% accuracy for heart rate and 99% for HRV</w:t>
      </w:r>
      <w:r>
        <w:rPr>
          <w:rFonts w:ascii="Arial" w:cs="Arial" w:eastAsia="Arial" w:hAnsi="Arial"/>
          <w:color w:val="333333"/>
          <w:sz w:val="21"/>
          <w:szCs w:val="21"/>
        </w:rPr>
        <w:t xml:space="preserve"> against ECG gold standard, with the smallest measurement error among competitors (SD = 1 bpm vs. 2.1–12.8 bpm for others). WHOOP is the WTA Tour’s official fitness wearable and ITF-approved for in-match wear.</w:t>
      </w:r>
    </w:p>
    <w:p>
      <w:pPr>
        <w:spacing w:after="160" w:line="276"/>
        <w:jc w:val="left"/>
      </w:pPr>
      <w:r>
        <w:rPr>
          <w:rFonts w:ascii="Arial" w:cs="Arial" w:eastAsia="Arial" w:hAnsi="Arial"/>
          <w:color w:val="333333"/>
          <w:sz w:val="21"/>
          <w:szCs w:val="21"/>
        </w:rPr>
        <w:t xml:space="preserve">Limitations are significant for academy use: proprietary Strain and Recovery scores are “black box” algorithms without published validation against physiological gold standards. Wrist-worn optical HR sensors show increased error during high-intensity movement with wrist motion (biceps placement is more accurate during sport). Sleep tracking shows acceptable 2-stage accuracy but poor 4-stage sleep classification. Cost ($30/month per device) makes fleet deployment prohibitive at scale.</w:t>
      </w:r>
    </w:p>
    <w:p>
      <w:pPr>
        <w:spacing w:after="160" w:line="276"/>
        <w:jc w:val="left"/>
      </w:pPr>
      <w:r>
        <w:rPr>
          <w:rFonts w:ascii="Arial" w:cs="Arial" w:eastAsia="Arial" w:hAnsi="Arial"/>
          <w:color w:val="333333"/>
          <w:sz w:val="21"/>
          <w:szCs w:val="21"/>
        </w:rPr>
        <w:t xml:space="preserve">Best use case: optional recommendation for competitive players (JTT/High Performance) who want recovery optimization, not a mandated academy tool.</w:t>
      </w:r>
    </w:p>
    <w:p>
      <w:pPr>
        <w:spacing w:before="200" w:after="120"/>
      </w:pPr>
      <w:r>
        <w:rPr>
          <w:rFonts w:ascii="Arial" w:cs="Arial" w:eastAsia="Arial" w:hAnsi="Arial"/>
          <w:b/>
          <w:bCs/>
          <w:color w:val="4A5568"/>
          <w:sz w:val="22"/>
          <w:szCs w:val="22"/>
        </w:rPr>
        <w:t xml:space="preserve">SwingVision</w:t>
      </w:r>
    </w:p>
    <w:p>
      <w:pPr>
        <w:spacing w:after="160" w:line="276"/>
        <w:jc w:val="left"/>
      </w:pPr>
      <w:r>
        <w:rPr>
          <w:rFonts w:ascii="Arial" w:cs="Arial" w:eastAsia="Arial" w:hAnsi="Arial"/>
          <w:color w:val="333333"/>
          <w:sz w:val="21"/>
          <w:szCs w:val="21"/>
        </w:rPr>
        <w:t xml:space="preserve">SwingVision provides camera-based AI analysis of serve speed, shot placement, spin, and rally patterns. Validation studies (Sajber et al., 2023) found </w:t>
      </w:r>
      <w:r>
        <w:rPr>
          <w:rFonts w:ascii="Arial" w:cs="Arial" w:eastAsia="Arial" w:hAnsi="Arial"/>
          <w:b/>
          <w:bCs/>
          <w:color w:val="333333"/>
          <w:sz w:val="21"/>
          <w:szCs w:val="21"/>
        </w:rPr>
        <w:t xml:space="preserve">good validity for serve speed (ICC = 0.76–0.80)</w:t>
      </w:r>
      <w:r>
        <w:rPr>
          <w:rFonts w:ascii="Arial" w:cs="Arial" w:eastAsia="Arial" w:hAnsi="Arial"/>
          <w:color w:val="333333"/>
          <w:sz w:val="21"/>
          <w:szCs w:val="21"/>
        </w:rPr>
        <w:t xml:space="preserve"> and excellent stroke detection accuracy (ICC = 0.97). Shot placement showed good to very good validity (ICC = 0.83–0.87). A second study (Kyung Hee University, 2022) confirmed 98.1% stroke classification accuracy across 1,065 analyzed strokes.</w:t>
      </w:r>
    </w:p>
    <w:p>
      <w:pPr>
        <w:spacing w:after="160" w:line="276"/>
        <w:jc w:val="left"/>
      </w:pPr>
      <w:r>
        <w:rPr>
          <w:rFonts w:ascii="Arial" w:cs="Arial" w:eastAsia="Arial" w:hAnsi="Arial"/>
          <w:color w:val="333333"/>
          <w:sz w:val="21"/>
          <w:szCs w:val="21"/>
        </w:rPr>
        <w:t xml:space="preserve">SwingVision claims approximately 10% accuracy for ball speed and 5% for placement under optimal conditions (60 FPS, proper camera angle). User reports indicate reliable relative measurement (tracking personal improvement over time) even when absolute numbers may deviate from radar gun readings. Scoring automation remains the weakest feature, with frequent point-tracking errors reported.</w:t>
      </w:r>
    </w:p>
    <w:p>
      <w:pPr>
        <w:spacing w:after="160" w:line="276"/>
        <w:jc w:val="left"/>
      </w:pPr>
      <w:r>
        <w:rPr>
          <w:rFonts w:ascii="Arial" w:cs="Arial" w:eastAsia="Arial" w:hAnsi="Arial"/>
          <w:color w:val="333333"/>
          <w:sz w:val="21"/>
          <w:szCs w:val="21"/>
        </w:rPr>
        <w:t xml:space="preserve">For LBTA: SwingVision offers the best cost-to-insight ratio for a community academy. A single Pro subscription ($150/year) shared across coaching staff provides serve speed tracking, rally analysis, and video review capabilities without requiring dedicated hardware.</w:t>
      </w:r>
    </w:p>
    <w:p>
      <w:pPr>
        <w:pStyle w:val="Heading2"/>
        <w:spacing w:before="280" w:after="160"/>
      </w:pPr>
      <w:r>
        <w:rPr>
          <w:rFonts w:ascii="Arial" w:cs="Arial" w:eastAsia="Arial" w:hAnsi="Arial"/>
          <w:b/>
          <w:bCs/>
          <w:color w:val="1B2A4A"/>
          <w:sz w:val="26"/>
          <w:szCs w:val="26"/>
        </w:rPr>
        <w:t xml:space="preserve">1.5 Maturation, Asymmetry &amp; Development Considerations</w:t>
      </w:r>
    </w:p>
    <w:p>
      <w:pPr>
        <w:spacing w:after="160" w:line="276"/>
        <w:jc w:val="left"/>
      </w:pPr>
      <w:r>
        <w:rPr>
          <w:rFonts w:ascii="Arial" w:cs="Arial" w:eastAsia="Arial" w:hAnsi="Arial"/>
          <w:color w:val="333333"/>
          <w:sz w:val="21"/>
          <w:szCs w:val="21"/>
        </w:rPr>
        <w:t xml:space="preserve">Factor analysis of 1,434 nationally ranked juniors identified four distinct physical performance components: Elementary Speed, Jumping Power, Linear Speed, and Change-of-Direction Speed. Pre- and post-peak height velocity (PHV) groups show fundamentally different physical performance profiles, meaning identical tests produce meaningfully different interpretations depending on biological maturity.</w:t>
      </w:r>
    </w:p>
    <w:p>
      <w:pPr>
        <w:spacing w:after="160" w:line="276"/>
        <w:jc w:val="left"/>
      </w:pPr>
      <w:r>
        <w:rPr>
          <w:rFonts w:ascii="Arial" w:cs="Arial" w:eastAsia="Arial" w:hAnsi="Arial"/>
          <w:b/>
          <w:bCs/>
          <w:color w:val="333333"/>
          <w:sz w:val="21"/>
          <w:szCs w:val="21"/>
        </w:rPr>
        <w:t xml:space="preserve">Important asymmetry is already observable during puberty. </w:t>
      </w:r>
      <w:r>
        <w:rPr>
          <w:rFonts w:ascii="Arial" w:cs="Arial" w:eastAsia="Arial" w:hAnsi="Arial"/>
          <w:color w:val="333333"/>
          <w:sz w:val="21"/>
          <w:szCs w:val="21"/>
        </w:rPr>
        <w:t xml:space="preserve">The dominant arm in junior tennis players develops measurably different strength profiles than the non-dominant arm, with elite players showing more developed eccentric control compared to club-level players. Regular monitoring is recommended to compensate imbalances and minimize injury risk. Motor coordination, measured by standardized batteries like the Körperkoordinationstest für Kinder (KTK), discriminates significantly between elite and club-level players.</w:t>
      </w:r>
    </w:p>
    <w:p>
      <w:pPr>
        <w:spacing w:after="160" w:line="276"/>
        <w:jc w:val="left"/>
      </w:pPr>
      <w:r>
        <w:rPr>
          <w:rFonts w:ascii="Arial" w:cs="Arial" w:eastAsia="Arial" w:hAnsi="Arial"/>
          <w:color w:val="333333"/>
          <w:sz w:val="21"/>
          <w:szCs w:val="21"/>
        </w:rPr>
        <w:t xml:space="preserve">For LBTA, this means: fitness testing for players under 14 must account for biological age, not chronological age. A late-developing 13-year-old compared against early-developing peers will appear underperforming by metrics that have nothing to do with tennis ability or long-term potential.</w:t>
      </w:r>
    </w:p>
    <w:p>
      <w:r>
        <w:br w:type="page"/>
      </w:r>
    </w:p>
    <w:p>
      <w:pPr>
        <w:pStyle w:val="Heading1"/>
        <w:pBdr>
          <w:bottom w:val="single" w:color="C4A265" w:sz="6" w:space="8"/>
        </w:pBdr>
        <w:spacing w:before="360" w:after="200"/>
      </w:pPr>
      <w:r>
        <w:rPr>
          <w:rFonts w:ascii="Arial" w:cs="Arial" w:eastAsia="Arial" w:hAnsi="Arial"/>
          <w:b/>
          <w:bCs/>
          <w:color w:val="1B2A4A"/>
          <w:sz w:val="32"/>
          <w:szCs w:val="32"/>
        </w:rPr>
        <w:t xml:space="preserve">2. Design Recommendations</w:t>
      </w:r>
    </w:p>
    <w:p>
      <w:pPr>
        <w:spacing w:after="160" w:line="276"/>
        <w:jc w:val="left"/>
      </w:pPr>
      <w:r>
        <w:rPr>
          <w:rFonts w:ascii="Arial" w:cs="Arial" w:eastAsia="Arial" w:hAnsi="Arial"/>
          <w:color w:val="333333"/>
          <w:sz w:val="21"/>
          <w:szCs w:val="21"/>
        </w:rPr>
        <w:t xml:space="preserve">Each recommendation below specifies what to build, why it matters, how to implement, estimated cost, and primary risks.</w:t>
      </w:r>
    </w:p>
    <w:p>
      <w:pPr>
        <w:pStyle w:val="Heading2"/>
        <w:spacing w:before="280" w:after="160"/>
      </w:pPr>
      <w:r>
        <w:rPr>
          <w:rFonts w:ascii="Arial" w:cs="Arial" w:eastAsia="Arial" w:hAnsi="Arial"/>
          <w:b/>
          <w:bCs/>
          <w:color w:val="1B2A4A"/>
          <w:sz w:val="26"/>
          <w:szCs w:val="26"/>
        </w:rPr>
        <w:t xml:space="preserve">2.1 The LBTA Movement Assessment (Core Protocol)</w:t>
      </w:r>
    </w:p>
    <w:p>
      <w:pPr>
        <w:spacing w:before="200" w:after="120"/>
      </w:pPr>
      <w:r>
        <w:rPr>
          <w:rFonts w:ascii="Arial" w:cs="Arial" w:eastAsia="Arial" w:hAnsi="Arial"/>
          <w:b/>
          <w:bCs/>
          <w:color w:val="4A5568"/>
          <w:sz w:val="22"/>
          <w:szCs w:val="22"/>
        </w:rPr>
        <w:t xml:space="preserve">What</w:t>
      </w:r>
    </w:p>
    <w:p>
      <w:pPr>
        <w:spacing w:after="160" w:line="276"/>
        <w:jc w:val="left"/>
      </w:pPr>
      <w:r>
        <w:rPr>
          <w:rFonts w:ascii="Arial" w:cs="Arial" w:eastAsia="Arial" w:hAnsi="Arial"/>
          <w:color w:val="333333"/>
          <w:sz w:val="21"/>
          <w:szCs w:val="21"/>
        </w:rPr>
        <w:t xml:space="preserve">A simplified, tennis-specific fitness assessment administered twice per year (October and March) for all enrolled students ages 8+. The protocol draws from the ITF battery and DTB model but reduces to four tests executable within a 15-minute window during regular class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24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What It Measures</w:t>
            </w:r>
          </w:p>
        </w:tc>
        <w:tc>
          <w:tcPr>
            <w:tcW w:type="dxa" w:w="20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Equipment</w:t>
            </w:r>
          </w:p>
        </w:tc>
        <w:tc>
          <w:tcPr>
            <w:tcW w:type="dxa" w:w="29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 / Protocol</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Spider Drill</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Court agility, CODS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5 cones, stopwatch</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3 trials, best recorded. T-pattern, 20m total.</w:t>
            </w:r>
          </w:p>
        </w:tc>
      </w:tr>
      <w:tr>
        <w:tc>
          <w:tcPr>
            <w:tcW w:type="dxa" w:w="20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Medicine Ball Throw</w:t>
            </w:r>
          </w:p>
        </w:tc>
        <w:tc>
          <w:tcPr>
            <w:tcW w:type="dxa" w:w="24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Upper body power</w:t>
            </w:r>
          </w:p>
        </w:tc>
        <w:tc>
          <w:tcPr>
            <w:tcW w:type="dxa" w:w="20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2kg med ball, tape</w:t>
            </w:r>
          </w:p>
        </w:tc>
        <w:tc>
          <w:tcPr>
            <w:tcW w:type="dxa" w:w="296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3 overhead throws, best recorded. Standing.</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Serve Speed Check</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Serving power progression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SwingVision or radar</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10 first serves, average of best 5.</w:t>
            </w:r>
          </w:p>
        </w:tc>
      </w:tr>
      <w:tr>
        <w:tc>
          <w:tcPr>
            <w:tcW w:type="dxa" w:w="20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Sit-and-Reach</w:t>
            </w:r>
          </w:p>
        </w:tc>
        <w:tc>
          <w:tcPr>
            <w:tcW w:type="dxa" w:w="24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Hamstring/lower back flex.</w:t>
            </w:r>
          </w:p>
        </w:tc>
        <w:tc>
          <w:tcPr>
            <w:tcW w:type="dxa" w:w="20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Sit-and-reach box</w:t>
            </w:r>
          </w:p>
        </w:tc>
        <w:tc>
          <w:tcPr>
            <w:tcW w:type="dxa" w:w="296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3 attempts, best recorded. Standardized protocol.</w:t>
            </w:r>
          </w:p>
        </w:tc>
      </w:tr>
    </w:tbl>
    <w:p>
      <w:pPr>
        <w:spacing w:after="80"/>
      </w:pPr>
    </w:p>
    <w:p>
      <w:pPr>
        <w:spacing w:before="200" w:after="120"/>
      </w:pPr>
      <w:r>
        <w:rPr>
          <w:rFonts w:ascii="Arial" w:cs="Arial" w:eastAsia="Arial" w:hAnsi="Arial"/>
          <w:b/>
          <w:bCs/>
          <w:color w:val="4A5568"/>
          <w:sz w:val="22"/>
          <w:szCs w:val="22"/>
        </w:rPr>
        <w:t xml:space="preserve">Why</w:t>
      </w:r>
    </w:p>
    <w:p>
      <w:pPr>
        <w:spacing w:after="160" w:line="276"/>
        <w:jc w:val="left"/>
      </w:pPr>
      <w:r>
        <w:rPr>
          <w:rFonts w:ascii="Arial" w:cs="Arial" w:eastAsia="Arial" w:hAnsi="Arial"/>
          <w:color w:val="333333"/>
          <w:sz w:val="21"/>
          <w:szCs w:val="21"/>
        </w:rPr>
        <w:t xml:space="preserve">The Spider Drill is the single most validated CODS test for tennis (ICC = 0.95). The medicine ball throw predicts serve speed development and upper body power without requiring expensive isokinetic equipment. Serve speed is the most visible metric for parents and a genuine indicator of physical maturation and technical refinement. Flexibility screening identifies injury risk before it manifests.</w:t>
      </w:r>
    </w:p>
    <w:p>
      <w:pPr>
        <w:spacing w:before="200" w:after="120"/>
      </w:pPr>
      <w:r>
        <w:rPr>
          <w:rFonts w:ascii="Arial" w:cs="Arial" w:eastAsia="Arial" w:hAnsi="Arial"/>
          <w:b/>
          <w:bCs/>
          <w:color w:val="4A5568"/>
          <w:sz w:val="22"/>
          <w:szCs w:val="22"/>
        </w:rPr>
        <w:t xml:space="preserve">How</w:t>
      </w:r>
    </w:p>
    <w:p>
      <w:pPr>
        <w:spacing w:after="160" w:line="276"/>
        <w:jc w:val="left"/>
      </w:pPr>
      <w:r>
        <w:rPr>
          <w:rFonts w:ascii="Arial" w:cs="Arial" w:eastAsia="Arial" w:hAnsi="Arial"/>
          <w:color w:val="333333"/>
          <w:sz w:val="21"/>
          <w:szCs w:val="21"/>
        </w:rPr>
        <w:t xml:space="preserve">Assessments are embedded within regular class sessions as a “Movement Day”—framed as a fun challenge, never a test. Coaches record results on a simple Airtable form (4 fields per student). Results flow into individual player profiles visible to parents through the Parent Portal. No scores are compared between students; only personal progress over time is displayed.</w:t>
      </w:r>
    </w:p>
    <w:p>
      <w:pPr>
        <w:spacing w:before="200" w:after="120"/>
      </w:pPr>
      <w:r>
        <w:rPr>
          <w:rFonts w:ascii="Arial" w:cs="Arial" w:eastAsia="Arial" w:hAnsi="Arial"/>
          <w:b/>
          <w:bCs/>
          <w:color w:val="4A5568"/>
          <w:sz w:val="22"/>
          <w:szCs w:val="22"/>
        </w:rPr>
        <w:t xml:space="preserve">Cost</w:t>
      </w:r>
    </w:p>
    <w:p>
      <w:pPr>
        <w:spacing w:after="160" w:line="276"/>
        <w:jc w:val="left"/>
      </w:pPr>
      <w:r>
        <w:rPr>
          <w:rFonts w:ascii="Arial" w:cs="Arial" w:eastAsia="Arial" w:hAnsi="Arial"/>
          <w:color w:val="333333"/>
          <w:sz w:val="21"/>
          <w:szCs w:val="21"/>
        </w:rPr>
        <w:t xml:space="preserve">Equipment: ~$120 (cones, sit-and-reach box, medicine balls—most already on hand). SwingVision Pro subscription: $150/year. Coach training: 1 hour session on protocol standardization. Ongoing time cost: ~15 minutes per student per assessment window, conducted during class.</w:t>
      </w:r>
    </w:p>
    <w:p>
      <w:pPr>
        <w:spacing w:before="200" w:after="120"/>
      </w:pPr>
      <w:r>
        <w:rPr>
          <w:rFonts w:ascii="Arial" w:cs="Arial" w:eastAsia="Arial" w:hAnsi="Arial"/>
          <w:b/>
          <w:bCs/>
          <w:color w:val="4A5568"/>
          <w:sz w:val="22"/>
          <w:szCs w:val="22"/>
        </w:rPr>
        <w:t xml:space="preserve">Risks</w:t>
      </w:r>
    </w:p>
    <w:p>
      <w:pPr>
        <w:spacing w:after="160" w:line="276"/>
        <w:jc w:val="left"/>
      </w:pPr>
      <w:r>
        <w:rPr>
          <w:rFonts w:ascii="Arial" w:cs="Arial" w:eastAsia="Arial" w:hAnsi="Arial"/>
          <w:color w:val="333333"/>
          <w:sz w:val="21"/>
          <w:szCs w:val="21"/>
        </w:rPr>
        <w:t xml:space="preserve">Primary risk is coach inconsistency in protocol execution. The Spider Drill’s reliability (ICC = 0.95) assumes standardized timing gate height and course layout. Mitigation: laminated protocol cards at each facility, annual coach calibration session, and digital video reference for setup.</w:t>
      </w:r>
    </w:p>
    <w:p>
      <w:pPr>
        <w:pStyle w:val="Heading2"/>
        <w:spacing w:before="280" w:after="160"/>
      </w:pPr>
      <w:r>
        <w:rPr>
          <w:rFonts w:ascii="Arial" w:cs="Arial" w:eastAsia="Arial" w:hAnsi="Arial"/>
          <w:b/>
          <w:bCs/>
          <w:color w:val="1B2A4A"/>
          <w:sz w:val="26"/>
          <w:szCs w:val="26"/>
        </w:rPr>
        <w:t xml:space="preserve">2.2 Percentile-Based Individual Profiles</w:t>
      </w:r>
    </w:p>
    <w:p>
      <w:pPr>
        <w:spacing w:before="200" w:after="120"/>
      </w:pPr>
      <w:r>
        <w:rPr>
          <w:rFonts w:ascii="Arial" w:cs="Arial" w:eastAsia="Arial" w:hAnsi="Arial"/>
          <w:b/>
          <w:bCs/>
          <w:color w:val="4A5568"/>
          <w:sz w:val="22"/>
          <w:szCs w:val="22"/>
        </w:rPr>
        <w:t xml:space="preserve">What</w:t>
      </w:r>
    </w:p>
    <w:p>
      <w:pPr>
        <w:spacing w:after="160" w:line="276"/>
        <w:jc w:val="left"/>
      </w:pPr>
      <w:r>
        <w:rPr>
          <w:rFonts w:ascii="Arial" w:cs="Arial" w:eastAsia="Arial" w:hAnsi="Arial"/>
          <w:color w:val="333333"/>
          <w:sz w:val="21"/>
          <w:szCs w:val="21"/>
        </w:rPr>
        <w:t xml:space="preserve">Internal normative data stratified by age band (8–10, 11–13, 14–16, 17+) and gender, generated from LBTA’s own student population. After 2–3 assessment cycles, sufficient data exists to create LBTA-specific percentile bands. Until then, DTB published norms serve as reference.</w:t>
      </w:r>
    </w:p>
    <w:p>
      <w:pPr>
        <w:spacing w:before="200" w:after="120"/>
      </w:pPr>
      <w:r>
        <w:rPr>
          <w:rFonts w:ascii="Arial" w:cs="Arial" w:eastAsia="Arial" w:hAnsi="Arial"/>
          <w:b/>
          <w:bCs/>
          <w:color w:val="4A5568"/>
          <w:sz w:val="22"/>
          <w:szCs w:val="22"/>
        </w:rPr>
        <w:t xml:space="preserve">Why</w:t>
      </w:r>
    </w:p>
    <w:p>
      <w:pPr>
        <w:spacing w:after="160" w:line="276"/>
        <w:jc w:val="left"/>
      </w:pPr>
      <w:r>
        <w:rPr>
          <w:rFonts w:ascii="Arial" w:cs="Arial" w:eastAsia="Arial" w:hAnsi="Arial"/>
          <w:color w:val="333333"/>
          <w:sz w:val="21"/>
          <w:szCs w:val="21"/>
        </w:rPr>
        <w:t xml:space="preserve">The DTB model’s core finding is that individualized percentile profiles drive better training design than absolute benchmarks. A player in the 30th percentile for agility but 80th percentile for power has a clear, specific development pathway. External norms (ITF/DTB) contextualize LBTA students within national-level populations without creating discouraging comparisons against professional athletes.</w:t>
      </w:r>
    </w:p>
    <w:p>
      <w:pPr>
        <w:spacing w:before="200" w:after="120"/>
      </w:pPr>
      <w:r>
        <w:rPr>
          <w:rFonts w:ascii="Arial" w:cs="Arial" w:eastAsia="Arial" w:hAnsi="Arial"/>
          <w:b/>
          <w:bCs/>
          <w:color w:val="4A5568"/>
          <w:sz w:val="22"/>
          <w:szCs w:val="22"/>
        </w:rPr>
        <w:t xml:space="preserve">How</w:t>
      </w:r>
    </w:p>
    <w:p>
      <w:pPr>
        <w:spacing w:after="160" w:line="276"/>
        <w:jc w:val="left"/>
      </w:pPr>
      <w:r>
        <w:rPr>
          <w:rFonts w:ascii="Arial" w:cs="Arial" w:eastAsia="Arial" w:hAnsi="Arial"/>
          <w:color w:val="333333"/>
          <w:sz w:val="21"/>
          <w:szCs w:val="21"/>
        </w:rPr>
        <w:t xml:space="preserve">Results are stored in Airtable with age, gender, and assessment date. A simple percentile calculation (rank within age/gender cohort) generates the profile. Display format: radar chart showing 4 dimensions, with shaded “expected range” band and the student’s personal scores plotted. Prior assessment results shown as a lighter trace to visualize progress.</w:t>
      </w:r>
    </w:p>
    <w:p>
      <w:pPr>
        <w:spacing w:before="200" w:after="120"/>
      </w:pPr>
      <w:r>
        <w:rPr>
          <w:rFonts w:ascii="Arial" w:cs="Arial" w:eastAsia="Arial" w:hAnsi="Arial"/>
          <w:b/>
          <w:bCs/>
          <w:color w:val="4A5568"/>
          <w:sz w:val="22"/>
          <w:szCs w:val="22"/>
        </w:rPr>
        <w:t xml:space="preserve">Cost</w:t>
      </w:r>
    </w:p>
    <w:p>
      <w:pPr>
        <w:spacing w:after="160" w:line="276"/>
        <w:jc w:val="left"/>
      </w:pPr>
      <w:r>
        <w:rPr>
          <w:rFonts w:ascii="Arial" w:cs="Arial" w:eastAsia="Arial" w:hAnsi="Arial"/>
          <w:color w:val="333333"/>
          <w:sz w:val="21"/>
          <w:szCs w:val="21"/>
        </w:rPr>
        <w:t xml:space="preserve">Airtable configuration: 2–4 hours. Visualization template (for Parent Portal): 4–8 hours of development. No recurring cost beyond initial build.</w:t>
      </w:r>
    </w:p>
    <w:p>
      <w:pPr>
        <w:spacing w:before="200" w:after="120"/>
      </w:pPr>
      <w:r>
        <w:rPr>
          <w:rFonts w:ascii="Arial" w:cs="Arial" w:eastAsia="Arial" w:hAnsi="Arial"/>
          <w:b/>
          <w:bCs/>
          <w:color w:val="4A5568"/>
          <w:sz w:val="22"/>
          <w:szCs w:val="22"/>
        </w:rPr>
        <w:t xml:space="preserve">Risks</w:t>
      </w:r>
    </w:p>
    <w:p>
      <w:pPr>
        <w:spacing w:after="160" w:line="276"/>
        <w:jc w:val="left"/>
      </w:pPr>
      <w:r>
        <w:rPr>
          <w:rFonts w:ascii="Arial" w:cs="Arial" w:eastAsia="Arial" w:hAnsi="Arial"/>
          <w:color w:val="333333"/>
          <w:sz w:val="21"/>
          <w:szCs w:val="21"/>
        </w:rPr>
        <w:t xml:space="preserve">Small cohort sizes (especially at older age bands) produce unreliable percentiles in early cycles. Mitigation: use DTB reference norms for the first 12 months, then blend LBTA data as sample size grows. Never display percentile rankings to students or parents—only the individual profile visualization.</w:t>
      </w:r>
    </w:p>
    <w:p>
      <w:pPr>
        <w:pStyle w:val="Heading2"/>
        <w:spacing w:before="280" w:after="160"/>
      </w:pPr>
      <w:r>
        <w:rPr>
          <w:rFonts w:ascii="Arial" w:cs="Arial" w:eastAsia="Arial" w:hAnsi="Arial"/>
          <w:b/>
          <w:bCs/>
          <w:color w:val="1B2A4A"/>
          <w:sz w:val="26"/>
          <w:szCs w:val="26"/>
        </w:rPr>
        <w:t xml:space="preserve">2.3 Technology Integration Strategy</w:t>
      </w:r>
    </w:p>
    <w:p>
      <w:pPr>
        <w:spacing w:before="200" w:after="120"/>
      </w:pPr>
      <w:r>
        <w:rPr>
          <w:rFonts w:ascii="Arial" w:cs="Arial" w:eastAsia="Arial" w:hAnsi="Arial"/>
          <w:b/>
          <w:bCs/>
          <w:color w:val="4A5568"/>
          <w:sz w:val="22"/>
          <w:szCs w:val="22"/>
        </w:rPr>
        <w:t xml:space="preserve">What</w:t>
      </w:r>
    </w:p>
    <w:p>
      <w:pPr>
        <w:spacing w:after="160" w:line="276"/>
        <w:jc w:val="left"/>
      </w:pPr>
      <w:r>
        <w:rPr>
          <w:rFonts w:ascii="Arial" w:cs="Arial" w:eastAsia="Arial" w:hAnsi="Arial"/>
          <w:color w:val="333333"/>
          <w:sz w:val="21"/>
          <w:szCs w:val="21"/>
        </w:rPr>
        <w:t xml:space="preserve">A tiered technology approach: SwingVision as the universal tool (all programs), WHOOP as an optional recommendation for High Performance/JTT players, and Airtable as the data backbone connecting assessment results to player profiles.</w:t>
      </w:r>
    </w:p>
    <w:p>
      <w:pPr>
        <w:spacing w:before="200" w:after="120"/>
      </w:pPr>
      <w:r>
        <w:rPr>
          <w:rFonts w:ascii="Arial" w:cs="Arial" w:eastAsia="Arial" w:hAnsi="Arial"/>
          <w:b/>
          <w:bCs/>
          <w:color w:val="4A5568"/>
          <w:sz w:val="22"/>
          <w:szCs w:val="22"/>
        </w:rPr>
        <w:t xml:space="preserve">Why</w:t>
      </w:r>
    </w:p>
    <w:p>
      <w:pPr>
        <w:spacing w:after="160" w:line="276"/>
        <w:jc w:val="left"/>
      </w:pPr>
      <w:r>
        <w:rPr>
          <w:rFonts w:ascii="Arial" w:cs="Arial" w:eastAsia="Arial" w:hAnsi="Arial"/>
          <w:color w:val="333333"/>
          <w:sz w:val="21"/>
          <w:szCs w:val="21"/>
        </w:rPr>
        <w:t xml:space="preserve">SwingVision provides validated serve speed measurement (ICC = 0.76–0.80) and stroke classification (ICC = 0.97) at minimal cost. WHOOP’s HR/HRV accuracy (99.7%/99%) supports recovery-aware training for serious competitors, but its proprietary scores and $30/month cost make it inappropriate as a mandated tool. The architecture must keep the data layer (Airtable) independent from any single vendor.</w:t>
      </w:r>
    </w:p>
    <w:p>
      <w:pPr>
        <w:spacing w:before="200" w:after="120"/>
      </w:pPr>
      <w:r>
        <w:rPr>
          <w:rFonts w:ascii="Arial" w:cs="Arial" w:eastAsia="Arial" w:hAnsi="Arial"/>
          <w:b/>
          <w:bCs/>
          <w:color w:val="4A5568"/>
          <w:sz w:val="22"/>
          <w:szCs w:val="22"/>
        </w:rPr>
        <w:t xml:space="preserve">How</w:t>
      </w:r>
    </w:p>
    <w:p>
      <w:pPr>
        <w:spacing w:after="160" w:line="276"/>
        <w:jc w:val="left"/>
      </w:pPr>
      <w:r>
        <w:rPr>
          <w:rFonts w:ascii="Arial" w:cs="Arial" w:eastAsia="Arial" w:hAnsi="Arial"/>
          <w:color w:val="333333"/>
          <w:sz w:val="21"/>
          <w:szCs w:val="21"/>
        </w:rPr>
        <w:t xml:space="preserve">SwingVision: One shared Pro account used by coaching staff during designated assessment sessions and match play analysis. Results manually entered into Airtable (until API integration is built). WHOOP: Listed as a “recommended tool” in High Performance program materials with educational context about what it measures and doesn’t measure. Players/families choose independently. Airtable: New “Fitness Assessments” table linked to Students, storing test date, protocol version, and 4–6 metric fields.</w:t>
      </w:r>
    </w:p>
    <w:p>
      <w:pPr>
        <w:spacing w:before="200" w:after="120"/>
      </w:pPr>
      <w:r>
        <w:rPr>
          <w:rFonts w:ascii="Arial" w:cs="Arial" w:eastAsia="Arial" w:hAnsi="Arial"/>
          <w:b/>
          <w:bCs/>
          <w:color w:val="4A5568"/>
          <w:sz w:val="22"/>
          <w:szCs w:val="22"/>
        </w:rPr>
        <w:t xml:space="preserve">Cost</w:t>
      </w:r>
    </w:p>
    <w:p>
      <w:pPr>
        <w:spacing w:after="160" w:line="276"/>
        <w:jc w:val="left"/>
      </w:pPr>
      <w:r>
        <w:rPr>
          <w:rFonts w:ascii="Arial" w:cs="Arial" w:eastAsia="Arial" w:hAnsi="Arial"/>
          <w:color w:val="333333"/>
          <w:sz w:val="21"/>
          <w:szCs w:val="21"/>
        </w:rPr>
        <w:t xml:space="preserve">SwingVision Pro: $150/year. Airtable table build: 2 hours. No WHOOP cost to LBTA (player-funded). Total Year 1 cost: ~$200 plus staff time.</w:t>
      </w:r>
    </w:p>
    <w:p>
      <w:pPr>
        <w:spacing w:before="200" w:after="120"/>
      </w:pPr>
      <w:r>
        <w:rPr>
          <w:rFonts w:ascii="Arial" w:cs="Arial" w:eastAsia="Arial" w:hAnsi="Arial"/>
          <w:b/>
          <w:bCs/>
          <w:color w:val="4A5568"/>
          <w:sz w:val="22"/>
          <w:szCs w:val="22"/>
        </w:rPr>
        <w:t xml:space="preserve">Risks</w:t>
      </w:r>
    </w:p>
    <w:p>
      <w:pPr>
        <w:spacing w:after="160" w:line="276"/>
        <w:jc w:val="left"/>
      </w:pPr>
      <w:r>
        <w:rPr>
          <w:rFonts w:ascii="Arial" w:cs="Arial" w:eastAsia="Arial" w:hAnsi="Arial"/>
          <w:color w:val="333333"/>
          <w:sz w:val="21"/>
          <w:szCs w:val="21"/>
        </w:rPr>
        <w:t xml:space="preserve">SwingVision accuracy degrades with suboptimal camera angle and lighting. Mitigation: designate specific camera mount points at each facility with marked positions. WHOOP risk: parents may over-index on Recovery/Strain scores for training decisions. Mitigation: educational materials explicitly framing these as “trend indicators, not medical diagnostics.”</w:t>
      </w:r>
    </w:p>
    <w:p>
      <w:pPr>
        <w:pStyle w:val="Heading2"/>
        <w:spacing w:before="280" w:after="160"/>
      </w:pPr>
      <w:r>
        <w:rPr>
          <w:rFonts w:ascii="Arial" w:cs="Arial" w:eastAsia="Arial" w:hAnsi="Arial"/>
          <w:b/>
          <w:bCs/>
          <w:color w:val="1B2A4A"/>
          <w:sz w:val="26"/>
          <w:szCs w:val="26"/>
        </w:rPr>
        <w:t xml:space="preserve">2.4 Age-Appropriate Assessment Modifications</w:t>
      </w:r>
    </w:p>
    <w:p>
      <w:pPr>
        <w:spacing w:before="200" w:after="120"/>
      </w:pPr>
      <w:r>
        <w:rPr>
          <w:rFonts w:ascii="Arial" w:cs="Arial" w:eastAsia="Arial" w:hAnsi="Arial"/>
          <w:b/>
          <w:bCs/>
          <w:color w:val="4A5568"/>
          <w:sz w:val="22"/>
          <w:szCs w:val="22"/>
        </w:rPr>
        <w:t xml:space="preserve">What</w:t>
      </w:r>
    </w:p>
    <w:p>
      <w:pPr>
        <w:spacing w:after="160" w:line="276"/>
        <w:jc w:val="left"/>
      </w:pPr>
      <w:r>
        <w:rPr>
          <w:rFonts w:ascii="Arial" w:cs="Arial" w:eastAsia="Arial" w:hAnsi="Arial"/>
          <w:color w:val="333333"/>
          <w:sz w:val="21"/>
          <w:szCs w:val="21"/>
        </w:rPr>
        <w:t xml:space="preserve">Distinct assessment protocols for three developmental bands: (1) Red/Orange Ball (ages 6–9): movement games only, no formal testing; (2) Green/Yellow Ball Transition (ages 10–13): simplified 3-test battery; (3) Yellow Ball/Competitive (ages 14+): full 4-test protocol with serve speed.</w:t>
      </w:r>
    </w:p>
    <w:p>
      <w:pPr>
        <w:spacing w:before="200" w:after="120"/>
      </w:pPr>
      <w:r>
        <w:rPr>
          <w:rFonts w:ascii="Arial" w:cs="Arial" w:eastAsia="Arial" w:hAnsi="Arial"/>
          <w:b/>
          <w:bCs/>
          <w:color w:val="4A5568"/>
          <w:sz w:val="22"/>
          <w:szCs w:val="22"/>
        </w:rPr>
        <w:t xml:space="preserve">Why</w:t>
      </w:r>
    </w:p>
    <w:p>
      <w:pPr>
        <w:spacing w:after="160" w:line="276"/>
        <w:jc w:val="left"/>
      </w:pPr>
      <w:r>
        <w:rPr>
          <w:rFonts w:ascii="Arial" w:cs="Arial" w:eastAsia="Arial" w:hAnsi="Arial"/>
          <w:color w:val="333333"/>
          <w:sz w:val="21"/>
          <w:szCs w:val="21"/>
        </w:rPr>
        <w:t xml:space="preserve">Research on maturation timing (pre-PHV vs. post-PHV) demonstrates that identical tests measure fundamentally different constructs at different developmental stages. A Spider Drill time for a 9-year-old reflects coordination and body awareness; for a 15-year-old, it reflects trained agility and power. Forcing formal testing on young children violates both developmental science and the LBTA brand promise of belonging-first culture.</w:t>
      </w:r>
    </w:p>
    <w:p>
      <w:pPr>
        <w:spacing w:before="200" w:after="120"/>
      </w:pPr>
      <w:r>
        <w:rPr>
          <w:rFonts w:ascii="Arial" w:cs="Arial" w:eastAsia="Arial" w:hAnsi="Arial"/>
          <w:b/>
          <w:bCs/>
          <w:color w:val="4A5568"/>
          <w:sz w:val="22"/>
          <w:szCs w:val="22"/>
        </w:rPr>
        <w:t xml:space="preserve">How</w:t>
      </w:r>
    </w:p>
    <w:p>
      <w:pPr>
        <w:spacing w:after="160" w:line="276"/>
        <w:jc w:val="left"/>
      </w:pPr>
      <w:r>
        <w:rPr>
          <w:rFonts w:ascii="Arial" w:cs="Arial" w:eastAsia="Arial" w:hAnsi="Arial"/>
          <w:color w:val="333333"/>
          <w:sz w:val="21"/>
          <w:szCs w:val="21"/>
        </w:rPr>
        <w:t xml:space="preserve">Red/Orange Ball: Coaches note movement quality observations (balance, coordination, spatial awareness) using a simple 3-point scale during regular classes. No stopwatch, no formal protocol. Green/Yellow Transition: Spider Drill, medicine ball throw, flexibility. No serve speed (serve mechanics still developing). Yellow Ball/Competitive: Full protocol including serve speed. Results shared with player and family in context of individual trajectory.</w:t>
      </w:r>
    </w:p>
    <w:p>
      <w:pPr>
        <w:spacing w:before="200" w:after="120"/>
      </w:pPr>
      <w:r>
        <w:rPr>
          <w:rFonts w:ascii="Arial" w:cs="Arial" w:eastAsia="Arial" w:hAnsi="Arial"/>
          <w:b/>
          <w:bCs/>
          <w:color w:val="4A5568"/>
          <w:sz w:val="22"/>
          <w:szCs w:val="22"/>
        </w:rPr>
        <w:t xml:space="preserve">Cost</w:t>
      </w:r>
    </w:p>
    <w:p>
      <w:pPr>
        <w:spacing w:after="160" w:line="276"/>
        <w:jc w:val="left"/>
      </w:pPr>
      <w:r>
        <w:rPr>
          <w:rFonts w:ascii="Arial" w:cs="Arial" w:eastAsia="Arial" w:hAnsi="Arial"/>
          <w:color w:val="333333"/>
          <w:sz w:val="21"/>
          <w:szCs w:val="21"/>
        </w:rPr>
        <w:t xml:space="preserve">Additional development: age-appropriate observation rubric for Red/Orange (2 hours). Modified Airtable form for each band (1 hour each). Total: ~5 hours of setup.</w:t>
      </w:r>
    </w:p>
    <w:p>
      <w:pPr>
        <w:spacing w:before="200" w:after="120"/>
      </w:pPr>
      <w:r>
        <w:rPr>
          <w:rFonts w:ascii="Arial" w:cs="Arial" w:eastAsia="Arial" w:hAnsi="Arial"/>
          <w:b/>
          <w:bCs/>
          <w:color w:val="4A5568"/>
          <w:sz w:val="22"/>
          <w:szCs w:val="22"/>
        </w:rPr>
        <w:t xml:space="preserve">Risks</w:t>
      </w:r>
    </w:p>
    <w:p>
      <w:pPr>
        <w:spacing w:after="160" w:line="276"/>
        <w:jc w:val="left"/>
      </w:pPr>
      <w:r>
        <w:rPr>
          <w:rFonts w:ascii="Arial" w:cs="Arial" w:eastAsia="Arial" w:hAnsi="Arial"/>
          <w:color w:val="333333"/>
          <w:sz w:val="21"/>
          <w:szCs w:val="21"/>
        </w:rPr>
        <w:t xml:space="preserve">Parents of younger children may request formal testing metrics. Mitigation: parent communication explaining developmental appropriateness, framed as “we measure what matters at each stage” rather than “we don’t test young kids.” The language must position LBTA’s approach as more sophisticated, not less rigorous.</w:t>
      </w:r>
    </w:p>
    <w:p>
      <w:r>
        <w:br w:type="page"/>
      </w:r>
    </w:p>
    <w:p>
      <w:pPr>
        <w:pStyle w:val="Heading1"/>
        <w:pBdr>
          <w:bottom w:val="single" w:color="C4A265" w:sz="6" w:space="8"/>
        </w:pBdr>
        <w:spacing w:before="360" w:after="200"/>
      </w:pPr>
      <w:r>
        <w:rPr>
          <w:rFonts w:ascii="Arial" w:cs="Arial" w:eastAsia="Arial" w:hAnsi="Arial"/>
          <w:b/>
          <w:bCs/>
          <w:color w:val="1B2A4A"/>
          <w:sz w:val="32"/>
          <w:szCs w:val="32"/>
        </w:rPr>
        <w:t xml:space="preserve">3. Implementation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560"/>
        <w:gridCol w:w="2400"/>
      </w:tblGrid>
      <w:tr>
        <w:tc>
          <w:tcPr>
            <w:tcW w:type="dxa" w:w="1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w:t>
            </w:r>
          </w:p>
        </w:tc>
        <w:tc>
          <w:tcPr>
            <w:tcW w:type="dxa" w:w="3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Deliverable</w:t>
            </w:r>
          </w:p>
        </w:tc>
        <w:tc>
          <w:tcPr>
            <w:tcW w:type="dxa" w:w="25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Timeline</w:t>
            </w:r>
          </w:p>
        </w:tc>
        <w:tc>
          <w:tcPr>
            <w:tcW w:type="dxa" w:w="24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Dependencies</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Phase 1</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Movement Assessment protocol finalized</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Weeks 1–2</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Coach calibration session</w:t>
            </w:r>
          </w:p>
        </w:tc>
      </w:tr>
      <w:tr>
        <w:tc>
          <w:tcPr>
            <w:tcW w:type="dxa" w:w="12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
            </w:r>
          </w:p>
        </w:tc>
        <w:tc>
          <w:tcPr>
            <w:tcW w:type="dxa" w:w="32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Airtable Fitness Assessments table built</w:t>
            </w:r>
          </w:p>
        </w:tc>
        <w:tc>
          <w:tcPr>
            <w:tcW w:type="dxa" w:w="256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Week 2</w:t>
            </w:r>
          </w:p>
        </w:tc>
        <w:tc>
          <w:tcPr>
            <w:tcW w:type="dxa" w:w="24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Schema design (Section 2.2)</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SwingVision Pro subscription activated</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Week 1</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iOS device at each facility</w:t>
            </w:r>
          </w:p>
        </w:tc>
      </w:tr>
      <w:tr>
        <w:tc>
          <w:tcPr>
            <w:tcW w:type="dxa" w:w="12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
            </w:r>
          </w:p>
        </w:tc>
        <w:tc>
          <w:tcPr>
            <w:tcW w:type="dxa" w:w="32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Laminated protocol cards at each location</w:t>
            </w:r>
          </w:p>
        </w:tc>
        <w:tc>
          <w:tcPr>
            <w:tcW w:type="dxa" w:w="256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Week 2</w:t>
            </w:r>
          </w:p>
        </w:tc>
        <w:tc>
          <w:tcPr>
            <w:tcW w:type="dxa" w:w="24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Protocol finalization</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Phase 2</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First full assessment cycle (all 8+ students)</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Weeks 3–6</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Phase 1 complete</w:t>
            </w:r>
          </w:p>
        </w:tc>
      </w:tr>
      <w:tr>
        <w:tc>
          <w:tcPr>
            <w:tcW w:type="dxa" w:w="12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
            </w:r>
          </w:p>
        </w:tc>
        <w:tc>
          <w:tcPr>
            <w:tcW w:type="dxa" w:w="32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Parent communication: Movement Day introduction</w:t>
            </w:r>
          </w:p>
        </w:tc>
        <w:tc>
          <w:tcPr>
            <w:tcW w:type="dxa" w:w="256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Week 3</w:t>
            </w:r>
          </w:p>
        </w:tc>
        <w:tc>
          <w:tcPr>
            <w:tcW w:type="dxa" w:w="24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Comms template drafted</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Individual profile visualization (v1)</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Weeks 5–8</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Data from first cycle</w:t>
            </w:r>
          </w:p>
        </w:tc>
      </w:tr>
      <w:tr>
        <w:tc>
          <w:tcPr>
            <w:tcW w:type="dxa" w:w="12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Phase 3</w:t>
            </w:r>
          </w:p>
        </w:tc>
        <w:tc>
          <w:tcPr>
            <w:tcW w:type="dxa" w:w="32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LBTA-specific percentile norms (internal)</w:t>
            </w:r>
          </w:p>
        </w:tc>
        <w:tc>
          <w:tcPr>
            <w:tcW w:type="dxa" w:w="256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Month 6–12</w:t>
            </w:r>
          </w:p>
        </w:tc>
        <w:tc>
          <w:tcPr>
            <w:tcW w:type="dxa" w:w="24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2+ assessment cycles</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Parent Portal integration (profiles visible)</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Month 6–12</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Portal development (Domain 6)</w:t>
            </w:r>
          </w:p>
        </w:tc>
      </w:tr>
      <w:tr>
        <w:tc>
          <w:tcPr>
            <w:tcW w:type="dxa" w:w="12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
            </w:r>
          </w:p>
        </w:tc>
        <w:tc>
          <w:tcPr>
            <w:tcW w:type="dxa" w:w="32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WHOOP guidance materials for HP track</w:t>
            </w:r>
          </w:p>
        </w:tc>
        <w:tc>
          <w:tcPr>
            <w:tcW w:type="dxa" w:w="256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Month 3–6</w:t>
            </w:r>
          </w:p>
        </w:tc>
        <w:tc>
          <w:tcPr>
            <w:tcW w:type="dxa" w:w="240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Educational content drafted</w:t>
            </w:r>
          </w:p>
        </w:tc>
      </w:tr>
    </w:tbl>
    <w:p>
      <w:pPr>
        <w:spacing w:after="80"/>
      </w:pPr>
    </w:p>
    <w:p>
      <w:pPr>
        <w:spacing w:after="160" w:line="276"/>
        <w:jc w:val="left"/>
      </w:pPr>
      <w:r>
        <w:rPr>
          <w:rFonts w:ascii="Arial" w:cs="Arial" w:eastAsia="Arial" w:hAnsi="Arial"/>
          <w:color w:val="333333"/>
          <w:sz w:val="21"/>
          <w:szCs w:val="21"/>
        </w:rPr>
        <w:t xml:space="preserve">Phase 1 is executable within 2 weeks at under $300 total investment. Phase 2 requires the first assessment window and parent communication rollout. Phase 3 depends on accumulated data volume and Parent Portal development from Domain 6.</w:t>
      </w:r>
    </w:p>
    <w:p>
      <w:r>
        <w:br w:type="page"/>
      </w:r>
    </w:p>
    <w:p>
      <w:pPr>
        <w:pStyle w:val="Heading1"/>
        <w:pBdr>
          <w:bottom w:val="single" w:color="C4A265" w:sz="6" w:space="8"/>
        </w:pBdr>
        <w:spacing w:before="360" w:after="200"/>
      </w:pPr>
      <w:r>
        <w:rPr>
          <w:rFonts w:ascii="Arial" w:cs="Arial" w:eastAsia="Arial" w:hAnsi="Arial"/>
          <w:b/>
          <w:bCs/>
          <w:color w:val="1B2A4A"/>
          <w:sz w:val="32"/>
          <w:szCs w:val="32"/>
        </w:rPr>
        <w:t xml:space="preserve">4. Aman Test Checkpoint</w:t>
      </w:r>
    </w:p>
    <w:p>
      <w:pPr>
        <w:spacing w:after="160" w:line="276"/>
        <w:jc w:val="left"/>
      </w:pPr>
      <w:r>
        <w:rPr>
          <w:rFonts w:ascii="Arial" w:cs="Arial" w:eastAsia="Arial" w:hAnsi="Arial"/>
          <w:i/>
          <w:iCs/>
          <w:color w:val="4A5568"/>
          <w:sz w:val="21"/>
          <w:szCs w:val="21"/>
        </w:rPr>
        <w:t xml:space="preserve">Every design element must pass the Aman Test: would this feel at home in a premium, understated, sophisticated environment? Would it make a discerning parent feel their child is in the care of thoughtful professionals?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Element</w:t>
            </w:r>
          </w:p>
        </w:tc>
        <w:tc>
          <w:tcPr>
            <w:tcW w:type="dxa" w:w="312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Pass / Fail</w:t>
            </w:r>
          </w:p>
        </w:tc>
        <w:tc>
          <w:tcPr>
            <w:tcW w:type="dxa" w:w="312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Rationale</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"Movement Day" framing</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 Pass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Avoids clinical "testing" language. Implies discovery, not evaluation.</w:t>
            </w:r>
          </w:p>
        </w:tc>
      </w:tr>
      <w:tr>
        <w:tc>
          <w:tcPr>
            <w:tcW w:type="dxa" w:w="312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Individual profiles (no comparison)</w:t>
            </w:r>
          </w:p>
        </w:tc>
        <w:tc>
          <w:tcPr>
            <w:tcW w:type="dxa" w:w="312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Pass</w:t>
            </w:r>
          </w:p>
        </w:tc>
        <w:tc>
          <w:tcPr>
            <w:tcW w:type="dxa" w:w="312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Personal journey narrative, not competitive ranking.</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Radar chart visualization</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 Pass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Clean, minimal, data-elegant. No gamification graphics.</w:t>
            </w:r>
          </w:p>
        </w:tc>
      </w:tr>
      <w:tr>
        <w:tc>
          <w:tcPr>
            <w:tcW w:type="dxa" w:w="312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Age-differentiated protocols</w:t>
            </w:r>
          </w:p>
        </w:tc>
        <w:tc>
          <w:tcPr>
            <w:tcW w:type="dxa" w:w="312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Pass</w:t>
            </w:r>
          </w:p>
        </w:tc>
        <w:tc>
          <w:tcPr>
            <w:tcW w:type="dxa" w:w="312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Demonstrates developmental sophistication parents respect.</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WHOOP as optional, not mandated</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 Pass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Respects family autonomy. Recommendation implies trust, not control.</w:t>
            </w:r>
          </w:p>
        </w:tc>
      </w:tr>
      <w:tr>
        <w:tc>
          <w:tcPr>
            <w:tcW w:type="dxa" w:w="312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SwingVision for serve tracking</w:t>
            </w:r>
          </w:p>
        </w:tc>
        <w:tc>
          <w:tcPr>
            <w:tcW w:type="dxa" w:w="312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Conditional</w:t>
            </w:r>
          </w:p>
        </w:tc>
        <w:tc>
          <w:tcPr>
            <w:tcW w:type="dxa" w:w="312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Technology must be invisible during sessions. Setup/recording by coaches only—never ask families to install.</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Public leaderboards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 Blocked</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color w:val="333333"/>
                <w:sz w:val="18"/>
                <w:szCs w:val="18"/>
              </w:rPr>
              <w:t xml:space="preserve">Non-negotiable. No comparison displays for juniors.</w:t>
            </w:r>
          </w:p>
        </w:tc>
      </w:tr>
      <w:tr>
        <w:tc>
          <w:tcPr>
            <w:tcW w:type="dxa" w:w="312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Mandatory participation</w:t>
            </w:r>
          </w:p>
        </w:tc>
        <w:tc>
          <w:tcPr>
            <w:tcW w:type="dxa" w:w="312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Blocked</w:t>
            </w:r>
          </w:p>
        </w:tc>
        <w:tc>
          <w:tcPr>
            <w:tcW w:type="dxa" w:w="3120"/>
            <w:tcBorders>
              <w:top w:val="single" w:color="D1D5DB" w:sz="1"/>
              <w:left w:val="single" w:color="D1D5DB" w:sz="1"/>
              <w:bottom w:val="single" w:color="D1D5DB" w:sz="1"/>
              <w:right w:val="single" w:color="D1D5DB" w:sz="1"/>
            </w:tcBorders>
            <w:shd w:fill="F7F5F0" w:val="clear"/>
            <w:tcMar>
              <w:top w:type="dxa" w:w="60"/>
              <w:left w:type="dxa" w:w="100"/>
              <w:bottom w:type="dxa" w:w="60"/>
              <w:right w:type="dxa" w:w="100"/>
            </w:tcMar>
          </w:tcPr>
          <w:p>
            <w:pPr>
              <w:jc w:val="left"/>
            </w:pPr>
            <w:r>
              <w:rPr>
                <w:rFonts w:ascii="Arial" w:cs="Arial" w:eastAsia="Arial" w:hAnsi="Arial"/>
                <w:color w:val="333333"/>
                <w:sz w:val="18"/>
                <w:szCs w:val="18"/>
              </w:rPr>
              <w:t xml:space="preserve">Opt-in culture only. Pressure violates belonging pillar.</w:t>
            </w:r>
          </w:p>
        </w:tc>
      </w:tr>
    </w:tbl>
    <w:p>
      <w:pPr>
        <w:spacing w:after="80"/>
      </w:pPr>
    </w:p>
    <w:p>
      <w:pPr>
        <w:spacing w:after="160" w:line="276"/>
        <w:jc w:val="left"/>
      </w:pPr>
      <w:r>
        <w:rPr>
          <w:rFonts w:ascii="Arial" w:cs="Arial" w:eastAsia="Arial" w:hAnsi="Arial"/>
          <w:b/>
          <w:bCs/>
          <w:color w:val="333333"/>
          <w:sz w:val="21"/>
          <w:szCs w:val="21"/>
        </w:rPr>
        <w:t xml:space="preserve">Brand language guidance: </w:t>
      </w:r>
      <w:r>
        <w:rPr>
          <w:rFonts w:ascii="Arial" w:cs="Arial" w:eastAsia="Arial" w:hAnsi="Arial"/>
          <w:color w:val="333333"/>
          <w:sz w:val="21"/>
          <w:szCs w:val="21"/>
        </w:rPr>
        <w:t xml:space="preserve">Use “movement profile,” “progress snapshot,” “development check-in.” Never use “fitness test,” “performance evaluation,” “assessment score,” or “ranking.” The language must frame physical development as part of the whole-player journey, not an isolated metric.</w:t>
      </w:r>
    </w:p>
    <w:p>
      <w:r>
        <w:br w:type="page"/>
      </w:r>
    </w:p>
    <w:p>
      <w:pPr>
        <w:pStyle w:val="Heading1"/>
        <w:pBdr>
          <w:bottom w:val="single" w:color="C4A265" w:sz="6" w:space="8"/>
        </w:pBdr>
        <w:spacing w:before="360" w:after="200"/>
      </w:pPr>
      <w:r>
        <w:rPr>
          <w:rFonts w:ascii="Arial" w:cs="Arial" w:eastAsia="Arial" w:hAnsi="Arial"/>
          <w:b/>
          <w:bCs/>
          <w:color w:val="1B2A4A"/>
          <w:sz w:val="32"/>
          <w:szCs w:val="32"/>
        </w:rPr>
        <w:t xml:space="preserve">5. Key Sources</w:t>
      </w:r>
    </w:p>
    <w:p>
      <w:pPr>
        <w:spacing w:after="100" w:line="260"/>
        <w:ind w:left="360" w:hanging="360"/>
      </w:pPr>
      <w:r>
        <w:rPr>
          <w:rFonts w:ascii="Arial" w:cs="Arial" w:eastAsia="Arial" w:hAnsi="Arial"/>
          <w:color w:val="4A5568"/>
          <w:sz w:val="18"/>
          <w:szCs w:val="18"/>
        </w:rPr>
        <w:t xml:space="preserve">Huggins, J. et al. (2017). Reliability of common and novel change of direction speed tests in young male tennis players. International Journal of Sports and Exercise Medicine, 3(4).</w:t>
      </w:r>
    </w:p>
    <w:p>
      <w:pPr>
        <w:spacing w:after="100" w:line="260"/>
        <w:ind w:left="360" w:hanging="360"/>
      </w:pPr>
      <w:r>
        <w:rPr>
          <w:rFonts w:ascii="Arial" w:cs="Arial" w:eastAsia="Arial" w:hAnsi="Arial"/>
          <w:color w:val="4A5568"/>
          <w:sz w:val="18"/>
          <w:szCs w:val="18"/>
        </w:rPr>
        <w:t xml:space="preserve">Ferrauti, A. et al. (2013). Fitness testing of elite junior tennis players. In Handbook of Tennis Medicine and Science. ScienceDirect.</w:t>
      </w:r>
    </w:p>
    <w:p>
      <w:pPr>
        <w:spacing w:after="100" w:line="260"/>
        <w:ind w:left="360" w:hanging="360"/>
      </w:pPr>
      <w:r>
        <w:rPr>
          <w:rFonts w:ascii="Arial" w:cs="Arial" w:eastAsia="Arial" w:hAnsi="Arial"/>
          <w:color w:val="4A5568"/>
          <w:sz w:val="18"/>
          <w:szCs w:val="18"/>
        </w:rPr>
        <w:t xml:space="preserve">Fernandez-Fernandez, J. et al. (2014). Physical performance characteristics in nationally ranked junior tennis players. British Journal of Sports Medicine, 48(7).</w:t>
      </w:r>
    </w:p>
    <w:p>
      <w:pPr>
        <w:spacing w:after="100" w:line="260"/>
        <w:ind w:left="360" w:hanging="360"/>
      </w:pPr>
      <w:r>
        <w:rPr>
          <w:rFonts w:ascii="Arial" w:cs="Arial" w:eastAsia="Arial" w:hAnsi="Arial"/>
          <w:color w:val="4A5568"/>
          <w:sz w:val="18"/>
          <w:szCs w:val="18"/>
        </w:rPr>
        <w:t xml:space="preserve">ITF Conditioning Fitness Testing Protocol (November 2019). International Tennis Federation.</w:t>
      </w:r>
    </w:p>
    <w:p>
      <w:pPr>
        <w:spacing w:after="100" w:line="260"/>
        <w:ind w:left="360" w:hanging="360"/>
      </w:pPr>
      <w:r>
        <w:rPr>
          <w:rFonts w:ascii="Arial" w:cs="Arial" w:eastAsia="Arial" w:hAnsi="Arial"/>
          <w:color w:val="4A5568"/>
          <w:sz w:val="18"/>
          <w:szCs w:val="18"/>
        </w:rPr>
        <w:t xml:space="preserve">Sajber, D. et al. (2023). The Concurrent Validity of Mobile Application for Tracking Tennis Performance. Applied Sciences (MDPI), 13(10), 6195.</w:t>
      </w:r>
    </w:p>
    <w:p>
      <w:pPr>
        <w:spacing w:after="100" w:line="260"/>
        <w:ind w:left="360" w:hanging="360"/>
      </w:pPr>
      <w:r>
        <w:rPr>
          <w:rFonts w:ascii="Arial" w:cs="Arial" w:eastAsia="Arial" w:hAnsi="Arial"/>
          <w:color w:val="4A5568"/>
          <w:sz w:val="18"/>
          <w:szCs w:val="18"/>
        </w:rPr>
        <w:t xml:space="preserve">Kim, H. et al. (2023). How valid is the commercially available tennis match analysis mobile application? Kyung Hee University.</w:t>
      </w:r>
    </w:p>
    <w:p>
      <w:pPr>
        <w:spacing w:after="100" w:line="260"/>
        <w:ind w:left="360" w:hanging="360"/>
      </w:pPr>
      <w:r>
        <w:rPr>
          <w:rFonts w:ascii="Arial" w:cs="Arial" w:eastAsia="Arial" w:hAnsi="Arial"/>
          <w:color w:val="4A5568"/>
          <w:sz w:val="18"/>
          <w:szCs w:val="18"/>
        </w:rPr>
        <w:t xml:space="preserve">CQUniversity / Australian Institute of Sport. WHOOP validation studies. Published in Sensors journal.</w:t>
      </w:r>
    </w:p>
    <w:p>
      <w:pPr>
        <w:spacing w:after="100" w:line="260"/>
        <w:ind w:left="360" w:hanging="360"/>
      </w:pPr>
      <w:r>
        <w:rPr>
          <w:rFonts w:ascii="Arial" w:cs="Arial" w:eastAsia="Arial" w:hAnsi="Arial"/>
          <w:color w:val="4A5568"/>
          <w:sz w:val="18"/>
          <w:szCs w:val="18"/>
        </w:rPr>
        <w:t xml:space="preserve">Miller, D. J. et al. Wearable device accuracy for heart rate and HRV during exercise. Published in peer-reviewed sport science journals.</w:t>
      </w:r>
    </w:p>
    <w:p>
      <w:pPr>
        <w:spacing w:after="100" w:line="260"/>
        <w:ind w:left="360" w:hanging="360"/>
      </w:pPr>
      <w:r>
        <w:rPr>
          <w:rFonts w:ascii="Arial" w:cs="Arial" w:eastAsia="Arial" w:hAnsi="Arial"/>
          <w:color w:val="4A5568"/>
          <w:sz w:val="18"/>
          <w:szCs w:val="18"/>
        </w:rPr>
        <w:t xml:space="preserve">German Tennis Federation (DTB). National junior fitness profiling data 2009–2013. N = 1,052 players.</w:t>
      </w:r>
    </w:p>
    <w:p>
      <w:pPr>
        <w:spacing w:after="100" w:line="260"/>
        <w:ind w:left="360" w:hanging="360"/>
      </w:pPr>
      <w:r>
        <w:rPr>
          <w:rFonts w:ascii="Arial" w:cs="Arial" w:eastAsia="Arial" w:hAnsi="Arial"/>
          <w:color w:val="4A5568"/>
          <w:sz w:val="18"/>
          <w:szCs w:val="18"/>
        </w:rPr>
        <w:t xml:space="preserve">Cross-referenced with ITF, USTA, and ATP/WTA published serve speed databases.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BBBBBB"/>
        <w:sz w:val="14"/>
        <w:szCs w:val="14"/>
      </w:rPr>
      <w:t xml:space="preserve">Laguna Beach Tennis Academy  •  Confidential</w:t>
    </w:r>
    <w:r>
      <w:rPr>
        <w:rFonts w:ascii="Arial" w:cs="Arial" w:eastAsia="Arial" w:hAnsi="Arial"/>
        <w:sz w:val="14"/>
        <w:szCs w:val="14"/>
      </w:rPr>
      <w:t xml:space="preserve">	</w:t>
    </w:r>
    <w:r>
      <w:rPr>
        <w:rFonts w:ascii="Arial" w:cs="Arial" w:eastAsia="Arial" w:hAnsi="Arial"/>
        <w:color w:val="BBBBBB"/>
        <w:sz w:val="14"/>
        <w:szCs w:val="14"/>
      </w:rPr>
      <w:t xml:space="preserve">Page </w:t>
    </w:r>
    <w:r>
      <w:rPr>
        <w:rFonts w:ascii="Arial" w:cs="Arial" w:eastAsia="Arial" w:hAnsi="Arial"/>
        <w:color w:val="BBBBB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color w:val="999999"/>
        <w:sz w:val="16"/>
        <w:szCs w:val="16"/>
      </w:rPr>
      <w:t xml:space="preserve">LBTA Player Progression System</w:t>
    </w:r>
    <w:r>
      <w:rPr>
        <w:rFonts w:ascii="Arial" w:cs="Arial" w:eastAsia="Arial" w:hAnsi="Arial"/>
        <w:color w:val="999999"/>
        <w:sz w:val="16"/>
        <w:szCs w:val="16"/>
      </w:rPr>
      <w:t xml:space="preserve">	Domain 1: Physical Fitness &amp;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2026-02-23T03:29:17.837Z</dcterms:created>
  <dcterms:modified xsi:type="dcterms:W3CDTF">2026-02-23T03:29:17.838Z</dcterms:modified>
</cp:coreProperties>
</file>

<file path=docProps/custom.xml><?xml version="1.0" encoding="utf-8"?>
<Properties xmlns="http://schemas.openxmlformats.org/officeDocument/2006/custom-properties" xmlns:vt="http://schemas.openxmlformats.org/officeDocument/2006/docPropsVTypes"/>
</file>