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C9A96E"/>
          <w:spacing w:val="200"/>
          <w:sz w:val="20"/>
          <w:szCs w:val="20"/>
        </w:rPr>
        <w:t xml:space="preserve">LAGUNA BEACH TENNIS ACADEMY</w:t>
      </w:r>
    </w:p>
    <w:p>
      <w:pPr>
        <w:pBdr>
          <w:bottom w:val="single" w:color="C9A96E" w:sz="4" w:space="8"/>
        </w:pBdr>
        <w:spacing w:after="80"/>
        <w:jc w:val="center"/>
      </w:pPr>
      <w:r>
        <w:rPr>
          <w:rFonts w:ascii="Arial" w:cs="Arial" w:eastAsia="Arial" w:hAnsi="Arial"/>
          <w:b/>
          <w:bCs/>
          <w:color w:val="1B2A4A"/>
          <w:sz w:val="44"/>
          <w:szCs w:val="44"/>
        </w:rPr>
        <w:t xml:space="preserve">Player Progression System</w:t>
      </w:r>
    </w:p>
    <w:p>
      <w:pPr>
        <w:spacing w:before="200" w:after="600"/>
        <w:jc w:val="center"/>
      </w:pPr>
      <w:r>
        <w:rPr>
          <w:rFonts w:ascii="Arial" w:cs="Arial" w:eastAsia="Arial" w:hAnsi="Arial"/>
          <w:color w:val="1B2A4A"/>
          <w:sz w:val="28"/>
          <w:szCs w:val="28"/>
        </w:rPr>
        <w:t xml:space="preserve">DOMAIN 2: Skills Assessment &amp; Coach Calibration</w:t>
      </w:r>
    </w:p>
    <w:p>
      <w:pPr>
        <w:spacing w:after="80"/>
        <w:jc w:val="center"/>
      </w:pPr>
      <w:r>
        <w:rPr>
          <w:rFonts w:ascii="Arial" w:cs="Arial" w:eastAsia="Arial" w:hAnsi="Arial"/>
          <w:color w:val="666666"/>
          <w:sz w:val="22"/>
          <w:szCs w:val="22"/>
        </w:rPr>
        <w:t xml:space="preserve">Research Synthesis &amp; Design Recommendations</w:t>
      </w:r>
    </w:p>
    <w:p>
      <w:pPr>
        <w:spacing w:after="80"/>
        <w:jc w:val="center"/>
      </w:pPr>
      <w:r>
        <w:rPr>
          <w:rFonts w:ascii="Arial" w:cs="Arial" w:eastAsia="Arial" w:hAnsi="Arial"/>
          <w:color w:val="666666"/>
          <w:sz w:val="20"/>
          <w:szCs w:val="20"/>
        </w:rPr>
        <w:t xml:space="preserve">February 2026</w:t>
      </w:r>
    </w:p>
    <w:p>
      <w:pPr>
        <w:spacing w:before="2400"/>
      </w:pPr>
    </w:p>
    <w:p>
      <w:pPr>
        <w:jc w:val="center"/>
      </w:pPr>
      <w:r>
        <w:rPr>
          <w:rFonts w:ascii="Arial" w:cs="Arial" w:eastAsia="Arial" w:hAnsi="Arial"/>
          <w:i/>
          <w:iCs/>
          <w:color w:val="C9A96E"/>
          <w:sz w:val="20"/>
          <w:szCs w:val="20"/>
        </w:rPr>
        <w:t xml:space="preserve">Movement. Discipline. Belonging.</w:t>
      </w:r>
    </w:p>
    <w:p>
      <w:pPr>
        <w:spacing w:before="80"/>
        <w:jc w:val="center"/>
      </w:pPr>
      <w:r>
        <w:rPr>
          <w:rFonts w:ascii="Arial" w:cs="Arial" w:eastAsia="Arial" w:hAnsi="Arial"/>
          <w:i/>
          <w:iCs/>
          <w:color w:val="666666"/>
          <w:sz w:val="18"/>
          <w:szCs w:val="18"/>
        </w:rPr>
        <w:t xml:space="preserve">Tennis, as it should be taught.</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1. Research Synthesis</w:t>
      </w:r>
    </w:p>
    <w:p>
      <w:pPr>
        <w:spacing w:after="160" w:line="276"/>
      </w:pPr>
      <w:r>
        <w:rPr>
          <w:rFonts w:ascii="Arial" w:cs="Arial" w:eastAsia="Arial" w:hAnsi="Arial"/>
          <w:color w:val="2C2C2C"/>
          <w:sz w:val="20"/>
          <w:szCs w:val="20"/>
        </w:rPr>
        <w:t xml:space="preserve">This domain addresses two interconnected challenges: how to reliably measure player skills across LBTA’s programming tiers, and how to ensure that coaches applying those measurements reach consistent conclusions. The research reveals a fundamental tension—no validated, tennis-specific observational skill assessment instrument exists for community academy use, yet the USTA’s competency-based progression framework provides a strong structural foundation for building one.</w:t>
      </w:r>
    </w:p>
    <w:p>
      <w:pPr>
        <w:pStyle w:val="Heading2"/>
        <w:spacing w:before="280" w:after="160"/>
      </w:pPr>
      <w:r>
        <w:rPr>
          <w:rFonts w:ascii="Arial" w:cs="Arial" w:eastAsia="Arial" w:hAnsi="Arial"/>
          <w:b/>
          <w:bCs/>
          <w:color w:val="1B2A4A"/>
          <w:sz w:val="26"/>
          <w:szCs w:val="26"/>
        </w:rPr>
        <w:t xml:space="preserve">1.1 The Coach’s Eye Problem</w:t>
      </w:r>
    </w:p>
    <w:p>
      <w:pPr>
        <w:spacing w:after="160" w:line="276"/>
      </w:pPr>
      <w:r>
        <w:rPr>
          <w:rFonts w:ascii="Arial" w:cs="Arial" w:eastAsia="Arial" w:hAnsi="Arial"/>
          <w:color w:val="2C2C2C"/>
          <w:sz w:val="20"/>
          <w:szCs w:val="20"/>
        </w:rPr>
        <w:t xml:space="preserve">Research on subjective coach assessment paints a sobering picture. A study of youth soccer coach ratings found inter-rater agreement between lead and assistant coaches was only moderate-to-substantial (ω = 0.48–0.68). More critically, Bayesian regression models showed that coach ratings predicted objective fitness test performance only for the highest and lowest performers—the middle majority of athletes, where most academy players cluster, showed weak correspondence between coach assessment and measured ability. The highest variance explained was 23% for lead coach endurance ratings; the lowest was 1% for assistant coach ratings of functional movement quality.</w:t>
      </w:r>
    </w:p>
    <w:p>
      <w:pPr>
        <w:spacing w:after="160" w:line="276"/>
      </w:pPr>
      <w:r>
        <w:rPr>
          <w:rFonts w:ascii="Arial" w:cs="Arial" w:eastAsia="Arial" w:hAnsi="Arial"/>
          <w:color w:val="2C2C2C"/>
          <w:sz w:val="20"/>
          <w:szCs w:val="20"/>
        </w:rPr>
        <w:t xml:space="preserve">A systematic review of coach knowledge in talent identification characterized the “coach’s eye” as intuitive, subjective, experience-based, and holistic. While checklists improved inter-rater reliability, they encouraged static observations of current abilities rather than dynamic assessment of development trajectory. The underlying mechanisms of what makes experienced coaches more accurate remain poorly understood, and links to theoretical models are largely missing from the literature.</w:t>
      </w:r>
    </w:p>
    <w:p>
      <w:pPr>
        <w:spacing w:after="160" w:line="276"/>
      </w:pPr>
      <w:r>
        <w:rPr>
          <w:rFonts w:ascii="Arial" w:cs="Arial" w:eastAsia="Arial" w:hAnsi="Arial"/>
          <w:color w:val="2C2C2C"/>
          <w:sz w:val="20"/>
          <w:szCs w:val="20"/>
        </w:rPr>
        <w:t xml:space="preserve">In racket sports specifically, a study of elite table tennis player assessment found intra-observer reliability was acceptable (r = 0.61–0.86) but inter-observer consistency was low (k = 0.01–0.39). The researchers concluded that subjective evaluations often overlook deeper technical and tactical strategies, and cautioned against relying on simplified observational judgments without structured frameworks.</w:t>
      </w:r>
    </w:p>
    <w:p>
      <w:pPr>
        <w:spacing w:after="160" w:line="276"/>
      </w:pPr>
      <w:r>
        <w:rPr>
          <w:rFonts w:ascii="Arial" w:cs="Arial" w:eastAsia="Arial" w:hAnsi="Arial"/>
          <w:b/>
          <w:bCs/>
          <w:i w:val="false"/>
          <w:iCs w:val="false"/>
          <w:color w:val="2C2C2C"/>
          <w:sz w:val="20"/>
          <w:szCs w:val="20"/>
        </w:rPr>
        <w:t xml:space="preserve">LBTA Implication: </w:t>
      </w:r>
      <w:r>
        <w:rPr>
          <w:rFonts w:ascii="Arial" w:cs="Arial" w:eastAsia="Arial" w:hAnsi="Arial"/>
          <w:b w:val="false"/>
          <w:bCs w:val="false"/>
          <w:i w:val="false"/>
          <w:iCs w:val="false"/>
          <w:color w:val="2C2C2C"/>
          <w:sz w:val="20"/>
          <w:szCs w:val="20"/>
        </w:rPr>
        <w:t xml:space="preserve">With four active coaches of varying experience levels, unstructured skill assessment will produce inconsistent player evaluations. Andrew’s expert eye sets the standard, but that expertise cannot scale without a calibration system. The goal is not to replace coach judgment but to anchor it to observable, agreed-upon criteria.</w:t>
      </w:r>
    </w:p>
    <w:p>
      <w:pPr>
        <w:pStyle w:val="Heading2"/>
        <w:spacing w:before="280" w:after="160"/>
      </w:pPr>
      <w:r>
        <w:rPr>
          <w:rFonts w:ascii="Arial" w:cs="Arial" w:eastAsia="Arial" w:hAnsi="Arial"/>
          <w:b/>
          <w:bCs/>
          <w:color w:val="1B2A4A"/>
          <w:sz w:val="26"/>
          <w:szCs w:val="26"/>
        </w:rPr>
        <w:t xml:space="preserve">1.2 USTA Competency Framework as Foundation</w:t>
      </w:r>
    </w:p>
    <w:p>
      <w:pPr>
        <w:spacing w:after="160" w:line="276"/>
      </w:pPr>
      <w:r>
        <w:rPr>
          <w:rFonts w:ascii="Arial" w:cs="Arial" w:eastAsia="Arial" w:hAnsi="Arial"/>
          <w:color w:val="2C2C2C"/>
          <w:sz w:val="20"/>
          <w:szCs w:val="20"/>
        </w:rPr>
        <w:t xml:space="preserve">The USTA’s Net Generation PlayTracker and ball color progression system provides the most directly applicable framework for structuring skill assessment at LBTA. The system defines competency benchmarks for each ball color level that correspond to LBTA’s existing program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Ball Color</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Stroke Competencies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Rally / Match Benchmarks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LBTA Programs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Red (5–7)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Tracking ball, basic swing patterns, cooperative play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Sustain 5-ball cooperative rally with coach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Little Tennis Stars, Tennis Explorers</w:t>
            </w:r>
          </w:p>
        </w:tc>
      </w:tr>
      <w:tr>
        <w:tc>
          <w:tcPr>
            <w:tcW w:type="dxa" w:w="1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Orange (7–10)</w:t>
            </w:r>
          </w:p>
        </w:tc>
        <w:tc>
          <w:tcPr>
            <w:tcW w:type="dxa" w:w="2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20-ball rally with coach at slow pace; 10-ball peer rally; working on slice with continental grip; open/closed stances</w:t>
            </w:r>
          </w:p>
        </w:tc>
        <w:tc>
          <w:tcPr>
            <w:tcW w:type="dxa" w:w="2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Sustain rallies with contact points hip-to-shoulder; basic volley/overhead technique</w:t>
            </w:r>
          </w:p>
        </w:tc>
        <w:tc>
          <w:tcPr>
            <w:tcW w:type="dxa" w:w="2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10U Match Teams, Junior Development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Green (9–11)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20-ball rally with coach at medium pace; 10-ball peer rally at medium pace; continental grip established; spin variety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Dynamic ready position, recovery steps, transition/net play, basic singles/doubles tactics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12U Match Team, Junior Competitive</w:t>
            </w:r>
          </w:p>
        </w:tc>
      </w:tr>
      <w:tr>
        <w:tc>
          <w:tcPr>
            <w:tcW w:type="dxa" w:w="1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Yellow (11+)</w:t>
            </w:r>
          </w:p>
        </w:tc>
        <w:tc>
          <w:tcPr>
            <w:tcW w:type="dxa" w:w="2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Refined mechanical proficiency; sophisticated shot selection; doubles formations</w:t>
            </w:r>
          </w:p>
        </w:tc>
        <w:tc>
          <w:tcPr>
            <w:tcW w:type="dxa" w:w="2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Match experience with tactical adjustments; serve placement; competitive middle/high school level</w:t>
            </w:r>
          </w:p>
        </w:tc>
        <w:tc>
          <w:tcPr>
            <w:tcW w:type="dxa" w:w="2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14U/18U JTT, High Performance, LBHS</w:t>
            </w:r>
          </w:p>
        </w:tc>
      </w:tr>
    </w:tbl>
    <w:p>
      <w:pPr>
        <w:spacing w:after="160" w:line="276"/>
      </w:pPr>
      <w:r>
        <w:rPr>
          <w:rFonts w:ascii="Arial" w:cs="Arial" w:eastAsia="Arial" w:hAnsi="Arial"/>
          <w:color w:val="2C2C2C"/>
          <w:sz w:val="20"/>
          <w:szCs w:val="20"/>
        </w:rPr>
        <w:t xml:space="preserve">A critical finding from USTA Regional Training Centers: approximately 75% of players assessed had technical flaws impeding their progress, traced to insufficient competency development at red, orange, and green ball levels. The USTA’s position is that if competencies are developed correctly at each stage, they do not need re-learning later. This directly supports LBTA’s developmental philosophy of emphasizing proper technique foundations over premature competitive results.</w:t>
      </w:r>
    </w:p>
    <w:p>
      <w:pPr>
        <w:pStyle w:val="Heading2"/>
        <w:spacing w:before="280" w:after="160"/>
      </w:pPr>
      <w:r>
        <w:rPr>
          <w:rFonts w:ascii="Arial" w:cs="Arial" w:eastAsia="Arial" w:hAnsi="Arial"/>
          <w:b/>
          <w:bCs/>
          <w:color w:val="1B2A4A"/>
          <w:sz w:val="26"/>
          <w:szCs w:val="26"/>
        </w:rPr>
        <w:t xml:space="preserve">1.3 Tactical Skills Assessment</w:t>
      </w:r>
    </w:p>
    <w:p>
      <w:pPr>
        <w:spacing w:after="160" w:line="276"/>
      </w:pPr>
      <w:r>
        <w:rPr>
          <w:rFonts w:ascii="Arial" w:cs="Arial" w:eastAsia="Arial" w:hAnsi="Arial"/>
          <w:color w:val="2C2C2C"/>
          <w:sz w:val="20"/>
          <w:szCs w:val="20"/>
        </w:rPr>
        <w:t xml:space="preserve">The Tactical Skills Questionnaire in Tennis (TSQT), validated with competitive Dutch players, demonstrated strong internal consistency (α = 0.89) across four subscales: game intelligence and adaptability, decision-making, recognizing game situations, and anticipation/positioning. The instrument distinguished between national and regional players on three of four subscales (p &lt; 0.05), confirming discriminant validity. However, the TSQT is self-reported, requiring sufficient player maturity for honest self-reflection—limiting its applicability to LBTA’s competitive juniors (14U+) and adults rather than younger developmental players.</w:t>
      </w:r>
    </w:p>
    <w:p>
      <w:pPr>
        <w:spacing w:after="160" w:line="276"/>
      </w:pPr>
      <w:r>
        <w:rPr>
          <w:rFonts w:ascii="Arial" w:cs="Arial" w:eastAsia="Arial" w:hAnsi="Arial"/>
          <w:color w:val="2C2C2C"/>
          <w:sz w:val="20"/>
          <w:szCs w:val="20"/>
        </w:rPr>
        <w:t xml:space="preserve">The ITF International Tennis Number On-Court Assessment provides a complementary objective approach: 10 alternating forehands and backhands scored by landing zone (depth and accuracy), 10 volleys scored by placement, and 10 serves scored by speed and target accuracy. This protocol yields a single number (ITN 1–10) and takes approximately 10 minutes per player. It can function as both a placement tool and a longitudinal progress metric.</w:t>
      </w:r>
    </w:p>
    <w:p>
      <w:pPr>
        <w:pStyle w:val="Heading2"/>
        <w:spacing w:before="280" w:after="160"/>
      </w:pPr>
      <w:r>
        <w:rPr>
          <w:rFonts w:ascii="Arial" w:cs="Arial" w:eastAsia="Arial" w:hAnsi="Arial"/>
          <w:b/>
          <w:bCs/>
          <w:color w:val="1B2A4A"/>
          <w:sz w:val="26"/>
          <w:szCs w:val="26"/>
        </w:rPr>
        <w:t xml:space="preserve">1.4 Video and Technology-Assisted Assessment</w:t>
      </w:r>
    </w:p>
    <w:p>
      <w:pPr>
        <w:spacing w:after="160" w:line="276"/>
      </w:pPr>
      <w:r>
        <w:rPr>
          <w:rFonts w:ascii="Arial" w:cs="Arial" w:eastAsia="Arial" w:hAnsi="Arial"/>
          <w:color w:val="2C2C2C"/>
          <w:sz w:val="20"/>
          <w:szCs w:val="20"/>
        </w:rPr>
        <w:t xml:space="preserve">The Observational Tennis Serve Analysis (OTSA) represents the most rigorously validated video-based skill assessment in tennis. Using two camera angles (anterior and posterior), trained raters evaluate kinetic chain mechanics through a branching decision tree. Inter-rater reliability ranged from κ = 0.36–1.0, with the majority of nodes showing substantial agreement (κ &gt; 0.61). The tool discriminated between players with good versus poor mechanics based on trunk flexibility, rotational power, and single-leg jump performance.</w:t>
      </w:r>
    </w:p>
    <w:p>
      <w:pPr>
        <w:spacing w:after="160" w:line="276"/>
      </w:pPr>
      <w:r>
        <w:rPr>
          <w:rFonts w:ascii="Arial" w:cs="Arial" w:eastAsia="Arial" w:hAnsi="Arial"/>
          <w:color w:val="2C2C2C"/>
          <w:sz w:val="20"/>
          <w:szCs w:val="20"/>
        </w:rPr>
        <w:t xml:space="preserve">IMU sensor validation studies show excellent test-retest reproducibility (ICC ≥ 0.90) for shot count, swing speed, and acceleration, though stroke classification accuracy remains imperfect. Commercial sensors (Zepp, Qlipp) showed variable validity when compared to radar and photogrammetric gold standards. SwingVision, already in LBTA’s technology stack, provides serve speed measurement (ICC = 0.76–0.80 versus radar) and stroke classification (ICC = 0.97), making it suitable for tracking quantitative metrics but not for nuanced technique evaluation.</w:t>
      </w:r>
    </w:p>
    <w:p>
      <w:pPr>
        <w:pStyle w:val="Heading2"/>
        <w:spacing w:before="280" w:after="160"/>
      </w:pPr>
      <w:r>
        <w:rPr>
          <w:rFonts w:ascii="Arial" w:cs="Arial" w:eastAsia="Arial" w:hAnsi="Arial"/>
          <w:b/>
          <w:bCs/>
          <w:color w:val="1B2A4A"/>
          <w:sz w:val="26"/>
          <w:szCs w:val="26"/>
        </w:rPr>
        <w:t xml:space="preserve">1.5 Calibration Protocols from Adjacent Fields</w:t>
      </w:r>
    </w:p>
    <w:p>
      <w:pPr>
        <w:spacing w:after="160" w:line="276"/>
      </w:pPr>
      <w:r>
        <w:rPr>
          <w:rFonts w:ascii="Arial" w:cs="Arial" w:eastAsia="Arial" w:hAnsi="Arial"/>
          <w:color w:val="2C2C2C"/>
          <w:sz w:val="20"/>
          <w:szCs w:val="20"/>
        </w:rPr>
        <w:t xml:space="preserve">The education assessment literature provides the strongest model for coach calibration. The Rhode Island Department of Education’s Calibration Protocol uses anchor documents—exemplar student work representing each score level—combined with structured scoring sessions where raters independently score, then discuss discrepancies to build consensus. Key elements include: detailed rubrics with clear definitions and examples for each performance level; practice scoring sessions with group discussion; anchor documents compiled into calibration packets for training subsequent raters.</w:t>
      </w:r>
    </w:p>
    <w:p>
      <w:pPr>
        <w:spacing w:after="160" w:line="276"/>
      </w:pPr>
      <w:r>
        <w:rPr>
          <w:rFonts w:ascii="Arial" w:cs="Arial" w:eastAsia="Arial" w:hAnsi="Arial"/>
          <w:color w:val="2C2C2C"/>
          <w:sz w:val="20"/>
          <w:szCs w:val="20"/>
        </w:rPr>
        <w:t xml:space="preserve">In sports medicine, the Landing Error Scoring System (LESS) achieved excellent inter-rater reliability (ICC = 0.90+) even between experienced and novice raters using only published standard instructions, by dichotomizing each subtest as pass/fail. This binary approach reduced scoring complexity and improved agreement regardless of rater experience. Similarly, the Arm Care Screening tool achieved reliable scoring by high school baseball coaches with approximately one hour of training, using a pass/fail format across three components completable in under three minutes.</w:t>
      </w:r>
    </w:p>
    <w:p>
      <w:pPr>
        <w:spacing w:after="160" w:line="276"/>
      </w:pPr>
      <w:r>
        <w:rPr>
          <w:rFonts w:ascii="Arial" w:cs="Arial" w:eastAsia="Arial" w:hAnsi="Arial"/>
          <w:b/>
          <w:bCs/>
          <w:i w:val="false"/>
          <w:iCs w:val="false"/>
          <w:color w:val="2C2C2C"/>
          <w:sz w:val="20"/>
          <w:szCs w:val="20"/>
        </w:rPr>
        <w:t xml:space="preserve">Key Principle: </w:t>
      </w:r>
      <w:r>
        <w:rPr>
          <w:rFonts w:ascii="Arial" w:cs="Arial" w:eastAsia="Arial" w:hAnsi="Arial"/>
          <w:b w:val="false"/>
          <w:bCs w:val="false"/>
          <w:i w:val="false"/>
          <w:iCs w:val="false"/>
          <w:color w:val="2C2C2C"/>
          <w:sz w:val="20"/>
          <w:szCs w:val="20"/>
        </w:rPr>
        <w:t xml:space="preserve">Simpler scoring scales (pass/developing/proficient rather than 1–10) combined with video anchor examples produce more reliable coach agreement than complex rubrics without calibration training. The optimal approach is fewer, well-defined criteria rated on 3–4 point scales, calibrated quarterly against video reference standards.</w:t>
      </w:r>
    </w:p>
    <w:p>
      <w:pPr>
        <w:pBdr>
          <w:bottom w:val="single" w:color="C9A96E" w:sz="4" w:space="1"/>
        </w:pBdr>
        <w:spacing w:before="200" w:after="200"/>
      </w:pPr>
    </w:p>
    <w:p>
      <w:pPr>
        <w:pStyle w:val="Heading1"/>
        <w:spacing w:before="360" w:after="200"/>
      </w:pPr>
      <w:r>
        <w:rPr>
          <w:rFonts w:ascii="Arial" w:cs="Arial" w:eastAsia="Arial" w:hAnsi="Arial"/>
          <w:b/>
          <w:bCs/>
          <w:color w:val="1B2A4A"/>
          <w:sz w:val="32"/>
          <w:szCs w:val="32"/>
        </w:rPr>
        <w:t xml:space="preserve">2. Design Recommendations</w:t>
      </w:r>
    </w:p>
    <w:p>
      <w:pPr>
        <w:pStyle w:val="Heading2"/>
        <w:spacing w:before="280" w:after="160"/>
      </w:pPr>
      <w:r>
        <w:rPr>
          <w:rFonts w:ascii="Arial" w:cs="Arial" w:eastAsia="Arial" w:hAnsi="Arial"/>
          <w:b/>
          <w:bCs/>
          <w:color w:val="1B2A4A"/>
          <w:sz w:val="26"/>
          <w:szCs w:val="26"/>
        </w:rPr>
        <w:t xml:space="preserve">2.1 LBTA Skill Compass — Structured Observation Protocol</w:t>
      </w:r>
    </w:p>
    <w:p>
      <w:pPr>
        <w:spacing w:before="200" w:after="120"/>
      </w:pPr>
      <w:r>
        <w:rPr>
          <w:rFonts w:ascii="Arial" w:cs="Arial" w:eastAsia="Arial" w:hAnsi="Arial"/>
          <w:b/>
          <w:bCs/>
          <w:color w:val="C9A96E"/>
          <w:sz w:val="22"/>
          <w:szCs w:val="22"/>
        </w:rPr>
        <w:t xml:space="preserve">What</w:t>
      </w:r>
    </w:p>
    <w:p>
      <w:pPr>
        <w:spacing w:after="160" w:line="276"/>
      </w:pPr>
      <w:r>
        <w:rPr>
          <w:rFonts w:ascii="Arial" w:cs="Arial" w:eastAsia="Arial" w:hAnsi="Arial"/>
          <w:color w:val="2C2C2C"/>
          <w:sz w:val="20"/>
          <w:szCs w:val="20"/>
        </w:rPr>
        <w:t xml:space="preserve">A three-tier observational skill assessment system aligned to LBTA’s ball color programming. Each tier evaluates 6–8 competencies on a three-point scale (Developing / Proficient / Advanced) with video anchor examples for each rating level. Assessments are completed by the player’s primary coach during normal lesson time—no separate testing sessions required.</w:t>
      </w:r>
    </w:p>
    <w:p>
      <w:pPr>
        <w:spacing w:before="200" w:after="120"/>
      </w:pPr>
      <w:r>
        <w:rPr>
          <w:rFonts w:ascii="Arial" w:cs="Arial" w:eastAsia="Arial" w:hAnsi="Arial"/>
          <w:b/>
          <w:bCs/>
          <w:color w:val="C9A96E"/>
          <w:sz w:val="22"/>
          <w:szCs w:val="22"/>
        </w:rPr>
        <w:t xml:space="preserve">Why</w:t>
      </w:r>
    </w:p>
    <w:p>
      <w:pPr>
        <w:spacing w:after="160" w:line="276"/>
      </w:pPr>
      <w:r>
        <w:rPr>
          <w:rFonts w:ascii="Arial" w:cs="Arial" w:eastAsia="Arial" w:hAnsi="Arial"/>
          <w:color w:val="2C2C2C"/>
          <w:sz w:val="20"/>
          <w:szCs w:val="20"/>
        </w:rPr>
        <w:t xml:space="preserve">The research shows that complex rating scales (1–10) produce unreliable coach agreement, while binary or ternary scales with clear behavioral anchors achieve ICC &gt; 0.90 even among novice raters. By embedding assessment into regular coaching rather than creating separate evaluation events, LBTA avoids the performative anxiety that undermines authentic skill demonstration, particularly in younger players.</w:t>
      </w:r>
    </w:p>
    <w:p>
      <w:pPr>
        <w:spacing w:before="200" w:after="120"/>
      </w:pPr>
      <w:r>
        <w:rPr>
          <w:rFonts w:ascii="Arial" w:cs="Arial" w:eastAsia="Arial" w:hAnsi="Arial"/>
          <w:b/>
          <w:bCs/>
          <w:color w:val="C9A96E"/>
          <w:sz w:val="22"/>
          <w:szCs w:val="22"/>
        </w:rPr>
        <w:t xml:space="preserve">How</w:t>
      </w:r>
    </w:p>
    <w:p>
      <w:pPr>
        <w:spacing w:after="160" w:line="276"/>
      </w:pPr>
      <w:r>
        <w:rPr>
          <w:rFonts w:ascii="Arial" w:cs="Arial" w:eastAsia="Arial" w:hAnsi="Arial"/>
          <w:color w:val="2C2C2C"/>
          <w:sz w:val="20"/>
          <w:szCs w:val="20"/>
        </w:rPr>
        <w:t xml:space="preserve">Tier 1 — Foundations (Red/Orange Ball, ages 4–10): Observational only, completed by coach during final two weeks of each quarterly session. Six competencies assessed: grip awareness, ball tracking and contact point, cooperative rally sustain, court movement patterns, ready position consistency, and enjoyment/engagement indicators. Coach records observations through Airtable form; no direct testing in front of the player.</w:t>
      </w:r>
    </w:p>
    <w:p>
      <w:pPr>
        <w:spacing w:after="160" w:line="276"/>
      </w:pPr>
      <w:r>
        <w:rPr>
          <w:rFonts w:ascii="Arial" w:cs="Arial" w:eastAsia="Arial" w:hAnsi="Arial"/>
          <w:color w:val="2C2C2C"/>
          <w:sz w:val="20"/>
          <w:szCs w:val="20"/>
        </w:rPr>
        <w:t xml:space="preserve">Tier 2 — Development (Green/Yellow Ball, ages 9–14): Coach-observed assessment across eight competencies: forehand depth and directional control, backhand consistency, serve mechanics (continental grip, toss placement, kinetic chain), volley technique, rally length at pace, tactical awareness (court positioning, shot selection), movement quality (split step, recovery), and competitive composure. Includes one objective metric per quarter: rally count test (20-ball rally at specified pace level).</w:t>
      </w:r>
    </w:p>
    <w:p>
      <w:pPr>
        <w:spacing w:after="160" w:line="276"/>
      </w:pPr>
      <w:r>
        <w:rPr>
          <w:rFonts w:ascii="Arial" w:cs="Arial" w:eastAsia="Arial" w:hAnsi="Arial"/>
          <w:color w:val="2C2C2C"/>
          <w:sz w:val="20"/>
          <w:szCs w:val="20"/>
        </w:rPr>
        <w:t xml:space="preserve">Tier 3 — Competitive (JTT / High Performance, ages 12–18): Full assessment combining coach observation, objective metrics, and optional self-assessment. Eight competencies plus three objective measures: serve speed (via SwingVision), rally depth accuracy (ITF-style landing zone scoring), and match win/loss with UTR delta tracking. TSQT-adapted self-assessment for 14U+ players on tactical decision-making.</w:t>
      </w:r>
    </w:p>
    <w:p>
      <w:pPr>
        <w:spacing w:before="200" w:after="120"/>
      </w:pPr>
      <w:r>
        <w:rPr>
          <w:rFonts w:ascii="Arial" w:cs="Arial" w:eastAsia="Arial" w:hAnsi="Arial"/>
          <w:b/>
          <w:bCs/>
          <w:color w:val="C9A96E"/>
          <w:sz w:val="22"/>
          <w:szCs w:val="22"/>
        </w:rPr>
        <w:t xml:space="preserve">Cost</w:t>
      </w:r>
    </w:p>
    <w:p>
      <w:pPr>
        <w:spacing w:after="160" w:line="276"/>
      </w:pPr>
      <w:r>
        <w:rPr>
          <w:rFonts w:ascii="Arial" w:cs="Arial" w:eastAsia="Arial" w:hAnsi="Arial"/>
          <w:color w:val="2C2C2C"/>
          <w:sz w:val="20"/>
          <w:szCs w:val="20"/>
        </w:rPr>
        <w:t xml:space="preserve">Development: 20–30 hours of Andrew’s time to define competency criteria and select/record video anchors. Airtable form build: 4–6 hours. Ongoing: 5–10 minutes per student per quarter (embedded in existing coaching time). Video anchors can be captured during regular lessons using a phone on a tripod—no additional equipment required.</w:t>
      </w:r>
    </w:p>
    <w:p>
      <w:pPr>
        <w:spacing w:before="200" w:after="120"/>
      </w:pPr>
      <w:r>
        <w:rPr>
          <w:rFonts w:ascii="Arial" w:cs="Arial" w:eastAsia="Arial" w:hAnsi="Arial"/>
          <w:b/>
          <w:bCs/>
          <w:color w:val="C9A96E"/>
          <w:sz w:val="22"/>
          <w:szCs w:val="22"/>
        </w:rPr>
        <w:t xml:space="preserve">Risks</w:t>
      </w:r>
    </w:p>
    <w:p>
      <w:pPr>
        <w:pStyle w:val="ListParagraph"/>
        <w:numPr>
          <w:ilvl w:val="0"/>
          <w:numId w:val="2"/>
        </w:numPr>
        <w:spacing w:after="80" w:line="276"/>
      </w:pPr>
      <w:r>
        <w:rPr>
          <w:rFonts w:ascii="Arial" w:cs="Arial" w:eastAsia="Arial" w:hAnsi="Arial"/>
          <w:color w:val="2C2C2C"/>
          <w:sz w:val="20"/>
          <w:szCs w:val="20"/>
        </w:rPr>
        <w:t xml:space="preserve">Initial coach resistance to structured assessment during lesson time; mitigate by starting with Tier 2 only (most impactful, coaches already informally assess these players)</w:t>
      </w:r>
    </w:p>
    <w:p>
      <w:pPr>
        <w:pStyle w:val="ListParagraph"/>
        <w:numPr>
          <w:ilvl w:val="0"/>
          <w:numId w:val="2"/>
        </w:numPr>
        <w:spacing w:after="80" w:line="276"/>
      </w:pPr>
      <w:r>
        <w:rPr>
          <w:rFonts w:ascii="Arial" w:cs="Arial" w:eastAsia="Arial" w:hAnsi="Arial"/>
          <w:color w:val="2C2C2C"/>
          <w:sz w:val="20"/>
          <w:szCs w:val="20"/>
        </w:rPr>
        <w:t xml:space="preserve">Competency definitions too vague to produce consistent ratings; mitigate by requiring video anchors for every rating level before launch</w:t>
      </w:r>
    </w:p>
    <w:p>
      <w:pPr>
        <w:pStyle w:val="ListParagraph"/>
        <w:numPr>
          <w:ilvl w:val="0"/>
          <w:numId w:val="2"/>
        </w:numPr>
        <w:spacing w:after="160" w:line="276"/>
      </w:pPr>
      <w:r>
        <w:rPr>
          <w:rFonts w:ascii="Arial" w:cs="Arial" w:eastAsia="Arial" w:hAnsi="Arial"/>
          <w:color w:val="2C2C2C"/>
          <w:sz w:val="20"/>
          <w:szCs w:val="20"/>
        </w:rPr>
        <w:t xml:space="preserve">Parents interpreting assessment results as grades or rankings; mitigate through the Aman framing—“Development Portraits” language, individual trajectory only, no comparative data shared</w:t>
      </w:r>
    </w:p>
    <w:p>
      <w:pPr>
        <w:pStyle w:val="Heading2"/>
        <w:spacing w:before="280" w:after="160"/>
      </w:pPr>
      <w:r>
        <w:rPr>
          <w:rFonts w:ascii="Arial" w:cs="Arial" w:eastAsia="Arial" w:hAnsi="Arial"/>
          <w:b/>
          <w:bCs/>
          <w:color w:val="1B2A4A"/>
          <w:sz w:val="26"/>
          <w:szCs w:val="26"/>
        </w:rPr>
        <w:t xml:space="preserve">2.2 Quarterly Coach Calibration Sessions</w:t>
      </w:r>
    </w:p>
    <w:p>
      <w:pPr>
        <w:spacing w:before="200" w:after="120"/>
      </w:pPr>
      <w:r>
        <w:rPr>
          <w:rFonts w:ascii="Arial" w:cs="Arial" w:eastAsia="Arial" w:hAnsi="Arial"/>
          <w:b/>
          <w:bCs/>
          <w:color w:val="C9A96E"/>
          <w:sz w:val="22"/>
          <w:szCs w:val="22"/>
        </w:rPr>
        <w:t xml:space="preserve">What</w:t>
      </w:r>
    </w:p>
    <w:p>
      <w:pPr>
        <w:spacing w:after="160" w:line="276"/>
      </w:pPr>
      <w:r>
        <w:rPr>
          <w:rFonts w:ascii="Arial" w:cs="Arial" w:eastAsia="Arial" w:hAnsi="Arial"/>
          <w:color w:val="2C2C2C"/>
          <w:sz w:val="20"/>
          <w:szCs w:val="20"/>
        </w:rPr>
        <w:t xml:space="preserve">A 90-minute session each quarter where all active LBTA coaches independently rate the same set of 6–8 video clips using the Skill Compass rubric, then discuss discrepancies as a group to reach consensus. Andrew serves as the calibration anchor—his ratings establish the reference standard against which coach agreement is measured.</w:t>
      </w:r>
    </w:p>
    <w:p>
      <w:pPr>
        <w:spacing w:before="200" w:after="120"/>
      </w:pPr>
      <w:r>
        <w:rPr>
          <w:rFonts w:ascii="Arial" w:cs="Arial" w:eastAsia="Arial" w:hAnsi="Arial"/>
          <w:b/>
          <w:bCs/>
          <w:color w:val="C9A96E"/>
          <w:sz w:val="22"/>
          <w:szCs w:val="22"/>
        </w:rPr>
        <w:t xml:space="preserve">Why</w:t>
      </w:r>
    </w:p>
    <w:p>
      <w:pPr>
        <w:spacing w:after="160" w:line="276"/>
      </w:pPr>
      <w:r>
        <w:rPr>
          <w:rFonts w:ascii="Arial" w:cs="Arial" w:eastAsia="Arial" w:hAnsi="Arial"/>
          <w:color w:val="2C2C2C"/>
          <w:sz w:val="20"/>
          <w:szCs w:val="20"/>
        </w:rPr>
        <w:t xml:space="preserve">The research consistently shows that even experienced coaches achieve only moderate inter-rater agreement (ω = 0.48–0.68) without structured calibration. The education field’s calibration protocol model—independent scoring followed by facilitated discussion against anchor examples—is the most effective method for improving and maintaining inter-rater reliability. The 90-minute investment prevents assessment drift that would undermine the entire progression system’s credibility with parents.</w:t>
      </w:r>
    </w:p>
    <w:p>
      <w:pPr>
        <w:spacing w:before="200" w:after="120"/>
      </w:pPr>
      <w:r>
        <w:rPr>
          <w:rFonts w:ascii="Arial" w:cs="Arial" w:eastAsia="Arial" w:hAnsi="Arial"/>
          <w:b/>
          <w:bCs/>
          <w:color w:val="C9A96E"/>
          <w:sz w:val="22"/>
          <w:szCs w:val="22"/>
        </w:rPr>
        <w:t xml:space="preserve">How</w:t>
      </w:r>
    </w:p>
    <w:p>
      <w:pPr>
        <w:spacing w:after="160" w:line="276"/>
      </w:pPr>
      <w:r>
        <w:rPr>
          <w:rFonts w:ascii="Arial" w:cs="Arial" w:eastAsia="Arial" w:hAnsi="Arial"/>
          <w:color w:val="2C2C2C"/>
          <w:sz w:val="20"/>
          <w:szCs w:val="20"/>
        </w:rPr>
        <w:t xml:space="preserve">Pre-session: Andrew selects 6–8 video clips representing different competency levels and ball color tiers. At least two clips should be borderline cases (e.g., a player at the Developing/Proficient boundary) where disagreement is most likely and most instructive.</w:t>
      </w:r>
    </w:p>
    <w:p>
      <w:pPr>
        <w:spacing w:after="160" w:line="276"/>
      </w:pPr>
      <w:r>
        <w:rPr>
          <w:rFonts w:ascii="Arial" w:cs="Arial" w:eastAsia="Arial" w:hAnsi="Arial"/>
          <w:color w:val="2C2C2C"/>
          <w:sz w:val="20"/>
          <w:szCs w:val="20"/>
        </w:rPr>
        <w:t xml:space="preserve">Session structure: (1) Independent scoring round, 25 minutes—each coach rates all clips silently using the same Airtable form parents will never see. (2) Reveal and discuss, 40 minutes—Andrew shares his ratings and walks through his reasoning for each, coaches discuss where they diverged and why. (3) Recalibrate, 15 minutes—re-rate two contested clips to verify alignment. (4) Update anchors, 10 minutes—if any clip reveals a rubric ambiguity, revise the criteria language on the spot.</w:t>
      </w:r>
    </w:p>
    <w:p>
      <w:pPr>
        <w:spacing w:after="160" w:line="276"/>
      </w:pPr>
      <w:r>
        <w:rPr>
          <w:rFonts w:ascii="Arial" w:cs="Arial" w:eastAsia="Arial" w:hAnsi="Arial"/>
          <w:color w:val="2C2C2C"/>
          <w:sz w:val="20"/>
          <w:szCs w:val="20"/>
        </w:rPr>
        <w:t xml:space="preserve">Measurement: Calculate Cohen’s kappa or percent agreement for each coach relative to Andrew’s anchor ratings. Target: ≥ 0.70 weighted kappa. Any coach falling below 0.60 receives a one-on-one review session before the next assessment cycle.</w:t>
      </w:r>
    </w:p>
    <w:p>
      <w:pPr>
        <w:spacing w:before="200" w:after="120"/>
      </w:pPr>
      <w:r>
        <w:rPr>
          <w:rFonts w:ascii="Arial" w:cs="Arial" w:eastAsia="Arial" w:hAnsi="Arial"/>
          <w:b/>
          <w:bCs/>
          <w:color w:val="C9A96E"/>
          <w:sz w:val="22"/>
          <w:szCs w:val="22"/>
        </w:rPr>
        <w:t xml:space="preserve">Cost</w:t>
      </w:r>
    </w:p>
    <w:p>
      <w:pPr>
        <w:spacing w:after="160" w:line="276"/>
      </w:pPr>
      <w:r>
        <w:rPr>
          <w:rFonts w:ascii="Arial" w:cs="Arial" w:eastAsia="Arial" w:hAnsi="Arial"/>
          <w:color w:val="2C2C2C"/>
          <w:sz w:val="20"/>
          <w:szCs w:val="20"/>
        </w:rPr>
        <w:t xml:space="preserve">90 minutes per quarter for all active coaches (4–5 people). Video clip preparation: 2–3 hours of Andrew’s time per quarter. If coaches are paid for the calibration session, approximately $150–$200 per session at current group rates. Total annual investment: approximately 6 hours of coach time per person plus 8–12 hours of Andrew’s preparation time.</w:t>
      </w:r>
    </w:p>
    <w:p>
      <w:pPr>
        <w:spacing w:before="200" w:after="120"/>
      </w:pPr>
      <w:r>
        <w:rPr>
          <w:rFonts w:ascii="Arial" w:cs="Arial" w:eastAsia="Arial" w:hAnsi="Arial"/>
          <w:b/>
          <w:bCs/>
          <w:color w:val="C9A96E"/>
          <w:sz w:val="22"/>
          <w:szCs w:val="22"/>
        </w:rPr>
        <w:t xml:space="preserve">Risks</w:t>
      </w:r>
    </w:p>
    <w:p>
      <w:pPr>
        <w:pStyle w:val="ListParagraph"/>
        <w:numPr>
          <w:ilvl w:val="0"/>
          <w:numId w:val="3"/>
        </w:numPr>
        <w:spacing w:after="80" w:line="276"/>
      </w:pPr>
      <w:r>
        <w:rPr>
          <w:rFonts w:ascii="Arial" w:cs="Arial" w:eastAsia="Arial" w:hAnsi="Arial"/>
          <w:color w:val="2C2C2C"/>
          <w:sz w:val="20"/>
          <w:szCs w:val="20"/>
        </w:rPr>
        <w:t xml:space="preserve">Scheduling difficulty with part-time/external coaches (Peter, Fabian); mitigate by offering asynchronous video rating option with phone debrief for coaches who cannot attend in person</w:t>
      </w:r>
    </w:p>
    <w:p>
      <w:pPr>
        <w:pStyle w:val="ListParagraph"/>
        <w:numPr>
          <w:ilvl w:val="0"/>
          <w:numId w:val="3"/>
        </w:numPr>
        <w:spacing w:after="80" w:line="276"/>
      </w:pPr>
      <w:r>
        <w:rPr>
          <w:rFonts w:ascii="Arial" w:cs="Arial" w:eastAsia="Arial" w:hAnsi="Arial"/>
          <w:color w:val="2C2C2C"/>
          <w:sz w:val="20"/>
          <w:szCs w:val="20"/>
        </w:rPr>
        <w:t xml:space="preserve">Calibration sessions feel punitive if framed as “testing” coaches; mitigate by framing as professional development and sharing research context on why all coach ratings drift</w:t>
      </w:r>
    </w:p>
    <w:p>
      <w:pPr>
        <w:pStyle w:val="ListParagraph"/>
        <w:numPr>
          <w:ilvl w:val="0"/>
          <w:numId w:val="3"/>
        </w:numPr>
        <w:spacing w:after="160" w:line="276"/>
      </w:pPr>
      <w:r>
        <w:rPr>
          <w:rFonts w:ascii="Arial" w:cs="Arial" w:eastAsia="Arial" w:hAnsi="Arial"/>
          <w:color w:val="2C2C2C"/>
          <w:sz w:val="20"/>
          <w:szCs w:val="20"/>
        </w:rPr>
        <w:t xml:space="preserve">Andrew’s anchor ratings may themselves be inconsistent quarter to quarter; mitigate by maintaining a permanent video anchor library that persists across sessions</w:t>
      </w:r>
    </w:p>
    <w:p>
      <w:pPr>
        <w:pStyle w:val="Heading2"/>
        <w:spacing w:before="280" w:after="160"/>
      </w:pPr>
      <w:r>
        <w:rPr>
          <w:rFonts w:ascii="Arial" w:cs="Arial" w:eastAsia="Arial" w:hAnsi="Arial"/>
          <w:b/>
          <w:bCs/>
          <w:color w:val="1B2A4A"/>
          <w:sz w:val="26"/>
          <w:szCs w:val="26"/>
        </w:rPr>
        <w:t xml:space="preserve">2.3 USTA-Aligned Progression Gates</w:t>
      </w:r>
    </w:p>
    <w:p>
      <w:pPr>
        <w:spacing w:before="200" w:after="120"/>
      </w:pPr>
      <w:r>
        <w:rPr>
          <w:rFonts w:ascii="Arial" w:cs="Arial" w:eastAsia="Arial" w:hAnsi="Arial"/>
          <w:b/>
          <w:bCs/>
          <w:color w:val="C9A96E"/>
          <w:sz w:val="22"/>
          <w:szCs w:val="22"/>
        </w:rPr>
        <w:t xml:space="preserve">What</w:t>
      </w:r>
    </w:p>
    <w:p>
      <w:pPr>
        <w:spacing w:after="160" w:line="276"/>
      </w:pPr>
      <w:r>
        <w:rPr>
          <w:rFonts w:ascii="Arial" w:cs="Arial" w:eastAsia="Arial" w:hAnsi="Arial"/>
          <w:color w:val="2C2C2C"/>
          <w:sz w:val="20"/>
          <w:szCs w:val="20"/>
        </w:rPr>
        <w:t xml:space="preserve">Formalized criteria for program advancement that align with USTA’s competency benchmarks while preserving LBTA’s developmental philosophy. Progression is coach-recommended (never automatic based on points alone), requires proficiency on a defined competency checklist, and is communicated to parents as a “developmental readiness conversation” rather than a pass/fail evaluation.</w:t>
      </w:r>
    </w:p>
    <w:p>
      <w:pPr>
        <w:spacing w:before="200" w:after="120"/>
      </w:pPr>
      <w:r>
        <w:rPr>
          <w:rFonts w:ascii="Arial" w:cs="Arial" w:eastAsia="Arial" w:hAnsi="Arial"/>
          <w:b/>
          <w:bCs/>
          <w:color w:val="C9A96E"/>
          <w:sz w:val="22"/>
          <w:szCs w:val="22"/>
        </w:rPr>
        <w:t xml:space="preserve">Why</w:t>
      </w:r>
    </w:p>
    <w:p>
      <w:pPr>
        <w:spacing w:after="160" w:line="276"/>
      </w:pPr>
      <w:r>
        <w:rPr>
          <w:rFonts w:ascii="Arial" w:cs="Arial" w:eastAsia="Arial" w:hAnsi="Arial"/>
          <w:color w:val="2C2C2C"/>
          <w:sz w:val="20"/>
          <w:szCs w:val="20"/>
        </w:rPr>
        <w:t xml:space="preserve">The USTA data showing 75% of players developing remediable technical flaws from premature advancement provides the strongest argument for structured gates. Without them, LBTA faces the same problem: parents pressuring for advancement based on age or social comparison rather than demonstrated competency. Formalized gates give coaches an evidence-based framework for these conversations and protect the quality of each program tier.</w:t>
      </w:r>
    </w:p>
    <w:p>
      <w:pPr>
        <w:spacing w:before="200" w:after="120"/>
      </w:pPr>
      <w:r>
        <w:rPr>
          <w:rFonts w:ascii="Arial" w:cs="Arial" w:eastAsia="Arial" w:hAnsi="Arial"/>
          <w:b/>
          <w:bCs/>
          <w:color w:val="C9A96E"/>
          <w:sz w:val="22"/>
          <w:szCs w:val="22"/>
        </w:rPr>
        <w:t xml:space="preserve">How</w:t>
      </w:r>
    </w:p>
    <w:p>
      <w:pPr>
        <w:spacing w:after="160" w:line="276"/>
      </w:pPr>
      <w:r>
        <w:rPr>
          <w:rFonts w:ascii="Arial" w:cs="Arial" w:eastAsia="Arial" w:hAnsi="Arial"/>
          <w:color w:val="2C2C2C"/>
          <w:sz w:val="20"/>
          <w:szCs w:val="20"/>
        </w:rPr>
        <w:t xml:space="preserve">Define “readiness indicators” for each transition point: Red-to-Orange (can sustain 10-ball cooperative rally, demonstrates basic forehand swing with appropriate grip, shows consistent ball tracking), Orange-to-Green (meets USTA orange ball competencies, coach-confirmed readiness via Skill Compass Tier 1 assessment, minimum 2 quarters in orange programming), Green-to-Yellow (meets USTA green ball competencies, 20-ball rally at medium pace with peer, Skill Compass Tier 2 assessment showing Proficient on 6/8 competencies, recommended minimum 3 quarters in green programming), Yellow-to-Competitive (Skill Compass Tier 3 assessment, UTR established through match play, demonstrated tactical awareness and competitive composure).</w:t>
      </w:r>
    </w:p>
    <w:p>
      <w:pPr>
        <w:spacing w:after="160" w:line="276"/>
      </w:pPr>
      <w:r>
        <w:rPr>
          <w:rFonts w:ascii="Arial" w:cs="Arial" w:eastAsia="Arial" w:hAnsi="Arial"/>
          <w:color w:val="2C2C2C"/>
          <w:sz w:val="20"/>
          <w:szCs w:val="20"/>
        </w:rPr>
        <w:t xml:space="preserve">Each transition triggers a brief parent conference (10–15 minutes, in person or phone) where the coach shares the Skill Compass assessment results, explains the readiness indicators, and either recommends advancement or identifies specific development areas to work on. This conversation is positioned as “Your child is building something excellent—here’s where they are on that journey.”</w:t>
      </w:r>
    </w:p>
    <w:p>
      <w:pPr>
        <w:spacing w:before="200" w:after="120"/>
      </w:pPr>
      <w:r>
        <w:rPr>
          <w:rFonts w:ascii="Arial" w:cs="Arial" w:eastAsia="Arial" w:hAnsi="Arial"/>
          <w:b/>
          <w:bCs/>
          <w:color w:val="C9A96E"/>
          <w:sz w:val="22"/>
          <w:szCs w:val="22"/>
        </w:rPr>
        <w:t xml:space="preserve">Cost</w:t>
      </w:r>
    </w:p>
    <w:p>
      <w:pPr>
        <w:spacing w:after="160" w:line="276"/>
      </w:pPr>
      <w:r>
        <w:rPr>
          <w:rFonts w:ascii="Arial" w:cs="Arial" w:eastAsia="Arial" w:hAnsi="Arial"/>
          <w:color w:val="2C2C2C"/>
          <w:sz w:val="20"/>
          <w:szCs w:val="20"/>
        </w:rPr>
        <w:t xml:space="preserve">Minimal incremental cost. Readiness indicators are defined once (included in Recommendation 2.1 development time). Parent conferences already happen informally—this formalizes and improves them. Primary cost is the discipline to apply consistently even when parents push for premature advancement.</w:t>
      </w:r>
    </w:p>
    <w:p>
      <w:pPr>
        <w:spacing w:before="200" w:after="120"/>
      </w:pPr>
      <w:r>
        <w:rPr>
          <w:rFonts w:ascii="Arial" w:cs="Arial" w:eastAsia="Arial" w:hAnsi="Arial"/>
          <w:b/>
          <w:bCs/>
          <w:color w:val="C9A96E"/>
          <w:sz w:val="22"/>
          <w:szCs w:val="22"/>
        </w:rPr>
        <w:t xml:space="preserve">Risks</w:t>
      </w:r>
    </w:p>
    <w:p>
      <w:pPr>
        <w:pStyle w:val="ListParagraph"/>
        <w:numPr>
          <w:ilvl w:val="0"/>
          <w:numId w:val="4"/>
        </w:numPr>
        <w:spacing w:after="80" w:line="276"/>
      </w:pPr>
      <w:r>
        <w:rPr>
          <w:rFonts w:ascii="Arial" w:cs="Arial" w:eastAsia="Arial" w:hAnsi="Arial"/>
          <w:color w:val="2C2C2C"/>
          <w:sz w:val="20"/>
          <w:szCs w:val="20"/>
        </w:rPr>
        <w:t xml:space="preserve">Families leave if they feel their child is “held back”; mitigate by emphasizing that LBTA’s approach produces fewer technical flaws requiring remediation (cite USTA 75% statistic) and by showing individual growth trajectory</w:t>
      </w:r>
    </w:p>
    <w:p>
      <w:pPr>
        <w:pStyle w:val="ListParagraph"/>
        <w:numPr>
          <w:ilvl w:val="0"/>
          <w:numId w:val="4"/>
        </w:numPr>
        <w:spacing w:after="80" w:line="276"/>
      </w:pPr>
      <w:r>
        <w:rPr>
          <w:rFonts w:ascii="Arial" w:cs="Arial" w:eastAsia="Arial" w:hAnsi="Arial"/>
          <w:color w:val="2C2C2C"/>
          <w:sz w:val="20"/>
          <w:szCs w:val="20"/>
        </w:rPr>
        <w:t xml:space="preserve">Coaches apply gates inconsistently; mitigate through calibration sessions (Recommendation 2.2) and requiring Andrew sign-off on all Green-to-Yellow and Yellow-to-Competitive transitions</w:t>
      </w:r>
    </w:p>
    <w:p>
      <w:pPr>
        <w:pStyle w:val="ListParagraph"/>
        <w:numPr>
          <w:ilvl w:val="0"/>
          <w:numId w:val="4"/>
        </w:numPr>
        <w:spacing w:after="160" w:line="276"/>
      </w:pPr>
      <w:r>
        <w:rPr>
          <w:rFonts w:ascii="Arial" w:cs="Arial" w:eastAsia="Arial" w:hAnsi="Arial"/>
          <w:color w:val="2C2C2C"/>
          <w:sz w:val="20"/>
          <w:szCs w:val="20"/>
        </w:rPr>
        <w:t xml:space="preserve">Rigid gates prevent accommodation of exceptional cases; mitigate by building in an “Andrew override” pathway for genuinely advanced players who demonstrate readiness outside the standard timeline</w:t>
      </w:r>
    </w:p>
    <w:p>
      <w:pPr>
        <w:pStyle w:val="Heading2"/>
        <w:spacing w:before="280" w:after="160"/>
      </w:pPr>
      <w:r>
        <w:rPr>
          <w:rFonts w:ascii="Arial" w:cs="Arial" w:eastAsia="Arial" w:hAnsi="Arial"/>
          <w:b/>
          <w:bCs/>
          <w:color w:val="1B2A4A"/>
          <w:sz w:val="26"/>
          <w:szCs w:val="26"/>
        </w:rPr>
        <w:t xml:space="preserve">2.4 Video Anchor Library &amp; Self-Assessment Integration</w:t>
      </w:r>
    </w:p>
    <w:p>
      <w:pPr>
        <w:spacing w:before="200" w:after="120"/>
      </w:pPr>
      <w:r>
        <w:rPr>
          <w:rFonts w:ascii="Arial" w:cs="Arial" w:eastAsia="Arial" w:hAnsi="Arial"/>
          <w:b/>
          <w:bCs/>
          <w:color w:val="C9A96E"/>
          <w:sz w:val="22"/>
          <w:szCs w:val="22"/>
        </w:rPr>
        <w:t xml:space="preserve">What</w:t>
      </w:r>
    </w:p>
    <w:p>
      <w:pPr>
        <w:spacing w:after="160" w:line="276"/>
      </w:pPr>
      <w:r>
        <w:rPr>
          <w:rFonts w:ascii="Arial" w:cs="Arial" w:eastAsia="Arial" w:hAnsi="Arial"/>
          <w:color w:val="2C2C2C"/>
          <w:sz w:val="20"/>
          <w:szCs w:val="20"/>
        </w:rPr>
        <w:t xml:space="preserve">A curated library of 30–40 video clips showing each Skill Compass competency at each rating level (Developing / Proficient / Advanced), recorded from actual LBTA students (with parent permission). For competitive-tier players (14U+), an adapted version of the Tactical Skills Questionnaire is administered quarterly alongside coach observation, comparing self-perception to coach assessment.</w:t>
      </w:r>
    </w:p>
    <w:p>
      <w:pPr>
        <w:spacing w:before="200" w:after="120"/>
      </w:pPr>
      <w:r>
        <w:rPr>
          <w:rFonts w:ascii="Arial" w:cs="Arial" w:eastAsia="Arial" w:hAnsi="Arial"/>
          <w:b/>
          <w:bCs/>
          <w:color w:val="C9A96E"/>
          <w:sz w:val="22"/>
          <w:szCs w:val="22"/>
        </w:rPr>
        <w:t xml:space="preserve">Why</w:t>
      </w:r>
    </w:p>
    <w:p>
      <w:pPr>
        <w:spacing w:after="160" w:line="276"/>
      </w:pPr>
      <w:r>
        <w:rPr>
          <w:rFonts w:ascii="Arial" w:cs="Arial" w:eastAsia="Arial" w:hAnsi="Arial"/>
          <w:color w:val="2C2C2C"/>
          <w:sz w:val="20"/>
          <w:szCs w:val="20"/>
        </w:rPr>
        <w:t xml:space="preserve">Video anchors are the single most effective tool for improving inter-rater reliability across every field studied—education, sports medicine, and performance assessment. They transform abstract rubric language into concrete visual examples. The self-assessment component addresses a finding from the TSQT research: tactical skills self-assessment with α = 0.89 internal consistency means players can meaningfully evaluate their own decision-making, and the gap between self-perception and coach assessment often reveals the most actionable coaching targets.</w:t>
      </w:r>
    </w:p>
    <w:p>
      <w:pPr>
        <w:spacing w:before="200" w:after="120"/>
      </w:pPr>
      <w:r>
        <w:rPr>
          <w:rFonts w:ascii="Arial" w:cs="Arial" w:eastAsia="Arial" w:hAnsi="Arial"/>
          <w:b/>
          <w:bCs/>
          <w:color w:val="C9A96E"/>
          <w:sz w:val="22"/>
          <w:szCs w:val="22"/>
        </w:rPr>
        <w:t xml:space="preserve">How</w:t>
      </w:r>
    </w:p>
    <w:p>
      <w:pPr>
        <w:spacing w:after="160" w:line="276"/>
      </w:pPr>
      <w:r>
        <w:rPr>
          <w:rFonts w:ascii="Arial" w:cs="Arial" w:eastAsia="Arial" w:hAnsi="Arial"/>
          <w:color w:val="2C2C2C"/>
          <w:sz w:val="20"/>
          <w:szCs w:val="20"/>
        </w:rPr>
        <w:t xml:space="preserve">Phase 1 (Months 1–3): Record 12–15 clips during regular lessons covering the most commonly assessed competencies (forehand consistency, rally sustain, serve mechanics, court movement). Obtain parent consent using a simple media release form. Store clips in a secure, coach-accessible cloud folder (Google Drive or similar).</w:t>
      </w:r>
    </w:p>
    <w:p>
      <w:pPr>
        <w:spacing w:after="160" w:line="276"/>
      </w:pPr>
      <w:r>
        <w:rPr>
          <w:rFonts w:ascii="Arial" w:cs="Arial" w:eastAsia="Arial" w:hAnsi="Arial"/>
          <w:color w:val="2C2C2C"/>
          <w:sz w:val="20"/>
          <w:szCs w:val="20"/>
        </w:rPr>
        <w:t xml:space="preserve">Phase 2 (Months 4–6): Expand to 30–40 clips covering all Skill Compass competencies across all three tiers. Annotate each clip with the correct rating and a brief explanation of what distinguishes it from adjacent ratings. Use these as the calibration session materials.</w:t>
      </w:r>
    </w:p>
    <w:p>
      <w:pPr>
        <w:spacing w:after="160" w:line="276"/>
      </w:pPr>
      <w:r>
        <w:rPr>
          <w:rFonts w:ascii="Arial" w:cs="Arial" w:eastAsia="Arial" w:hAnsi="Arial"/>
          <w:color w:val="2C2C2C"/>
          <w:sz w:val="20"/>
          <w:szCs w:val="20"/>
        </w:rPr>
        <w:t xml:space="preserve">Phase 3 (Months 6–12): Introduce the adapted TSQT for competitive-tier players. Administer at the start of each quarter. Coach reviews self-assessment alongside their own observation ratings and identifies the 2–3 largest perception gaps to address in the upcoming training cycle. Share the comparison with the player during an individual check-in—this becomes a powerful coaching conversation starter.</w:t>
      </w:r>
    </w:p>
    <w:p>
      <w:pPr>
        <w:spacing w:before="200" w:after="120"/>
      </w:pPr>
      <w:r>
        <w:rPr>
          <w:rFonts w:ascii="Arial" w:cs="Arial" w:eastAsia="Arial" w:hAnsi="Arial"/>
          <w:b/>
          <w:bCs/>
          <w:color w:val="C9A96E"/>
          <w:sz w:val="22"/>
          <w:szCs w:val="22"/>
        </w:rPr>
        <w:t xml:space="preserve">Cost</w:t>
      </w:r>
    </w:p>
    <w:p>
      <w:pPr>
        <w:spacing w:after="160" w:line="276"/>
      </w:pPr>
      <w:r>
        <w:rPr>
          <w:rFonts w:ascii="Arial" w:cs="Arial" w:eastAsia="Arial" w:hAnsi="Arial"/>
          <w:color w:val="2C2C2C"/>
          <w:sz w:val="20"/>
          <w:szCs w:val="20"/>
        </w:rPr>
        <w:t xml:space="preserve">Video recording: Phone on tripod during lessons, no additional equipment cost. Cloud storage: negligible (Google Drive included in existing infrastructure). Parent consent forms: one-time legal review, $200–$500 if using external counsel. TSQT adaptation: 4–6 hours to modify the Dutch instrument for LBTA’s context and age groups. Total first-year investment: 15–20 hours of development time plus minimal hard costs.</w:t>
      </w:r>
    </w:p>
    <w:p>
      <w:pPr>
        <w:spacing w:before="200" w:after="120"/>
      </w:pPr>
      <w:r>
        <w:rPr>
          <w:rFonts w:ascii="Arial" w:cs="Arial" w:eastAsia="Arial" w:hAnsi="Arial"/>
          <w:b/>
          <w:bCs/>
          <w:color w:val="C9A96E"/>
          <w:sz w:val="22"/>
          <w:szCs w:val="22"/>
        </w:rPr>
        <w:t xml:space="preserve">Risks</w:t>
      </w:r>
    </w:p>
    <w:p>
      <w:pPr>
        <w:pStyle w:val="ListParagraph"/>
        <w:numPr>
          <w:ilvl w:val="0"/>
          <w:numId w:val="5"/>
        </w:numPr>
        <w:spacing w:after="80" w:line="276"/>
      </w:pPr>
      <w:r>
        <w:rPr>
          <w:rFonts w:ascii="Arial" w:cs="Arial" w:eastAsia="Arial" w:hAnsi="Arial"/>
          <w:color w:val="2C2C2C"/>
          <w:sz w:val="20"/>
          <w:szCs w:val="20"/>
        </w:rPr>
        <w:t xml:space="preserve">Parent refusal of video consent reduces the anchor library’s diversity; mitigate by recording during group sessions where individual players are less identifiable, or by using clips from publicly available coaching resources as initial placeholders</w:t>
      </w:r>
    </w:p>
    <w:p>
      <w:pPr>
        <w:pStyle w:val="ListParagraph"/>
        <w:numPr>
          <w:ilvl w:val="0"/>
          <w:numId w:val="5"/>
        </w:numPr>
        <w:spacing w:after="80" w:line="276"/>
      </w:pPr>
      <w:r>
        <w:rPr>
          <w:rFonts w:ascii="Arial" w:cs="Arial" w:eastAsia="Arial" w:hAnsi="Arial"/>
          <w:color w:val="2C2C2C"/>
          <w:sz w:val="20"/>
          <w:szCs w:val="20"/>
        </w:rPr>
        <w:t xml:space="preserve">Self-assessment becomes demoralizing for players who rate themselves much higher than coaches rate them; mitigate by framing the comparison as “awareness building” and focusing on the growth trajectory rather than the gap itself</w:t>
      </w:r>
    </w:p>
    <w:p>
      <w:pPr>
        <w:pStyle w:val="ListParagraph"/>
        <w:numPr>
          <w:ilvl w:val="0"/>
          <w:numId w:val="5"/>
        </w:numPr>
        <w:spacing w:after="160" w:line="276"/>
      </w:pPr>
      <w:r>
        <w:rPr>
          <w:rFonts w:ascii="Arial" w:cs="Arial" w:eastAsia="Arial" w:hAnsi="Arial"/>
          <w:color w:val="2C2C2C"/>
          <w:sz w:val="20"/>
          <w:szCs w:val="20"/>
        </w:rPr>
        <w:t xml:space="preserve">Video library becomes stale if not refreshed; mitigate by replacing 25–30% of clips annually with current student examples</w:t>
      </w:r>
    </w:p>
    <w:p>
      <w:pPr>
        <w:pBdr>
          <w:bottom w:val="single" w:color="C9A96E" w:sz="4" w:space="1"/>
        </w:pBdr>
        <w:spacing w:before="200" w:after="200"/>
      </w:pPr>
    </w:p>
    <w:p>
      <w:pPr>
        <w:pStyle w:val="Heading1"/>
        <w:spacing w:before="360" w:after="200"/>
      </w:pPr>
      <w:r>
        <w:rPr>
          <w:rFonts w:ascii="Arial" w:cs="Arial" w:eastAsia="Arial" w:hAnsi="Arial"/>
          <w:b/>
          <w:bCs/>
          <w:color w:val="1B2A4A"/>
          <w:sz w:val="32"/>
          <w:szCs w:val="32"/>
        </w:rPr>
        <w:t xml:space="preserve">3. Implementation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w:t>
            </w:r>
          </w:p>
        </w:tc>
        <w:tc>
          <w:tcPr>
            <w:tcW w:type="dxa" w:w="27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Actions</w:t>
            </w:r>
          </w:p>
        </w:tc>
        <w:tc>
          <w:tcPr>
            <w:tcW w:type="dxa" w:w="27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Timeline</w:t>
            </w:r>
          </w:p>
        </w:tc>
        <w:tc>
          <w:tcPr>
            <w:tcW w:type="dxa" w:w="27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Dependencies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Phase 1</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Define Tier 2 (Green/Yellow) competencies; select and record 12–15 video anchors; build Airtable assessment form; conduct first calibration session with Peter, Kevin, and Savriyan</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Weeks 1–6 (Spring 2026 start)</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Andrew’s time for competency definition; at least 4 parent media consents for video recording</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Phase 2</w:t>
            </w:r>
          </w:p>
        </w:tc>
        <w:tc>
          <w:tcPr>
            <w:tcW w:type="dxa" w:w="272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Pilot Skill Compass Tier 2 assessments; define Tier 1 (Red/Orange) and Tier 3 (Competitive) competencies; formalize progression gates; expand video library to 30+ clips</w:t>
            </w:r>
          </w:p>
        </w:tc>
        <w:tc>
          <w:tcPr>
            <w:tcW w:type="dxa" w:w="272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Weeks 7–16 (Summer 2026)</w:t>
            </w:r>
          </w:p>
        </w:tc>
        <w:tc>
          <w:tcPr>
            <w:tcW w:type="dxa" w:w="272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Phase 1 calibration complete; coach feedback on Tier 2 rubric usability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Phase 3</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Full Skill Compass deployment across all tiers; introduce TSQT self-assessment for competitive players; publish parent-facing Development Portrait format; second calibration session</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Months 5–12 (Fall/Winter 2026)</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Phase 2 pilot data; parent communication standards for sharing assessment results; all coaches completing quarterly calibration</w:t>
            </w:r>
          </w:p>
        </w:tc>
      </w:tr>
    </w:tbl>
    <w:p>
      <w:pPr>
        <w:spacing w:after="160" w:line="276"/>
      </w:pPr>
      <w:r>
        <w:rPr>
          <w:rFonts w:ascii="Arial" w:cs="Arial" w:eastAsia="Arial" w:hAnsi="Arial"/>
          <w:color w:val="2C2C2C"/>
          <w:sz w:val="20"/>
          <w:szCs w:val="20"/>
        </w:rPr>
        <w:t xml:space="preserve">Start with Tier 2 because this population (green/yellow ball, ages 9–14) has the highest parent engagement, the most meaningful competency differentiation, and the greatest retention impact. Early success with this group builds coach confidence and creates parent demand for the system before extending to younger (Tier 1) and competitive (Tier 3) populations.</w:t>
      </w:r>
    </w:p>
    <w:p>
      <w:pPr>
        <w:pBdr>
          <w:bottom w:val="single" w:color="C9A96E" w:sz="4" w:space="1"/>
        </w:pBdr>
        <w:spacing w:before="200" w:after="200"/>
      </w:pPr>
    </w:p>
    <w:p>
      <w:pPr>
        <w:pStyle w:val="Heading1"/>
        <w:spacing w:before="360" w:after="200"/>
      </w:pPr>
      <w:r>
        <w:rPr>
          <w:rFonts w:ascii="Arial" w:cs="Arial" w:eastAsia="Arial" w:hAnsi="Arial"/>
          <w:b/>
          <w:bCs/>
          <w:color w:val="1B2A4A"/>
          <w:sz w:val="32"/>
          <w:szCs w:val="32"/>
        </w:rPr>
        <w:t xml:space="preserve">4. Aman Test Checkpoint</w:t>
      </w:r>
    </w:p>
    <w:p>
      <w:pPr>
        <w:spacing w:after="160" w:line="276"/>
      </w:pPr>
      <w:r>
        <w:rPr>
          <w:rFonts w:ascii="Arial" w:cs="Arial" w:eastAsia="Arial" w:hAnsi="Arial"/>
          <w:color w:val="2C2C2C"/>
          <w:sz w:val="20"/>
          <w:szCs w:val="20"/>
        </w:rPr>
        <w:t xml:space="preserve">Each design element evaluated against the question: would this feel at home in a world-class boutique experience, or does it feel institutional, corporate, or mass-market?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Element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"Skill Compass" naming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 Pass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Evokes navigation and journey rather than testing or grading. Aspirational without being pretentious.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Three-point scale</w:t>
            </w:r>
          </w:p>
        </w:tc>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 Pass</w:t>
            </w:r>
          </w:p>
        </w:tc>
        <w:tc>
          <w:tcPr>
            <w:tcW w:type="dxa" w:w="5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Developing / Proficient / Advanced avoids numeric scores that invite comparison. Language emphasizes trajectory.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"Development Portrait" framing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 Pass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Parent-facing results presented as an individual portrait, not a report card. Consistent with LBTA’s narrative approach.</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Embedded observation</w:t>
            </w:r>
          </w:p>
        </w:tc>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 Pass</w:t>
            </w:r>
          </w:p>
        </w:tc>
        <w:tc>
          <w:tcPr>
            <w:tcW w:type="dxa" w:w="5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Assessment happens during regular lessons—no separate testing sessions that create anxiety. Feels natural and unforced.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Video anchor library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 Pass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Professional investment in calibration reflects premium commitment to consistency. Never shared publicly—internal quality tool.</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Coach calibration sessions</w:t>
            </w:r>
          </w:p>
        </w:tc>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 Pass</w:t>
            </w:r>
          </w:p>
        </w:tc>
        <w:tc>
          <w:tcPr>
            <w:tcW w:type="dxa" w:w="5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Positions coaches as professionals who invest in their craft. Differentiator from rec programs where coaches operate in silos.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Progression gates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 Pass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"Readiness conversation" language is consultative, not gatekeeping. Frames LBTA as the expert guiding families, not bureaucracy blocking them.</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Comparative rankings</w:t>
            </w:r>
          </w:p>
        </w:tc>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 Blocked</w:t>
            </w:r>
          </w:p>
        </w:tc>
        <w:tc>
          <w:tcPr>
            <w:tcW w:type="dxa" w:w="5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No peer comparison data shared with parents. All assessment results are individual trajectory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Mandatory participation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C2C2C"/>
                <w:sz w:val="18"/>
                <w:szCs w:val="18"/>
              </w:rPr>
              <w:t xml:space="preserve">✗ Blocked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2C2C"/>
                <w:sz w:val="18"/>
                <w:szCs w:val="18"/>
              </w:rPr>
              <w:t xml:space="preserve">Skill Compass observation is opt-in for parents (though coaches observe regardless). No family penalized for declining formal assessment.</w:t>
            </w:r>
          </w:p>
        </w:tc>
      </w:tr>
    </w:tbl>
    <w:p>
      <w:pPr>
        <w:pBdr>
          <w:bottom w:val="single" w:color="C9A96E" w:sz="4" w:space="1"/>
        </w:pBdr>
        <w:spacing w:before="200" w:after="200"/>
      </w:pPr>
    </w:p>
    <w:p>
      <w:pPr>
        <w:pStyle w:val="Heading1"/>
        <w:spacing w:before="360" w:after="200"/>
      </w:pPr>
      <w:r>
        <w:rPr>
          <w:rFonts w:ascii="Arial" w:cs="Arial" w:eastAsia="Arial" w:hAnsi="Arial"/>
          <w:b/>
          <w:bCs/>
          <w:color w:val="1B2A4A"/>
          <w:sz w:val="32"/>
          <w:szCs w:val="32"/>
        </w:rPr>
        <w:t xml:space="preserve">5. Key Sources</w:t>
      </w:r>
    </w:p>
    <w:p>
      <w:pPr>
        <w:spacing w:after="160" w:line="276"/>
      </w:pPr>
      <w:r>
        <w:rPr>
          <w:rFonts w:ascii="Arial" w:cs="Arial" w:eastAsia="Arial" w:hAnsi="Arial"/>
          <w:color w:val="2C2C2C"/>
          <w:sz w:val="20"/>
          <w:szCs w:val="20"/>
        </w:rPr>
        <w:t xml:space="preserve">1. Youth soccer coach ratings inter-rater reliability study. Newman University / Guildhe Repository. Inter-rater agreement ω = 0.48–0.68 between lead and assistant coaches; Bayesian regression showing 1–23% variance explained.</w:t>
      </w:r>
    </w:p>
    <w:p>
      <w:pPr>
        <w:spacing w:after="160" w:line="276"/>
      </w:pPr>
      <w:r>
        <w:rPr>
          <w:rFonts w:ascii="Arial" w:cs="Arial" w:eastAsia="Arial" w:hAnsi="Arial"/>
          <w:color w:val="2C2C2C"/>
          <w:sz w:val="20"/>
          <w:szCs w:val="20"/>
        </w:rPr>
        <w:t xml:space="preserve">2. Tactical Skills Questionnaire in Tennis (TSQT). Frontiers in Sports and Active Living, 2022. Validated self-assessment instrument, α = 0.89, four subscales, discriminant validity between national and regional players.</w:t>
      </w:r>
    </w:p>
    <w:p>
      <w:pPr>
        <w:spacing w:after="160" w:line="276"/>
      </w:pPr>
      <w:r>
        <w:rPr>
          <w:rFonts w:ascii="Arial" w:cs="Arial" w:eastAsia="Arial" w:hAnsi="Arial"/>
          <w:color w:val="2C2C2C"/>
          <w:sz w:val="20"/>
          <w:szCs w:val="20"/>
        </w:rPr>
        <w:t xml:space="preserve">3. Classroom Assessment Scoring System (CLASS) adapted for sports coaching. German Journal of Exercise and Sport Research, 2022. Systematic observation instrument, three-domain structure, 26 coaches, video-rated reliability protocols.</w:t>
      </w:r>
    </w:p>
    <w:p>
      <w:pPr>
        <w:spacing w:after="160" w:line="276"/>
      </w:pPr>
      <w:r>
        <w:rPr>
          <w:rFonts w:ascii="Arial" w:cs="Arial" w:eastAsia="Arial" w:hAnsi="Arial"/>
          <w:color w:val="2C2C2C"/>
          <w:sz w:val="20"/>
          <w:szCs w:val="20"/>
        </w:rPr>
        <w:t xml:space="preserve">4. Coach knowledge in talent identification: systematic review. ScienceDirect, 2019. Characterized “coach’s eye” as intuitive and subjective; checklists improve reliability but encourage static assessment.</w:t>
      </w:r>
    </w:p>
    <w:p>
      <w:pPr>
        <w:spacing w:after="160" w:line="276"/>
      </w:pPr>
      <w:r>
        <w:rPr>
          <w:rFonts w:ascii="Arial" w:cs="Arial" w:eastAsia="Arial" w:hAnsi="Arial"/>
          <w:color w:val="2C2C2C"/>
          <w:sz w:val="20"/>
          <w:szCs w:val="20"/>
        </w:rPr>
        <w:t xml:space="preserve">5. Systematic review of sporting skill outcome tests. PubMed, 2013. 22 studies; 95% examined test-retest reliability; only 18% assessed all three validity forms; 14% investigated predictive validity.</w:t>
      </w:r>
    </w:p>
    <w:p>
      <w:pPr>
        <w:spacing w:after="160" w:line="276"/>
      </w:pPr>
      <w:r>
        <w:rPr>
          <w:rFonts w:ascii="Arial" w:cs="Arial" w:eastAsia="Arial" w:hAnsi="Arial"/>
          <w:color w:val="2C2C2C"/>
          <w:sz w:val="20"/>
          <w:szCs w:val="20"/>
        </w:rPr>
        <w:t xml:space="preserve">6. USTA Net Generation PlayTracker and Youth Progression Framework. PlayTracker FAQs, USTA.com. Ball color competency benchmarks, point system, coach assessment pathway for orange-to-green advancement.</w:t>
      </w:r>
    </w:p>
    <w:p>
      <w:pPr>
        <w:spacing w:after="160" w:line="276"/>
      </w:pPr>
      <w:r>
        <w:rPr>
          <w:rFonts w:ascii="Arial" w:cs="Arial" w:eastAsia="Arial" w:hAnsi="Arial"/>
          <w:color w:val="2C2C2C"/>
          <w:sz w:val="20"/>
          <w:szCs w:val="20"/>
        </w:rPr>
        <w:t xml:space="preserve">7. USTA National Campus Junior Programs competency descriptions. ustanationalcampus.com. Orange, green, and yellow ball competency benchmarks including rally sustain metrics and tactical requirements.</w:t>
      </w:r>
    </w:p>
    <w:p>
      <w:pPr>
        <w:spacing w:after="160" w:line="276"/>
      </w:pPr>
      <w:r>
        <w:rPr>
          <w:rFonts w:ascii="Arial" w:cs="Arial" w:eastAsia="Arial" w:hAnsi="Arial"/>
          <w:color w:val="2C2C2C"/>
          <w:sz w:val="20"/>
          <w:szCs w:val="20"/>
        </w:rPr>
        <w:t xml:space="preserve">8. ITF International Tennis Number On-Court Assessment. ITF, 2003–2005. Standardized 10-minute assessment protocol: groundstroke depth, volley accuracy, serve speed/placement.</w:t>
      </w:r>
    </w:p>
    <w:p>
      <w:pPr>
        <w:spacing w:after="160" w:line="276"/>
      </w:pPr>
      <w:r>
        <w:rPr>
          <w:rFonts w:ascii="Arial" w:cs="Arial" w:eastAsia="Arial" w:hAnsi="Arial"/>
          <w:color w:val="2C2C2C"/>
          <w:sz w:val="20"/>
          <w:szCs w:val="20"/>
        </w:rPr>
        <w:t xml:space="preserve">9. Observational Tennis Serve Analysis (OTSA) validation. PMC, 2017. Video-based serve mechanics evaluation; inter-rater reliability κ = 0.36–1.0; discriminated trunk mobility and power between groups.</w:t>
      </w:r>
    </w:p>
    <w:p>
      <w:pPr>
        <w:spacing w:after="160" w:line="276"/>
      </w:pPr>
      <w:r>
        <w:rPr>
          <w:rFonts w:ascii="Arial" w:cs="Arial" w:eastAsia="Arial" w:hAnsi="Arial"/>
          <w:color w:val="2C2C2C"/>
          <w:sz w:val="20"/>
          <w:szCs w:val="20"/>
        </w:rPr>
        <w:t xml:space="preserve">10. Reliability of subjective evaluation in elite table tennis. PMC, 2025. Intra-observer r = 0.61–0.86; inter-observer k = 0.01–0.39; caution against simplified observational judgments.</w:t>
      </w:r>
    </w:p>
    <w:p>
      <w:pPr>
        <w:spacing w:after="160" w:line="276"/>
      </w:pPr>
      <w:r>
        <w:rPr>
          <w:rFonts w:ascii="Arial" w:cs="Arial" w:eastAsia="Arial" w:hAnsi="Arial"/>
          <w:color w:val="2C2C2C"/>
          <w:sz w:val="20"/>
          <w:szCs w:val="20"/>
        </w:rPr>
        <w:t xml:space="preserve">11. Landing Error Scoring System (LESS) inter-rater reliability. PMC, 2024. ICC = 0.90+ between experienced and novice raters using pass/fail dichotomization of standard protocol.</w:t>
      </w:r>
    </w:p>
    <w:p>
      <w:pPr>
        <w:spacing w:after="160" w:line="276"/>
      </w:pPr>
      <w:r>
        <w:rPr>
          <w:rFonts w:ascii="Arial" w:cs="Arial" w:eastAsia="Arial" w:hAnsi="Arial"/>
          <w:color w:val="2C2C2C"/>
          <w:sz w:val="20"/>
          <w:szCs w:val="20"/>
        </w:rPr>
        <w:t xml:space="preserve">12. Arm Care Screening (ACS) inter-rater reliability in high school coaches. IJSPT, 2021. Reliable scoring with ~1 hour training; pass/fail format; completable in under 3 minutes.</w:t>
      </w:r>
    </w:p>
    <w:p>
      <w:pPr>
        <w:spacing w:after="160" w:line="276"/>
      </w:pPr>
      <w:r>
        <w:rPr>
          <w:rFonts w:ascii="Arial" w:cs="Arial" w:eastAsia="Arial" w:hAnsi="Arial"/>
          <w:color w:val="2C2C2C"/>
          <w:sz w:val="20"/>
          <w:szCs w:val="20"/>
        </w:rPr>
        <w:t xml:space="preserve">13. Rhode Island Department of Education Calibration Protocol. Anchor document methodology, independent scoring followed by facilitated consensus discussion, calibration packet compilation.</w:t>
      </w:r>
    </w:p>
    <w:p>
      <w:pPr>
        <w:spacing w:after="160" w:line="276"/>
      </w:pPr>
      <w:r>
        <w:rPr>
          <w:rFonts w:ascii="Arial" w:cs="Arial" w:eastAsia="Arial" w:hAnsi="Arial"/>
          <w:color w:val="2C2C2C"/>
          <w:sz w:val="20"/>
          <w:szCs w:val="20"/>
        </w:rPr>
        <w:t xml:space="preserve">14. USTA Regional Training Center technical flaw data. ~75% of players assessed had technical flaws from insufficient competency development at red/orange/green levels.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6E" w:sz="2" w:space="4"/>
      </w:pBdr>
      <w:jc w:val="center"/>
    </w:pPr>
    <w:r>
      <w:rPr>
        <w:rFonts w:ascii="Arial" w:cs="Arial" w:eastAsia="Arial" w:hAnsi="Arial"/>
        <w:color w:val="666666"/>
        <w:sz w:val="16"/>
        <w:szCs w:val="16"/>
      </w:rPr>
      <w:t xml:space="preserve">Laguna Beach Tennis Academy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LBTA Domain 2: Skills Assessment &amp; Coach Calibration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2026-02-23T03:43:22.749Z</dcterms:created>
  <dcterms:modified xsi:type="dcterms:W3CDTF">2026-02-23T03:43:22.750Z</dcterms:modified>
</cp:coreProperties>
</file>

<file path=docProps/custom.xml><?xml version="1.0" encoding="utf-8"?>
<Properties xmlns="http://schemas.openxmlformats.org/officeDocument/2006/custom-properties" xmlns:vt="http://schemas.openxmlformats.org/officeDocument/2006/docPropsVTypes"/>
</file>