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color w:val="C9A96E"/>
          <w:spacing w:val="200"/>
          <w:sz w:val="20"/>
          <w:szCs w:val="20"/>
        </w:rPr>
        <w:t xml:space="preserve">LAGUNA BEACH TENNIS ACADEMY</w:t>
      </w:r>
    </w:p>
    <w:p>
      <w:pPr>
        <w:spacing w:after="80"/>
        <w:jc w:val="center"/>
      </w:pPr>
      <w:r>
        <w:rPr>
          <w:rFonts w:ascii="Arial" w:cs="Arial" w:eastAsia="Arial" w:hAnsi="Arial"/>
          <w:b/>
          <w:bCs/>
          <w:color w:val="1B2A4A"/>
          <w:sz w:val="48"/>
          <w:szCs w:val="48"/>
        </w:rPr>
        <w:t xml:space="preserve">Player Progression System</w:t>
      </w:r>
    </w:p>
    <w:p>
      <w:pPr>
        <w:spacing w:after="400"/>
        <w:jc w:val="center"/>
      </w:pPr>
      <w:r>
        <w:rPr>
          <w:rFonts w:ascii="Arial" w:cs="Arial" w:eastAsia="Arial" w:hAnsi="Arial"/>
          <w:color w:val="C9A96E"/>
          <w:sz w:val="28"/>
          <w:szCs w:val="28"/>
        </w:rPr>
        <w:t xml:space="preserve">Domain 3: Rating Systems &amp; Progression Models</w:t>
      </w:r>
    </w:p>
    <w:p>
      <w:pPr>
        <w:pBdr>
          <w:bottom w:val="single" w:color="C9A96E" w:sz="6" w:space="1"/>
        </w:pBdr>
        <w:spacing w:before="200" w:after="200"/>
      </w:pPr>
    </w:p>
    <w:p>
      <w:pPr>
        <w:spacing w:after="80"/>
        <w:jc w:val="center"/>
      </w:pPr>
      <w:r>
        <w:rPr>
          <w:rFonts w:ascii="Arial" w:cs="Arial" w:eastAsia="Arial" w:hAnsi="Arial"/>
          <w:color w:val="666666"/>
          <w:sz w:val="22"/>
          <w:szCs w:val="22"/>
        </w:rPr>
        <w:t xml:space="preserve">Research Synthesis &amp; Design Recommendations</w:t>
      </w:r>
    </w:p>
    <w:p>
      <w:pPr>
        <w:spacing w:before="2400"/>
      </w:pPr>
    </w:p>
    <w:p>
      <w:pPr>
        <w:jc w:val="center"/>
      </w:pPr>
      <w:r>
        <w:rPr>
          <w:rFonts w:ascii="Arial" w:cs="Arial" w:eastAsia="Arial" w:hAnsi="Arial"/>
          <w:color w:val="666666"/>
          <w:sz w:val="18"/>
          <w:szCs w:val="18"/>
        </w:rPr>
        <w:t xml:space="preserve">February 2026  |  Confidential</w:t>
      </w:r>
    </w:p>
    <w:p>
      <w:pPr>
        <w:spacing w:after="200"/>
        <w:jc w:val="center"/>
      </w:pPr>
      <w:r>
        <w:rPr>
          <w:rFonts w:ascii="Arial" w:cs="Arial" w:eastAsia="Arial" w:hAnsi="Arial"/>
          <w:i/>
          <w:iCs/>
          <w:color w:val="C9A96E"/>
          <w:sz w:val="18"/>
          <w:szCs w:val="18"/>
        </w:rPr>
        <w:t xml:space="preserve">Tennis, as it should be taught.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Research Synthesis</w:t>
      </w:r>
    </w:p>
    <w:p>
      <w:pPr>
        <w:spacing w:after="160" w:line="276"/>
      </w:pPr>
      <w:r>
        <w:rPr>
          <w:rFonts w:ascii="Arial" w:cs="Arial" w:eastAsia="Arial" w:hAnsi="Arial"/>
          <w:color w:val="2C2C2C"/>
          <w:sz w:val="20"/>
          <w:szCs w:val="20"/>
        </w:rPr>
        <w:t xml:space="preserve">This domain examines three categories of rating and progression systems: (a) external tennis rating algorithms used for competitive placement and college recruiting, (b) progression models from adjacent disciplines that have solved the motivation-measurement tension, and (c) long-term athlete development frameworks that govern how movement from stage to stage should be structured. The goal is to extract design principles for an internal LBTA progression system that works for a mixed recreational-competitive population of approximately 340 players aged 3 through adult.</w:t>
      </w:r>
    </w:p>
    <w:p>
      <w:pPr>
        <w:pStyle w:val="Heading2"/>
        <w:spacing w:before="280" w:after="160"/>
      </w:pPr>
      <w:r>
        <w:rPr>
          <w:rFonts w:ascii="Arial" w:cs="Arial" w:eastAsia="Arial" w:hAnsi="Arial"/>
          <w:b/>
          <w:bCs/>
          <w:color w:val="1B2A4A"/>
          <w:sz w:val="26"/>
          <w:szCs w:val="26"/>
        </w:rPr>
        <w:t xml:space="preserve">1.1 Universal Tennis Rating (UTR)</w:t>
      </w:r>
    </w:p>
    <w:p>
      <w:pPr>
        <w:spacing w:after="160" w:line="276"/>
      </w:pPr>
      <w:r>
        <w:rPr>
          <w:rFonts w:ascii="Arial" w:cs="Arial" w:eastAsia="Arial" w:hAnsi="Arial"/>
          <w:color w:val="2C2C2C"/>
          <w:sz w:val="20"/>
          <w:szCs w:val="20"/>
        </w:rPr>
        <w:t xml:space="preserve">UTR is the most relevant external rating for LBTA’s competitive players and the primary currency for college recruiting. Created by Dave Howell in Virginia in 2008 and modeled on the French national rating system, UTR now covers 800,000+ players across 200+ countries with 8 million+ match records. The scale runs from 1.00 to 16.50 and is age-agnostic, gender-agnostic, and nationality-agnostic, meaning a 7.00 UTR represents the same playing level regardless of the player’s demographics.</w:t>
      </w:r>
    </w:p>
    <w:p>
      <w:pPr>
        <w:spacing w:before="200" w:after="120"/>
      </w:pPr>
      <w:r>
        <w:rPr>
          <w:rFonts w:ascii="Arial" w:cs="Arial" w:eastAsia="Arial" w:hAnsi="Arial"/>
          <w:b/>
          <w:bCs/>
          <w:color w:val="C9A96E"/>
          <w:sz w:val="22"/>
          <w:szCs w:val="22"/>
        </w:rPr>
        <w:t xml:space="preserve">Algorithm Mechanics</w:t>
      </w:r>
    </w:p>
    <w:p>
      <w:pPr>
        <w:spacing w:after="160" w:line="276"/>
      </w:pPr>
      <w:r>
        <w:rPr>
          <w:rFonts w:ascii="Arial" w:cs="Arial" w:eastAsia="Arial" w:hAnsi="Arial"/>
          <w:color w:val="2C2C2C"/>
          <w:sz w:val="20"/>
          <w:szCs w:val="20"/>
        </w:rPr>
        <w:t xml:space="preserve">UTR calculates a weighted average of up to 30 most recent eligible matches within a rolling 12-month window. Each match generates a “match rating” based on two inputs: the opponent’s UTR and the competitiveness of the result (percentage of games won, not merely the binary win/loss outcome). This competitiveness factor is the key insight—a player who loses a tight three-set match to a higher-rated opponent earns a higher match rating than someone who wins a lopsided match against a significantly weaker opponent.</w:t>
      </w:r>
    </w:p>
    <w:p>
      <w:pPr>
        <w:spacing w:after="160" w:line="276"/>
      </w:pPr>
      <w:r>
        <w:rPr>
          <w:rFonts w:ascii="Arial" w:cs="Arial" w:eastAsia="Arial" w:hAnsi="Arial"/>
          <w:color w:val="2C2C2C"/>
          <w:sz w:val="20"/>
          <w:szCs w:val="20"/>
        </w:rPr>
        <w:t xml:space="preserve">Match weights are determined by four factors: format (best-of-three sets weighted more heavily than 8-game pro sets or tiebreak formats), competitiveness (matches between players with closer UTRs carry more weight), reliability (opponent’s UTR stability—established ratings are more reliable anchors), and time degradation (recent matches weighted more heavily than older ones, with continuous decay rather than a cliff). Matches where the UTR difference exceeds 2.00 and the higher-rated player wins as expected may be excluded from the higher-rated player’s calculation to prevent rating inflation. Retirements before 4 games are won are excluded entirely.</w:t>
      </w:r>
    </w:p>
    <w:p>
      <w:pPr>
        <w:spacing w:before="200" w:after="120"/>
      </w:pPr>
      <w:r>
        <w:rPr>
          <w:rFonts w:ascii="Arial" w:cs="Arial" w:eastAsia="Arial" w:hAnsi="Arial"/>
          <w:b/>
          <w:bCs/>
          <w:color w:val="C9A96E"/>
          <w:sz w:val="22"/>
          <w:szCs w:val="22"/>
        </w:rPr>
        <w:t xml:space="preserve">Verified vs. Unverified</w:t>
      </w:r>
    </w:p>
    <w:p>
      <w:pPr>
        <w:spacing w:after="160" w:line="276"/>
      </w:pPr>
      <w:r>
        <w:rPr>
          <w:rFonts w:ascii="Arial" w:cs="Arial" w:eastAsia="Arial" w:hAnsi="Arial"/>
          <w:color w:val="2C2C2C"/>
          <w:sz w:val="20"/>
          <w:szCs w:val="20"/>
        </w:rPr>
        <w:t xml:space="preserve">UTR distinguishes between Verified UTR (calculated from USTA-sanctioned tournaments, college matches, and UTR-sanctioned events where results are reported by organizers) and unverified UTR Rating (which also includes self-posted casual match results). For college recruiting, only Verified UTR matters. LBTA’s UTR Circuit proposal and JTT match reporting both feed into this verified ecosystem. Ratings recalibrate nightly, and a player’s rating can fluctuate even without playing new matches due to time degradation and changes in opponents’ ratings. Approximately 5 matches are needed for a fully reliable rating; a single match produces only a projected UTR.</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b w:val="false"/>
          <w:bCs w:val="false"/>
          <w:i w:val="false"/>
          <w:iCs w:val="false"/>
          <w:color w:val="2C2C2C"/>
          <w:sz w:val="20"/>
          <w:szCs w:val="20"/>
        </w:rPr>
        <w:t xml:space="preserve">UTR’s competitiveness-weighted approach validates a core principle for LBTA’s internal system: </w:t>
      </w:r>
      <w:r>
        <w:rPr>
          <w:rFonts w:ascii="Arial" w:cs="Arial" w:eastAsia="Arial" w:hAnsi="Arial"/>
          <w:b/>
          <w:bCs/>
          <w:i w:val="false"/>
          <w:iCs w:val="false"/>
          <w:color w:val="2C2C2C"/>
          <w:sz w:val="20"/>
          <w:szCs w:val="20"/>
        </w:rPr>
        <w:t xml:space="preserve">measure how players compete, not just whether they win.</w:t>
      </w:r>
      <w:r>
        <w:rPr>
          <w:rFonts w:ascii="Arial" w:cs="Arial" w:eastAsia="Arial" w:hAnsi="Arial"/>
          <w:b w:val="false"/>
          <w:bCs w:val="false"/>
          <w:i w:val="false"/>
          <w:iCs w:val="false"/>
          <w:color w:val="2C2C2C"/>
          <w:sz w:val="20"/>
          <w:szCs w:val="20"/>
        </w:rPr>
        <w:t xml:space="preserve"> This means LBTA’s internal progression should reward quality of effort (rally length, point construction, tactical execution) alongside match outcomes. UTR’s 12-month rolling window with time decay also suggests that progression milestones should reflect recent performance trends, not static snapshots.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1.2 World Tennis Number (WTN)</w:t>
      </w:r>
    </w:p>
    <w:p>
      <w:pPr>
        <w:spacing w:after="160" w:line="276"/>
      </w:pPr>
      <w:r>
        <w:rPr>
          <w:rFonts w:ascii="Arial" w:cs="Arial" w:eastAsia="Arial" w:hAnsi="Arial"/>
          <w:color w:val="2C2C2C"/>
          <w:sz w:val="20"/>
          <w:szCs w:val="20"/>
        </w:rPr>
        <w:t xml:space="preserve">The ITF’s World Tennis Number is the emerging global standard for recreational and developmental tennis. It uses a 40-to-1 scale (40 = complete beginner, 1 = elite professional), is age/gender-agnostic, and employs Glicko-2 methodology—a significant algorithmic difference from UTR’s weighted average approach.</w:t>
      </w:r>
    </w:p>
    <w:p>
      <w:pPr>
        <w:spacing w:before="200" w:after="120"/>
      </w:pPr>
      <w:r>
        <w:rPr>
          <w:rFonts w:ascii="Arial" w:cs="Arial" w:eastAsia="Arial" w:hAnsi="Arial"/>
          <w:b/>
          <w:bCs/>
          <w:color w:val="C9A96E"/>
          <w:sz w:val="22"/>
          <w:szCs w:val="22"/>
        </w:rPr>
        <w:t xml:space="preserve">Glicko-2 Methodology</w:t>
      </w:r>
    </w:p>
    <w:p>
      <w:pPr>
        <w:spacing w:after="160" w:line="276"/>
      </w:pPr>
      <w:r>
        <w:rPr>
          <w:rFonts w:ascii="Arial" w:cs="Arial" w:eastAsia="Arial" w:hAnsi="Arial"/>
          <w:color w:val="2C2C2C"/>
          <w:sz w:val="20"/>
          <w:szCs w:val="20"/>
        </w:rPr>
        <w:t xml:space="preserve">Glicko-2, developed by Mark Glickman at Harvard, extends the original Elo rating system with two additional parameters: rating deviation (how uncertain the system is about a player’s true level) and rating volatility (how much a player’s rating is expected to fluctuate). WTN processes each set as an independent result rather than treating the match as a single outcome, generating more data points per competitive encounter. Pre-match ratings project an expected outcome; the difference between expected and actual performance determines the magnitude and direction of rating change.</w:t>
      </w:r>
    </w:p>
    <w:p>
      <w:pPr>
        <w:spacing w:after="160" w:line="276"/>
      </w:pPr>
      <w:r>
        <w:rPr>
          <w:rFonts w:ascii="Arial" w:cs="Arial" w:eastAsia="Arial" w:hAnsi="Arial"/>
          <w:color w:val="2C2C2C"/>
          <w:sz w:val="20"/>
          <w:szCs w:val="20"/>
        </w:rPr>
        <w:t xml:space="preserve">WTN’s confidence level is derived from rating deviation: more matches with consistent results yield higher confidence. The threshold for a “verified” WTN is 15 completed sets across 5 consecutive weeks, and playing at least every 2 weeks maintains confidence level. The system identifies a player’s “Game zONe”—the rating range where match win probability falls between 35% and 65%—as the ideal competitive band for development. WTN updates weekly, with an average improvement rate of 0.27 WTN points for actively improving players. It supports separate singles and doubles ratings.</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b w:val="false"/>
          <w:bCs w:val="false"/>
          <w:i w:val="false"/>
          <w:iCs w:val="false"/>
          <w:color w:val="2C2C2C"/>
          <w:sz w:val="20"/>
          <w:szCs w:val="20"/>
        </w:rPr>
        <w:t xml:space="preserve">WTN’s Game zONe concept is directly applicable to LBTA’s match play groupings. Rather than grouping by age or self-reported level, the academy can use internal match results to identify optimal competitive bands. WTN’s set-level analysis also suggests that </w:t>
      </w:r>
      <w:r>
        <w:rPr>
          <w:rFonts w:ascii="Arial" w:cs="Arial" w:eastAsia="Arial" w:hAnsi="Arial"/>
          <w:b/>
          <w:bCs/>
          <w:i w:val="false"/>
          <w:iCs w:val="false"/>
          <w:color w:val="2C2C2C"/>
          <w:sz w:val="20"/>
          <w:szCs w:val="20"/>
        </w:rPr>
        <w:t xml:space="preserve">LBTA should track set-level and even game-level trends</w:t>
      </w:r>
      <w:r>
        <w:rPr>
          <w:rFonts w:ascii="Arial" w:cs="Arial" w:eastAsia="Arial" w:hAnsi="Arial"/>
          <w:b w:val="false"/>
          <w:bCs w:val="false"/>
          <w:i w:val="false"/>
          <w:iCs w:val="false"/>
          <w:color w:val="2C2C2C"/>
          <w:sz w:val="20"/>
          <w:szCs w:val="20"/>
        </w:rPr>
        <w:t xml:space="preserve"> during match play sessions, not just match wins/losses. The confidence level concept supports the idea that progression decisions should account for sample size—a player with 2 strong matches shouldn’t advance as quickly as one with 15 consistently strong results.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1.3 NTRP (National Tennis Rating Program)</w:t>
      </w:r>
    </w:p>
    <w:p>
      <w:pPr>
        <w:spacing w:after="160" w:line="276"/>
      </w:pPr>
      <w:r>
        <w:rPr>
          <w:rFonts w:ascii="Arial" w:cs="Arial" w:eastAsia="Arial" w:hAnsi="Arial"/>
          <w:color w:val="2C2C2C"/>
          <w:sz w:val="20"/>
          <w:szCs w:val="20"/>
        </w:rPr>
        <w:t xml:space="preserve">USTA’s NTRP system uses a 1.5-to-7.0 scale in 0.5 increments for adults (2.0-7.0 with 0.1 increments for juniors). Operational since 1978, it is the backbone of USTA League play across six age divisions. Dynamic ratings are calculated daily to hundredths (e.g., 3.01–3.50 = 3.5 NTRP level) using a proprietary algorithm that compares actual match scores to predicted outcomes. However, static year-end ratings are published only once annually in December, creating a fundamental tension between the precision of the underlying algorithm and the bluntness of the published result.</w:t>
      </w:r>
    </w:p>
    <w:p>
      <w:pPr>
        <w:spacing w:after="160" w:line="276"/>
      </w:pPr>
      <w:r>
        <w:rPr>
          <w:rFonts w:ascii="Arial" w:cs="Arial" w:eastAsia="Arial" w:hAnsi="Arial"/>
          <w:color w:val="2C2C2C"/>
          <w:sz w:val="20"/>
          <w:szCs w:val="20"/>
        </w:rPr>
        <w:t xml:space="preserve">For LBTA’s adult programs, NTRP remains the primary self-identification language—a new student says “I’m a 3.5” far more often than quoting their UTR. The system’s weakness is precisely this static, infrequent update cycle. Adult ratings are also intentionally gender-separated (a 4.0 woman is approximately equivalent to a 3.5 man), while junior ratings are gender-neutral.</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color w:val="2C2C2C"/>
          <w:sz w:val="20"/>
          <w:szCs w:val="20"/>
        </w:rPr>
        <w:t xml:space="preserve">NTRP’s persistence as a lingua franca means LBTA’s internal system must provide clear mapping to NTRP levels for adult players, even if the internal system captures finer-grained data. The dynamic disqualification mechanism (3 strikes for exceeding a threshold) also illustrates why any progression system needs clearly communicated criteria and fair appeal processes.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1.4 Progression Models: Martial Arts Belt Systems</w:t>
      </w:r>
    </w:p>
    <w:p>
      <w:pPr>
        <w:spacing w:after="160" w:line="276"/>
      </w:pPr>
      <w:r>
        <w:rPr>
          <w:rFonts w:ascii="Arial" w:cs="Arial" w:eastAsia="Arial" w:hAnsi="Arial"/>
          <w:color w:val="2C2C2C"/>
          <w:sz w:val="20"/>
          <w:szCs w:val="20"/>
        </w:rPr>
        <w:t xml:space="preserve">The martial arts belt system, originated by Jigoro Kano in late 19th-century Japan for Judo, remains the most psychologically effective visible progression framework in sport. Its enduring power comes from three design principles that transcend the specific domain.</w:t>
      </w:r>
    </w:p>
    <w:p>
      <w:pPr>
        <w:spacing w:before="200" w:after="120"/>
      </w:pPr>
      <w:r>
        <w:rPr>
          <w:rFonts w:ascii="Arial" w:cs="Arial" w:eastAsia="Arial" w:hAnsi="Arial"/>
          <w:b/>
          <w:bCs/>
          <w:color w:val="C9A96E"/>
          <w:sz w:val="22"/>
          <w:szCs w:val="22"/>
        </w:rPr>
        <w:t xml:space="preserve">Principle 1: Visual Roadmap</w:t>
      </w:r>
    </w:p>
    <w:p>
      <w:pPr>
        <w:spacing w:after="160" w:line="276"/>
      </w:pPr>
      <w:r>
        <w:rPr>
          <w:rFonts w:ascii="Arial" w:cs="Arial" w:eastAsia="Arial" w:hAnsi="Arial"/>
          <w:color w:val="2C2C2C"/>
          <w:sz w:val="20"/>
          <w:szCs w:val="20"/>
        </w:rPr>
        <w:t xml:space="preserve">The belt transforms an abstract, years-long journey into a sequence of concrete, achievable milestones. Each color carries symbolic narrative—white represents a blank slate (the seed planted), yellow signals first understanding (sunlight reaching the seed), green marks sustained growth, blue and purple indicate expanding mastery, brown represents advanced capability approaching expertise, and black signals not the end of learning but its true beginning. This narrative arc gives meaning to the daily grind of training.</w:t>
      </w:r>
    </w:p>
    <w:p>
      <w:pPr>
        <w:spacing w:before="200" w:after="120"/>
      </w:pPr>
      <w:r>
        <w:rPr>
          <w:rFonts w:ascii="Arial" w:cs="Arial" w:eastAsia="Arial" w:hAnsi="Arial"/>
          <w:b/>
          <w:bCs/>
          <w:color w:val="C9A96E"/>
          <w:sz w:val="22"/>
          <w:szCs w:val="22"/>
        </w:rPr>
        <w:t xml:space="preserve">Principle 2: Multi-Dimensional Evaluation</w:t>
      </w:r>
    </w:p>
    <w:p>
      <w:pPr>
        <w:spacing w:after="160" w:line="276"/>
      </w:pPr>
      <w:r>
        <w:rPr>
          <w:rFonts w:ascii="Arial" w:cs="Arial" w:eastAsia="Arial" w:hAnsi="Arial"/>
          <w:color w:val="2C2C2C"/>
          <w:sz w:val="20"/>
          <w:szCs w:val="20"/>
        </w:rPr>
        <w:t xml:space="preserve">Unlike tennis rating systems that reduce a player to a single number, belt promotions evaluate across four to five dimensions: technical skill, physical ability, mental/emotional development, character (discipline, respect, perseverance), and time invested on the mat. This multi-dimensional approach means a technically gifted but undisciplined student cannot advance purely on talent, and a disciplined but technically limited student receives recognition for their commitment. The stripe system adds micro-milestones between belt changes, addressing the motivation gap in longer promotion cycles.</w:t>
      </w:r>
    </w:p>
    <w:p>
      <w:pPr>
        <w:spacing w:before="200" w:after="120"/>
      </w:pPr>
      <w:r>
        <w:rPr>
          <w:rFonts w:ascii="Arial" w:cs="Arial" w:eastAsia="Arial" w:hAnsi="Arial"/>
          <w:b/>
          <w:bCs/>
          <w:color w:val="C9A96E"/>
          <w:sz w:val="22"/>
          <w:szCs w:val="22"/>
        </w:rPr>
        <w:t xml:space="preserve">Principle 3: Age-Appropriate Cadence</w:t>
      </w:r>
    </w:p>
    <w:p>
      <w:pPr>
        <w:spacing w:after="160" w:line="276"/>
      </w:pPr>
      <w:r>
        <w:rPr>
          <w:rFonts w:ascii="Arial" w:cs="Arial" w:eastAsia="Arial" w:hAnsi="Arial"/>
          <w:color w:val="2C2C2C"/>
          <w:sz w:val="20"/>
          <w:szCs w:val="20"/>
        </w:rPr>
        <w:t xml:space="preserve">Youth martial arts systems use more frequent promotions (every few months vs. years for adults) and additional intermediate belt colors. Brazilian Jiu-Jitsu provides the clearest example: the youth system includes 13 belts for ages 4–15 (gray, yellow, orange, green, each with four stripe increments), transitioning to the adult system at age 16. Black belt timelines range from 3–5 years in some disciplines to 10–15 years in BJJ, establishing that the most respected achievements require sustained commitment, not accelerated progress.</w:t>
      </w:r>
    </w:p>
    <w:p>
      <w:pPr>
        <w:spacing w:before="200" w:after="120"/>
      </w:pPr>
      <w:r>
        <w:rPr>
          <w:rFonts w:ascii="Arial" w:cs="Arial" w:eastAsia="Arial" w:hAnsi="Arial"/>
          <w:b/>
          <w:bCs/>
          <w:color w:val="C9A96E"/>
          <w:sz w:val="22"/>
          <w:szCs w:val="22"/>
        </w:rPr>
        <w:t xml:space="preserve">The “McDojo” Warning</w:t>
      </w:r>
    </w:p>
    <w:p>
      <w:pPr>
        <w:spacing w:after="160" w:line="276"/>
      </w:pPr>
      <w:r>
        <w:rPr>
          <w:rFonts w:ascii="Arial" w:cs="Arial" w:eastAsia="Arial" w:hAnsi="Arial"/>
          <w:b w:val="false"/>
          <w:bCs w:val="false"/>
          <w:i w:val="false"/>
          <w:iCs w:val="false"/>
          <w:color w:val="2C2C2C"/>
          <w:sz w:val="20"/>
          <w:szCs w:val="20"/>
        </w:rPr>
        <w:t xml:space="preserve">The critical pitfall is the “belt factory” that promotes on a fixed schedule regardless of mastery, devaluing the entire system. </w:t>
      </w:r>
      <w:r>
        <w:rPr>
          <w:rFonts w:ascii="Arial" w:cs="Arial" w:eastAsia="Arial" w:hAnsi="Arial"/>
          <w:b/>
          <w:bCs/>
          <w:i w:val="false"/>
          <w:iCs w:val="false"/>
          <w:color w:val="2C2C2C"/>
          <w:sz w:val="20"/>
          <w:szCs w:val="20"/>
        </w:rPr>
        <w:t xml:space="preserve">Every progression system must maintain the tension between accessibility and meaning.</w:t>
      </w:r>
      <w:r>
        <w:rPr>
          <w:rFonts w:ascii="Arial" w:cs="Arial" w:eastAsia="Arial" w:hAnsi="Arial"/>
          <w:b w:val="false"/>
          <w:bCs w:val="false"/>
          <w:i w:val="false"/>
          <w:iCs w:val="false"/>
          <w:color w:val="2C2C2C"/>
          <w:sz w:val="20"/>
          <w:szCs w:val="20"/>
        </w:rPr>
        <w:t xml:space="preserve"> If advancement comes too easily, it carries no weight. If it comes too slowly or opaquely, it drives disengagement. The design challenge for LBTA is calibrating this tension for a population that ranges from casual recreational players who need frequent positive reinforcement to competitive juniors who need genuine standards.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1.5 Progression Models: Swimming Development</w:t>
      </w:r>
    </w:p>
    <w:p>
      <w:pPr>
        <w:spacing w:after="160" w:line="276"/>
      </w:pPr>
      <w:r>
        <w:rPr>
          <w:rFonts w:ascii="Arial" w:cs="Arial" w:eastAsia="Arial" w:hAnsi="Arial"/>
          <w:color w:val="2C2C2C"/>
          <w:sz w:val="20"/>
          <w:szCs w:val="20"/>
        </w:rPr>
        <w:t xml:space="preserve">USA Swimming’s American Development Model uses six progressive levels organized around sport-specific skills, health and fitness, and healthy training habits. Learn-to-Swim programs typically implement 7 progressive stages with formal badge and certificate recognition at each transition. The model’s strength is its clarity: specific, observable skills (front float for 10 seconds, side breathing for 25 meters) serve as binary gate criteria with no ambiguity about whether a swimmer has achieved a level.</w:t>
      </w:r>
    </w:p>
    <w:p>
      <w:pPr>
        <w:spacing w:after="160" w:line="276"/>
      </w:pPr>
      <w:r>
        <w:rPr>
          <w:rFonts w:ascii="Arial" w:cs="Arial" w:eastAsia="Arial" w:hAnsi="Arial"/>
          <w:color w:val="2C2C2C"/>
          <w:sz w:val="20"/>
          <w:szCs w:val="20"/>
        </w:rPr>
        <w:t xml:space="preserve">Swimming’s approach to parent education is also instructive. Progression information is communicated as safety milestones (a child who can float independently is measurably safer in water), which reframes skill development as a parental responsibility rather than mere competitive aspiration. This safety narrative creates urgency and engagement that pure performance framing cannot match.</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color w:val="2C2C2C"/>
          <w:sz w:val="20"/>
          <w:szCs w:val="20"/>
        </w:rPr>
        <w:t xml:space="preserve">LBTA’s early-stage progression (Red, Orange, Green ball stages) already functions like swimming’s level system—observable equipment changes signal development. The opportunity is to extend this clarity into the Yellow ball stages where progression becomes invisible and parent/player anxiety about “where am I?” intensifies. Binary gate criteria (specific observable skills, not subjective coach opinion) at transition points would provide the same clarity swimming achieves.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1.6 Long-Term Athlete Development (LTAD)</w:t>
      </w:r>
    </w:p>
    <w:p>
      <w:pPr>
        <w:spacing w:after="160" w:line="276"/>
      </w:pPr>
      <w:r>
        <w:rPr>
          <w:rFonts w:ascii="Arial" w:cs="Arial" w:eastAsia="Arial" w:hAnsi="Arial"/>
          <w:color w:val="2C2C2C"/>
          <w:sz w:val="20"/>
          <w:szCs w:val="20"/>
        </w:rPr>
        <w:t xml:space="preserve">Istvan Balyi’s LTAD framework, developed in Canada in the early 2000s, defines seven developmental stages from Active Start (ages 0–6) through Training to Win (18+) and Active for Life (any age). The framework’s core contribution is the concept of “windows of opportunity”—sensitive developmental periods where specific physical qualities (speed, stamina, strength, suppleness, skill) are most trainable. USTA’s Tennis American Development Model adapts this into a Discover → Develop → Play philosophy emphasizing multi-sport participation before specialization.</w:t>
      </w:r>
    </w:p>
    <w:p>
      <w:pPr>
        <w:spacing w:before="200" w:after="120"/>
      </w:pPr>
      <w:r>
        <w:rPr>
          <w:rFonts w:ascii="Arial" w:cs="Arial" w:eastAsia="Arial" w:hAnsi="Arial"/>
          <w:b/>
          <w:bCs/>
          <w:color w:val="C9A96E"/>
          <w:sz w:val="22"/>
          <w:szCs w:val="22"/>
        </w:rPr>
        <w:t xml:space="preserve">Evidence Base and Limitations</w:t>
      </w:r>
    </w:p>
    <w:p>
      <w:pPr>
        <w:spacing w:after="160" w:line="276"/>
      </w:pPr>
      <w:r>
        <w:rPr>
          <w:rFonts w:ascii="Arial" w:cs="Arial" w:eastAsia="Arial" w:hAnsi="Arial"/>
          <w:color w:val="2C2C2C"/>
          <w:sz w:val="20"/>
          <w:szCs w:val="20"/>
        </w:rPr>
        <w:t xml:space="preserve">LTAD’s empirical validation is limited. The framework is primarily theoretical, with some evidence supporting physical literacy and fundamental motor skills development but weak evidence for the “windows of opportunity” as strict biological constraints. Critics note the framework is one-dimensional (primarily physiological), overly prescriptive when applied rigidly, and at odds with the competition-focused culture that many families and clubs operate in. Implementation challenges include governance priorities focused on winning, resource constraints, early specialization pressure from parents, and staff communication gaps.</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b w:val="false"/>
          <w:bCs w:val="false"/>
          <w:i w:val="false"/>
          <w:iCs w:val="false"/>
          <w:color w:val="2C2C2C"/>
          <w:sz w:val="20"/>
          <w:szCs w:val="20"/>
        </w:rPr>
        <w:t xml:space="preserve">LTAD’s value for LBTA is as a communication framework, not a rigid developmental mandate. The stages provide language for parent education (“your child is in the Learning to Train phase, where the priority is movement vocabulary, not match results”). The </w:t>
      </w:r>
      <w:r>
        <w:rPr>
          <w:rFonts w:ascii="Arial" w:cs="Arial" w:eastAsia="Arial" w:hAnsi="Arial"/>
          <w:b/>
          <w:bCs/>
          <w:i w:val="false"/>
          <w:iCs w:val="false"/>
          <w:color w:val="2C2C2C"/>
          <w:sz w:val="20"/>
          <w:szCs w:val="20"/>
        </w:rPr>
        <w:t xml:space="preserve">framework should inform program design and coaching emphasis without becoming a straitjacket</w:t>
      </w:r>
      <w:r>
        <w:rPr>
          <w:rFonts w:ascii="Arial" w:cs="Arial" w:eastAsia="Arial" w:hAnsi="Arial"/>
          <w:b w:val="false"/>
          <w:bCs w:val="false"/>
          <w:i w:val="false"/>
          <w:iCs w:val="false"/>
          <w:color w:val="2C2C2C"/>
          <w:sz w:val="20"/>
          <w:szCs w:val="20"/>
        </w:rPr>
        <w:t xml:space="preserve"> that prevents individual adaptation. LBTA’s ball color progression already maps loosely to LTAD stages: Red/Orange = FUNdamentals, Green = Learning to Train, Yellow = Training to Train/Compete. Formalizing this mapping provides evidence-backed justification for coaching decisions.</w:t>
      </w:r>
    </w:p>
    <w:p>
      <w:pPr>
        <w:pBdr>
          <w:bottom w:val="single" w:color="C9A96E" w:sz="6" w:space="1"/>
        </w:pBdr>
        <w:spacing w:before="200" w:after="200"/>
      </w:pPr>
    </w:p>
    <w:p>
      <w:pPr>
        <w:pStyle w:val="Heading2"/>
        <w:spacing w:before="280" w:after="160"/>
      </w:pPr>
      <w:r>
        <w:rPr>
          <w:rFonts w:ascii="Arial" w:cs="Arial" w:eastAsia="Arial" w:hAnsi="Arial"/>
          <w:b/>
          <w:bCs/>
          <w:color w:val="1B2A4A"/>
          <w:sz w:val="26"/>
          <w:szCs w:val="26"/>
        </w:rPr>
        <w:t xml:space="preserve">1.7 USTA Ball Progression &amp; PlayTracker</w:t>
      </w:r>
    </w:p>
    <w:p>
      <w:pPr>
        <w:spacing w:after="160" w:line="276"/>
      </w:pPr>
      <w:r>
        <w:rPr>
          <w:rFonts w:ascii="Arial" w:cs="Arial" w:eastAsia="Arial" w:hAnsi="Arial"/>
          <w:color w:val="2C2C2C"/>
          <w:sz w:val="20"/>
          <w:szCs w:val="20"/>
        </w:rPr>
        <w:t xml:space="preserve">The USTA’s ball progression system (Red → Orange → Green → Yellow) already provides LBTA’s foundational progression for players under 11. Red ball (ages 5–7) uses a 36-foot court, Orange (ages 7–9) a 60-foot court, Green (ages 9–11) a 78-foot court with reduced-compression balls, and Yellow (ages 11+) the full game. The PlayTracker system tracks under-11 players through Play Points (participation) and Win Points (match wins), with the critical Green-to-Yellow threshold set at 1,500 total points including 1,000+ Win Points for 10U early advancement.</w:t>
      </w:r>
    </w:p>
    <w:p>
      <w:pPr>
        <w:spacing w:after="160" w:line="276"/>
      </w:pPr>
      <w:r>
        <w:rPr>
          <w:rFonts w:ascii="Arial" w:cs="Arial" w:eastAsia="Arial" w:hAnsi="Arial"/>
          <w:color w:val="2C2C2C"/>
          <w:sz w:val="20"/>
          <w:szCs w:val="20"/>
        </w:rPr>
        <w:t xml:space="preserve">Southern California specifically uses World Tennis Number for JTT groupings and seeding at tournament Levels 3–5, replacing the former JNTRP system. The tournament pathway runs from Level 7 (entry) through Level 1 (national), with the governing principle being “readiness before status”—technical, physical, and emotional development must align with the competitive environment before a player advances.</w:t>
      </w:r>
    </w:p>
    <w:p>
      <w:pPr>
        <w:spacing w:before="200" w:after="120"/>
      </w:pPr>
      <w:r>
        <w:rPr>
          <w:rFonts w:ascii="Arial" w:cs="Arial" w:eastAsia="Arial" w:hAnsi="Arial"/>
          <w:b/>
          <w:bCs/>
          <w:color w:val="C9A96E"/>
          <w:sz w:val="22"/>
          <w:szCs w:val="22"/>
        </w:rPr>
        <w:t xml:space="preserve">LBTA Design Implication</w:t>
      </w:r>
    </w:p>
    <w:p>
      <w:pPr>
        <w:spacing w:after="160" w:line="276"/>
      </w:pPr>
      <w:r>
        <w:rPr>
          <w:rFonts w:ascii="Arial" w:cs="Arial" w:eastAsia="Arial" w:hAnsi="Arial"/>
          <w:color w:val="2C2C2C"/>
          <w:sz w:val="20"/>
          <w:szCs w:val="20"/>
        </w:rPr>
        <w:t xml:space="preserve">LBTA’s progression system must respect and integrate with these external systems rather than competing with them. The ball color transitions are already mandated by age and development. The gap LBTA can fill is within each ball color stage—providing the granular progression visibility that neither USTA’s coarse categories nor UTR’s single number delivers. This is where an internal “Skill Compass” (Domain 2) intersects with progression milestones (this domain).</w:t>
      </w:r>
    </w:p>
    <w:p>
      <w:r>
        <w:br w:type="page"/>
      </w:r>
    </w:p>
    <w:p>
      <w:pPr>
        <w:pStyle w:val="Heading1"/>
        <w:spacing w:before="360" w:after="200"/>
      </w:pPr>
      <w:r>
        <w:rPr>
          <w:rFonts w:ascii="Arial" w:cs="Arial" w:eastAsia="Arial" w:hAnsi="Arial"/>
          <w:b/>
          <w:bCs/>
          <w:color w:val="1B2A4A"/>
          <w:sz w:val="32"/>
          <w:szCs w:val="32"/>
        </w:rPr>
        <w:t xml:space="preserve">2. Design Recommendations</w:t>
      </w:r>
    </w:p>
    <w:p>
      <w:pPr>
        <w:spacing w:after="160" w:line="276"/>
      </w:pPr>
      <w:r>
        <w:rPr>
          <w:rFonts w:ascii="Arial" w:cs="Arial" w:eastAsia="Arial" w:hAnsi="Arial"/>
          <w:color w:val="2C2C2C"/>
          <w:sz w:val="20"/>
          <w:szCs w:val="20"/>
        </w:rPr>
        <w:t xml:space="preserve">The following recommendations synthesize research across all three categories into a unified progression architecture for LBTA. The system must serve three distinct populations simultaneously: recreational players (majority of the 340-student base), competitive juniors (JTT teams, tournament players), and adult players (NTRP-oriented, social/fitness-driven).</w:t>
      </w:r>
    </w:p>
    <w:p>
      <w:pPr>
        <w:pStyle w:val="Heading2"/>
        <w:spacing w:before="280" w:after="160"/>
      </w:pPr>
      <w:r>
        <w:rPr>
          <w:rFonts w:ascii="Arial" w:cs="Arial" w:eastAsia="Arial" w:hAnsi="Arial"/>
          <w:b/>
          <w:bCs/>
          <w:color w:val="1B2A4A"/>
          <w:sz w:val="26"/>
          <w:szCs w:val="26"/>
        </w:rPr>
        <w:t xml:space="preserve">2.1 The LBTA Journey Framework</w:t>
      </w:r>
    </w:p>
    <w:p>
      <w:pPr>
        <w:spacing w:after="160" w:line="276"/>
      </w:pPr>
      <w:r>
        <w:rPr>
          <w:rFonts w:ascii="Arial" w:cs="Arial" w:eastAsia="Arial" w:hAnsi="Arial"/>
          <w:b w:val="false"/>
          <w:bCs w:val="false"/>
          <w:i w:val="false"/>
          <w:iCs w:val="false"/>
          <w:color w:val="2C2C2C"/>
          <w:sz w:val="20"/>
          <w:szCs w:val="20"/>
        </w:rPr>
        <w:t xml:space="preserve">Rather than belts, levels, or numbers—which carry competitive connotations and invite comparison—LBTA’s internal progression should use </w:t>
      </w:r>
      <w:r>
        <w:rPr>
          <w:rFonts w:ascii="Arial" w:cs="Arial" w:eastAsia="Arial" w:hAnsi="Arial"/>
          <w:b/>
          <w:bCs/>
          <w:i w:val="false"/>
          <w:iCs w:val="false"/>
          <w:color w:val="2C2C2C"/>
          <w:sz w:val="20"/>
          <w:szCs w:val="20"/>
        </w:rPr>
        <w:t xml:space="preserve">journey language</w:t>
      </w:r>
      <w:r>
        <w:rPr>
          <w:rFonts w:ascii="Arial" w:cs="Arial" w:eastAsia="Arial" w:hAnsi="Arial"/>
          <w:b w:val="false"/>
          <w:bCs w:val="false"/>
          <w:i w:val="false"/>
          <w:iCs w:val="false"/>
          <w:color w:val="2C2C2C"/>
          <w:sz w:val="20"/>
          <w:szCs w:val="20"/>
        </w:rPr>
        <w:t xml:space="preserve"> consistent with the Aman brand positioning. The framework is called the </w:t>
      </w:r>
      <w:r>
        <w:rPr>
          <w:rFonts w:ascii="Arial" w:cs="Arial" w:eastAsia="Arial" w:hAnsi="Arial"/>
          <w:b/>
          <w:bCs/>
          <w:i w:val="false"/>
          <w:iCs w:val="false"/>
          <w:color w:val="2C2C2C"/>
          <w:sz w:val="20"/>
          <w:szCs w:val="20"/>
        </w:rPr>
        <w:t xml:space="preserve">LBTA Player Journey</w:t>
      </w:r>
      <w:r>
        <w:rPr>
          <w:rFonts w:ascii="Arial" w:cs="Arial" w:eastAsia="Arial" w:hAnsi="Arial"/>
          <w:b w:val="false"/>
          <w:bCs w:val="false"/>
          <w:i w:val="false"/>
          <w:iCs w:val="false"/>
          <w:color w:val="2C2C2C"/>
          <w:sz w:val="20"/>
          <w:szCs w:val="20"/>
        </w:rPr>
        <w:t xml:space="preserve"> and uses five stages that map to developmental reality, external rating systems, and 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200"/>
        <w:gridCol w:w="2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Journey Stage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Ball / 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External Map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Core Focus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Recognition</w:t>
            </w:r>
          </w:p>
        </w:tc>
      </w:tr>
      <w:tr>
        <w:tc>
          <w:tcPr>
            <w:tcW w:type="dxa" w:w="1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Discovery</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Red / 3–7</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PlayTracker Pts</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Movement joy, basic coordination, court familiarity</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Seasonal certificates, sticker milestones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Orange / 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PlayTracker, WTN (emerging)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Stroke fundamentals, rally ability, game understanding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progress portraits</w:t>
            </w:r>
          </w:p>
        </w:tc>
      </w:tr>
      <w:tr>
        <w:tc>
          <w:tcPr>
            <w:tcW w:type="dxa" w:w="1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Development</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Green / 9–11</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WTN, emerging UTR</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Point construction, match play readiness, competitive mindset</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 match play metrics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Pathway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Yellow / 11–14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UTR (primary), WTN, NTRP (adults)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Tournament preparation, tactical depth, physical conditioning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Development Portraits + external ratings integration</w:t>
            </w:r>
          </w:p>
        </w:tc>
      </w:tr>
      <w:tr>
        <w:tc>
          <w:tcPr>
            <w:tcW w:type="dxa" w:w="1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Pursuit</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Yellow / 14+</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UTR (verified), WTN, NTRP</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Competition excellence, college prep, mastery refinement</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Full athlete profile with external + internal data</w:t>
            </w:r>
          </w:p>
        </w:tc>
      </w:tr>
    </w:tbl>
    <w:p>
      <w:pPr>
        <w:spacing w:after="160" w:line="276"/>
      </w:pPr>
      <w:r>
        <w:rPr>
          <w:rFonts w:ascii="Arial" w:cs="Arial" w:eastAsia="Arial" w:hAnsi="Arial"/>
          <w:color w:val="2C2C2C"/>
          <w:sz w:val="20"/>
          <w:szCs w:val="20"/>
        </w:rPr>
        <w:t xml:space="preserve"/>
      </w:r>
    </w:p>
    <w:p>
      <w:pPr>
        <w:spacing w:before="200" w:after="120"/>
      </w:pPr>
      <w:r>
        <w:rPr>
          <w:rFonts w:ascii="Arial" w:cs="Arial" w:eastAsia="Arial" w:hAnsi="Arial"/>
          <w:b/>
          <w:bCs/>
          <w:color w:val="C9A96E"/>
          <w:sz w:val="22"/>
          <w:szCs w:val="22"/>
        </w:rPr>
        <w:t xml:space="preserve">Design Rationale</w:t>
      </w:r>
    </w:p>
    <w:p>
      <w:pPr>
        <w:pStyle w:val="ListParagraph"/>
        <w:numPr>
          <w:ilvl w:val="0"/>
          <w:numId w:val="2"/>
        </w:numPr>
        <w:spacing w:after="80" w:line="276"/>
      </w:pPr>
      <w:r>
        <w:rPr>
          <w:rFonts w:ascii="Arial" w:cs="Arial" w:eastAsia="Arial" w:hAnsi="Arial"/>
          <w:color w:val="2C2C2C"/>
          <w:sz w:val="20"/>
          <w:szCs w:val="20"/>
        </w:rPr>
        <w:t xml:space="preserve">Five stages instead of the typical 3–4 provides sufficient granularity without overwhelming complexity for a 4-coach operation</w:t>
      </w:r>
    </w:p>
    <w:p>
      <w:pPr>
        <w:pStyle w:val="ListParagraph"/>
        <w:numPr>
          <w:ilvl w:val="0"/>
          <w:numId w:val="2"/>
        </w:numPr>
        <w:spacing w:after="80" w:line="276"/>
      </w:pPr>
      <w:r>
        <w:rPr>
          <w:rFonts w:ascii="Arial" w:cs="Arial" w:eastAsia="Arial" w:hAnsi="Arial"/>
          <w:color w:val="2C2C2C"/>
          <w:sz w:val="20"/>
          <w:szCs w:val="20"/>
        </w:rPr>
        <w:t xml:space="preserve">Stage names avoid numbers and competitive language; “Discovery” and “Foundation” feel warm and aspirational, not evaluative</w:t>
      </w:r>
    </w:p>
    <w:p>
      <w:pPr>
        <w:pStyle w:val="ListParagraph"/>
        <w:numPr>
          <w:ilvl w:val="0"/>
          <w:numId w:val="2"/>
        </w:numPr>
        <w:spacing w:after="80" w:line="276"/>
      </w:pPr>
      <w:r>
        <w:rPr>
          <w:rFonts w:ascii="Arial" w:cs="Arial" w:eastAsia="Arial" w:hAnsi="Arial"/>
          <w:color w:val="2C2C2C"/>
          <w:sz w:val="20"/>
          <w:szCs w:val="20"/>
        </w:rPr>
        <w:t xml:space="preserve">Each stage maps to at least one external rating system, ensuring parents see connection between LBTA’s internal assessment and the broader competitive ecosystem</w:t>
      </w:r>
    </w:p>
    <w:p>
      <w:pPr>
        <w:pStyle w:val="ListParagraph"/>
        <w:numPr>
          <w:ilvl w:val="0"/>
          <w:numId w:val="2"/>
        </w:numPr>
        <w:spacing w:after="160" w:line="276"/>
      </w:pPr>
      <w:r>
        <w:rPr>
          <w:rFonts w:ascii="Arial" w:cs="Arial" w:eastAsia="Arial" w:hAnsi="Arial"/>
          <w:color w:val="2C2C2C"/>
          <w:sz w:val="20"/>
          <w:szCs w:val="20"/>
        </w:rPr>
        <w:t xml:space="preserve">Recognition mechanisms scale with age: younger players get tangible artifacts (certificates, stickers), older players get data-rich portraits that serve college recruiting portfolios</w:t>
      </w:r>
    </w:p>
    <w:p>
      <w:pPr>
        <w:pStyle w:val="Heading2"/>
        <w:spacing w:before="280" w:after="160"/>
      </w:pPr>
      <w:r>
        <w:rPr>
          <w:rFonts w:ascii="Arial" w:cs="Arial" w:eastAsia="Arial" w:hAnsi="Arial"/>
          <w:b/>
          <w:bCs/>
          <w:color w:val="1B2A4A"/>
          <w:sz w:val="26"/>
          <w:szCs w:val="26"/>
        </w:rPr>
        <w:t xml:space="preserve">2.2 Progression Gate Design</w:t>
      </w:r>
    </w:p>
    <w:p>
      <w:pPr>
        <w:spacing w:after="160" w:line="276"/>
      </w:pPr>
      <w:r>
        <w:rPr>
          <w:rFonts w:ascii="Arial" w:cs="Arial" w:eastAsia="Arial" w:hAnsi="Arial"/>
          <w:color w:val="2C2C2C"/>
          <w:sz w:val="20"/>
          <w:szCs w:val="20"/>
        </w:rPr>
        <w:t xml:space="preserve">Drawing from swimming’s binary gate clarity and martial arts’ multi-dimensional evaluation, each transition between Journey stages should require demonstrated readiness across three dimensions, assessed through the Skill Compass protocol established in Domain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Transition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Technical Gate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Competitive Gate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Behavioral Gate</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Discovery → Foundation</w:t>
            </w:r>
          </w:p>
        </w:tc>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Consistent rally (5+ balls) with forehand; basic serve motion</w:t>
            </w:r>
          </w:p>
        </w:tc>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Understands scoring; can play cooperative points</w:t>
            </w:r>
          </w:p>
        </w:tc>
        <w:tc>
          <w:tcPr>
            <w:tcW w:type="dxa" w:w="2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Court etiquette (ready position, ball pickup, line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Foundation → 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Forehand + backhand rally (8+ balls); directional 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Can complete a set with correct scoring; constructive point play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Handles winning/losing with composure; self-manages equipment</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Development → Pathway</w:t>
            </w:r>
          </w:p>
        </w:tc>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All strokes functional on full court; approach + volley pattern</w:t>
            </w:r>
          </w:p>
        </w:tc>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Can compete in sanctioned events; emerging UTR/WTN</w:t>
            </w:r>
          </w:p>
        </w:tc>
        <w:tc>
          <w:tcPr>
            <w:tcW w:type="dxa" w:w="2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Pre-match routine; manages emotions during competitive 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Pathway → Pursuit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Weapon shot(s) identified; tactical adaptability demonstrated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Active tournament schedule; UTR trending upward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Self-directed practice; understands training periodization</w:t>
            </w:r>
          </w:p>
        </w:tc>
      </w:tr>
    </w:tbl>
    <w:p>
      <w:pPr>
        <w:spacing w:after="160" w:line="276"/>
      </w:pPr>
      <w:r>
        <w:rPr>
          <w:rFonts w:ascii="Arial" w:cs="Arial" w:eastAsia="Arial" w:hAnsi="Arial"/>
          <w:color w:val="2C2C2C"/>
          <w:sz w:val="20"/>
          <w:szCs w:val="20"/>
        </w:rPr>
        <w:t xml:space="preserve"/>
      </w:r>
    </w:p>
    <w:p>
      <w:pPr>
        <w:spacing w:after="160" w:line="276"/>
      </w:pPr>
      <w:r>
        <w:rPr>
          <w:rFonts w:ascii="Arial" w:cs="Arial" w:eastAsia="Arial" w:hAnsi="Arial"/>
          <w:b/>
          <w:bCs/>
          <w:i w:val="false"/>
          <w:iCs w:val="false"/>
          <w:color w:val="2C2C2C"/>
          <w:sz w:val="20"/>
          <w:szCs w:val="20"/>
        </w:rPr>
        <w:t xml:space="preserve">Critical design rule: </w:t>
      </w:r>
      <w:r>
        <w:rPr>
          <w:rFonts w:ascii="Arial" w:cs="Arial" w:eastAsia="Arial" w:hAnsi="Arial"/>
          <w:b w:val="false"/>
          <w:bCs w:val="false"/>
          <w:i w:val="false"/>
          <w:iCs w:val="false"/>
          <w:color w:val="2C2C2C"/>
          <w:sz w:val="20"/>
          <w:szCs w:val="20"/>
        </w:rPr>
        <w:t xml:space="preserve">Gates are advisory, not mandatory. A coach and family decide together through a “readiness conversation” (see Domain 2) whether the player is prepared for the next stage. No player is prevented from participating in a program due to not having “passed” a gate. The gates provide structure and language for development conversations, not barriers to participation. This preserves the martial arts principle of earned progression while avoiding the exclusionary dynamics that contradict LBTA’s community positioning.</w:t>
      </w:r>
    </w:p>
    <w:p>
      <w:pPr>
        <w:pStyle w:val="Heading2"/>
        <w:spacing w:before="280" w:after="160"/>
      </w:pPr>
      <w:r>
        <w:rPr>
          <w:rFonts w:ascii="Arial" w:cs="Arial" w:eastAsia="Arial" w:hAnsi="Arial"/>
          <w:b/>
          <w:bCs/>
          <w:color w:val="1B2A4A"/>
          <w:sz w:val="26"/>
          <w:szCs w:val="26"/>
        </w:rPr>
        <w:t xml:space="preserve">2.3 Recognition Architecture</w:t>
      </w:r>
    </w:p>
    <w:p>
      <w:pPr>
        <w:spacing w:after="160" w:line="276"/>
      </w:pPr>
      <w:r>
        <w:rPr>
          <w:rFonts w:ascii="Arial" w:cs="Arial" w:eastAsia="Arial" w:hAnsi="Arial"/>
          <w:color w:val="2C2C2C"/>
          <w:sz w:val="20"/>
          <w:szCs w:val="20"/>
        </w:rPr>
        <w:t xml:space="preserve">Recognition is the emotional fuel of progression. Drawing from martial arts’ stripe system and swimming’s badge approach, LBTA’s recognition architecture operates on three tiers matching the Aman brand standard.</w:t>
      </w:r>
    </w:p>
    <w:p>
      <w:pPr>
        <w:spacing w:before="200" w:after="120"/>
      </w:pPr>
      <w:r>
        <w:rPr>
          <w:rFonts w:ascii="Arial" w:cs="Arial" w:eastAsia="Arial" w:hAnsi="Arial"/>
          <w:b/>
          <w:bCs/>
          <w:color w:val="C9A96E"/>
          <w:sz w:val="22"/>
          <w:szCs w:val="22"/>
        </w:rPr>
        <w:t xml:space="preserve">Tier 1: Micro-Recognition (Weekly)</w:t>
      </w:r>
    </w:p>
    <w:p>
      <w:pPr>
        <w:spacing w:after="160" w:line="276"/>
      </w:pPr>
      <w:r>
        <w:rPr>
          <w:rFonts w:ascii="Arial" w:cs="Arial" w:eastAsia="Arial" w:hAnsi="Arial"/>
          <w:color w:val="2C2C2C"/>
          <w:sz w:val="20"/>
          <w:szCs w:val="20"/>
        </w:rPr>
        <w:t xml:space="preserve">Coach verbal acknowledgment of specific progress during lessons. No artifacts, no tracking overhead. This is simply the coaching standard—noticing and naming growth as it happens. Training coaches to deliver specific, process-oriented feedback (“Your racket preparation on that forehand was early and compact today” rather than “nice shot”) is the implementation requirement. Cost: zero. Impact: highest per-touch.</w:t>
      </w:r>
    </w:p>
    <w:p>
      <w:pPr>
        <w:spacing w:before="200" w:after="120"/>
      </w:pPr>
      <w:r>
        <w:rPr>
          <w:rFonts w:ascii="Arial" w:cs="Arial" w:eastAsia="Arial" w:hAnsi="Arial"/>
          <w:b/>
          <w:bCs/>
          <w:color w:val="C9A96E"/>
          <w:sz w:val="22"/>
          <w:szCs w:val="22"/>
        </w:rPr>
        <w:t xml:space="preserve">Tier 2: Milestone Markers (Quarterly)</w:t>
      </w:r>
    </w:p>
    <w:p>
      <w:pPr>
        <w:spacing w:after="160" w:line="276"/>
      </w:pPr>
      <w:r>
        <w:rPr>
          <w:rFonts w:ascii="Arial" w:cs="Arial" w:eastAsia="Arial" w:hAnsi="Arial"/>
          <w:color w:val="2C2C2C"/>
          <w:sz w:val="20"/>
          <w:szCs w:val="20"/>
        </w:rPr>
        <w:t xml:space="preserve">Skill Compass observation snapshots (Domain 2) delivered as “Development Portraits” through the parent portal. These show individual trajectory over time—never comparative data. For Discovery and Foundation players, physical milestone certificates (premium card stock, embossed LBTA seal) mark seasonal progression. For Development and above, digital portraits with radar charts showing multi-dimensional growth replace physical certificates. Quarterly cadence aligns with the seasonal enrollment cycle and avoids over-notification.</w:t>
      </w:r>
    </w:p>
    <w:p>
      <w:pPr>
        <w:spacing w:before="200" w:after="120"/>
      </w:pPr>
      <w:r>
        <w:rPr>
          <w:rFonts w:ascii="Arial" w:cs="Arial" w:eastAsia="Arial" w:hAnsi="Arial"/>
          <w:b/>
          <w:bCs/>
          <w:color w:val="C9A96E"/>
          <w:sz w:val="22"/>
          <w:szCs w:val="22"/>
        </w:rPr>
        <w:t xml:space="preserve">Tier 3: Journey Transitions (As Earned)</w:t>
      </w:r>
    </w:p>
    <w:p>
      <w:pPr>
        <w:spacing w:after="160" w:line="276"/>
      </w:pPr>
      <w:r>
        <w:rPr>
          <w:rFonts w:ascii="Arial" w:cs="Arial" w:eastAsia="Arial" w:hAnsi="Arial"/>
          <w:color w:val="2C2C2C"/>
          <w:sz w:val="20"/>
          <w:szCs w:val="20"/>
        </w:rPr>
        <w:t xml:space="preserve">When a player transitions between Journey stages, the recognition event should match the Aman standard: a personal note from Andrew or the lead coach, acknowledgment in the next group session (brief, warm, not ceremonial), and a premium physical artifact—a custom LBTA pin or wristband in the stage’s color. These transitions happen perhaps 1–2 times per year at most, preserving their weight. The “McDojo” warning applies: if transitions feel automatic or calendar-driven, the entire system loses credibility.</w:t>
      </w:r>
    </w:p>
    <w:p>
      <w:pPr>
        <w:pStyle w:val="Heading2"/>
        <w:spacing w:before="280" w:after="160"/>
      </w:pPr>
      <w:r>
        <w:rPr>
          <w:rFonts w:ascii="Arial" w:cs="Arial" w:eastAsia="Arial" w:hAnsi="Arial"/>
          <w:b/>
          <w:bCs/>
          <w:color w:val="1B2A4A"/>
          <w:sz w:val="26"/>
          <w:szCs w:val="26"/>
        </w:rPr>
        <w:t xml:space="preserve">2.4 Dual-Track Architecture for Mixed Population</w:t>
      </w:r>
    </w:p>
    <w:p>
      <w:pPr>
        <w:spacing w:after="160" w:line="276"/>
      </w:pPr>
      <w:r>
        <w:rPr>
          <w:rFonts w:ascii="Arial" w:cs="Arial" w:eastAsia="Arial" w:hAnsi="Arial"/>
          <w:color w:val="2C2C2C"/>
          <w:sz w:val="20"/>
          <w:szCs w:val="20"/>
        </w:rPr>
        <w:t xml:space="preserve">LBTA’s fundamental design challenge is serving a population where the majority are recreational players (social, fitness, enjoyment-driven) while a meaningful minority are competitive players (tournament-focused, college-aspiring). These populations need different progression experiences from the same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Recreational Track</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Competitive Track</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Primary Metric</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Participation consistency + skill breadth</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Match results + UTR/WTN trajectory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Recognition Focus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Effort, consistency, community contribution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Performance milestones, competitive readiness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Gate Criteria Weight</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70% behavioral / 30% technical</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50% technical / 30% competitive / 20% behavioral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Advancement Speed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Steady, time + attendance based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Performance-based, can accelerate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Parent Communication</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"Your child loves the game and is building great habits"</w:t>
            </w:r>
          </w:p>
        </w:tc>
        <w:tc>
          <w:tcPr>
            <w:tcW w:type="dxa" w:w="35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"Here’s how your child is tracking against competitive benchmarks"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Data Depth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only (3 dimensions)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 fitness metrics + match analytics + external ratings</w:t>
            </w:r>
          </w:p>
        </w:tc>
      </w:tr>
    </w:tbl>
    <w:p>
      <w:pPr>
        <w:spacing w:after="160" w:line="276"/>
      </w:pPr>
      <w:r>
        <w:rPr>
          <w:rFonts w:ascii="Arial" w:cs="Arial" w:eastAsia="Arial" w:hAnsi="Arial"/>
          <w:color w:val="2C2C2C"/>
          <w:sz w:val="20"/>
          <w:szCs w:val="20"/>
        </w:rPr>
        <w:t xml:space="preserve"/>
      </w:r>
    </w:p>
    <w:p>
      <w:pPr>
        <w:spacing w:after="160" w:line="276"/>
      </w:pPr>
      <w:r>
        <w:rPr>
          <w:rFonts w:ascii="Arial" w:cs="Arial" w:eastAsia="Arial" w:hAnsi="Arial"/>
          <w:b w:val="false"/>
          <w:bCs w:val="false"/>
          <w:i w:val="false"/>
          <w:iCs w:val="false"/>
          <w:color w:val="2C2C2C"/>
          <w:sz w:val="20"/>
          <w:szCs w:val="20"/>
        </w:rPr>
        <w:t xml:space="preserve">Both tracks use the same five Journey stages and the same Skill Compass protocol</w:t>
      </w:r>
      <w:r>
        <w:rPr>
          <w:rFonts w:ascii="Arial" w:cs="Arial" w:eastAsia="Arial" w:hAnsi="Arial"/>
          <w:b w:val="false"/>
          <w:bCs w:val="false"/>
          <w:i w:val="false"/>
          <w:iCs w:val="false"/>
          <w:color w:val="2C2C2C"/>
          <w:sz w:val="20"/>
          <w:szCs w:val="20"/>
        </w:rPr>
        <w:t xml:space="preserve">—the difference is in weighting, cadence, and communication framing, not in the underlying structure.</w:t>
      </w:r>
      <w:r>
        <w:rPr>
          <w:rFonts w:ascii="Arial" w:cs="Arial" w:eastAsia="Arial" w:hAnsi="Arial"/>
          <w:b w:val="false"/>
          <w:bCs w:val="false"/>
          <w:i w:val="false"/>
          <w:iCs w:val="false"/>
          <w:color w:val="2C2C2C"/>
          <w:sz w:val="20"/>
          <w:szCs w:val="20"/>
        </w:rPr>
        <w:t xml:space="preserve"> A recreational player in the Development stage is celebrated for consistent attendance and expanding shot variety. A competitive player at the same stage is coached toward tournament readiness and UTR development. </w:t>
      </w:r>
      <w:r>
        <w:rPr>
          <w:rFonts w:ascii="Arial" w:cs="Arial" w:eastAsia="Arial" w:hAnsi="Arial"/>
          <w:b/>
          <w:bCs/>
          <w:i w:val="false"/>
          <w:iCs w:val="false"/>
          <w:color w:val="2C2C2C"/>
          <w:sz w:val="20"/>
          <w:szCs w:val="20"/>
        </w:rPr>
        <w:t xml:space="preserve">The player’s track is determined by family conversation, not coach assignment, and can change at any quarterly review.</w:t>
      </w:r>
    </w:p>
    <w:p>
      <w:pPr>
        <w:pStyle w:val="Heading2"/>
        <w:spacing w:before="280" w:after="160"/>
      </w:pPr>
      <w:r>
        <w:rPr>
          <w:rFonts w:ascii="Arial" w:cs="Arial" w:eastAsia="Arial" w:hAnsi="Arial"/>
          <w:b/>
          <w:bCs/>
          <w:color w:val="1B2A4A"/>
          <w:sz w:val="26"/>
          <w:szCs w:val="26"/>
        </w:rPr>
        <w:t xml:space="preserve">2.5 External Rating Integration Protocol</w:t>
      </w:r>
    </w:p>
    <w:p>
      <w:pPr>
        <w:spacing w:after="160" w:line="276"/>
      </w:pPr>
      <w:r>
        <w:rPr>
          <w:rFonts w:ascii="Arial" w:cs="Arial" w:eastAsia="Arial" w:hAnsi="Arial"/>
          <w:color w:val="2C2C2C"/>
          <w:sz w:val="20"/>
          <w:szCs w:val="20"/>
        </w:rPr>
        <w:t xml:space="preserve">LBTA’s system must coexist with UTR, WTN, and NTRP without creating confusion or competing narratives. The integration protocol works as follows:</w:t>
      </w:r>
    </w:p>
    <w:p>
      <w:pPr>
        <w:pStyle w:val="ListParagraph"/>
        <w:numPr>
          <w:ilvl w:val="0"/>
          <w:numId w:val="3"/>
        </w:numPr>
        <w:spacing w:after="80" w:line="276"/>
      </w:pPr>
      <w:r>
        <w:rPr>
          <w:rFonts w:ascii="Arial" w:cs="Arial" w:eastAsia="Arial" w:hAnsi="Arial"/>
          <w:color w:val="2C2C2C"/>
          <w:sz w:val="20"/>
          <w:szCs w:val="20"/>
        </w:rPr>
        <w:t xml:space="preserve">Discovery and Foundation stages: No external rating reference. Players are too young and too early in development for external ratings to be meaningful. If parents ask about UTR, the standard response is: “We focus on building a complete foundation first. External ratings will become relevant when your child begins competitive match play.”</w:t>
      </w:r>
    </w:p>
    <w:p>
      <w:pPr>
        <w:pStyle w:val="ListParagraph"/>
        <w:numPr>
          <w:ilvl w:val="0"/>
          <w:numId w:val="3"/>
        </w:numPr>
        <w:spacing w:after="80" w:line="276"/>
      </w:pPr>
      <w:r>
        <w:rPr>
          <w:rFonts w:ascii="Arial" w:cs="Arial" w:eastAsia="Arial" w:hAnsi="Arial"/>
          <w:color w:val="2C2C2C"/>
          <w:sz w:val="20"/>
          <w:szCs w:val="20"/>
        </w:rPr>
        <w:t xml:space="preserve">Development stage: WTN introduced as “game-readiness indicator.” UTR mentioned only for players actively entering sanctioned competition. Coach educates parents on what ratings mean and don’t mean, following the UTR knowledge base documents in the project files.</w:t>
      </w:r>
    </w:p>
    <w:p>
      <w:pPr>
        <w:pStyle w:val="ListParagraph"/>
        <w:numPr>
          <w:ilvl w:val="0"/>
          <w:numId w:val="3"/>
        </w:numPr>
        <w:spacing w:after="80" w:line="276"/>
      </w:pPr>
      <w:r>
        <w:rPr>
          <w:rFonts w:ascii="Arial" w:cs="Arial" w:eastAsia="Arial" w:hAnsi="Arial"/>
          <w:color w:val="2C2C2C"/>
          <w:sz w:val="20"/>
          <w:szCs w:val="20"/>
        </w:rPr>
        <w:t xml:space="preserve">Pathway stage: UTR becomes primary external reference for competitive track players. WTN used for match play groupings and JTT seeding. NTRP referenced for adult players entering USTA League. Development Portraits include external ratings with trend lines.</w:t>
      </w:r>
    </w:p>
    <w:p>
      <w:pPr>
        <w:pStyle w:val="ListParagraph"/>
        <w:numPr>
          <w:ilvl w:val="0"/>
          <w:numId w:val="3"/>
        </w:numPr>
        <w:spacing w:after="160" w:line="276"/>
      </w:pPr>
      <w:r>
        <w:rPr>
          <w:rFonts w:ascii="Arial" w:cs="Arial" w:eastAsia="Arial" w:hAnsi="Arial"/>
          <w:color w:val="2C2C2C"/>
          <w:sz w:val="20"/>
          <w:szCs w:val="20"/>
        </w:rPr>
        <w:t xml:space="preserve">Pursuit stage: Full integration. Player profiles include UTR (verified), WTN, tournament results, and LBTA internal data. This becomes the athlete portfolio for college recruiting conversations.</w:t>
      </w:r>
    </w:p>
    <w:p>
      <w:r>
        <w:br w:type="page"/>
      </w:r>
    </w:p>
    <w:p>
      <w:pPr>
        <w:pStyle w:val="Heading1"/>
        <w:spacing w:before="360" w:after="200"/>
      </w:pPr>
      <w:r>
        <w:rPr>
          <w:rFonts w:ascii="Arial" w:cs="Arial" w:eastAsia="Arial" w:hAnsi="Arial"/>
          <w:b/>
          <w:bCs/>
          <w:color w:val="1B2A4A"/>
          <w:sz w:val="32"/>
          <w:szCs w:val="32"/>
        </w:rPr>
        <w:t xml:space="preserve">3. Implementation Priority</w:t>
      </w:r>
    </w:p>
    <w:p>
      <w:pPr>
        <w:spacing w:after="160" w:line="276"/>
      </w:pPr>
      <w:r>
        <w:rPr>
          <w:rFonts w:ascii="Arial" w:cs="Arial" w:eastAsia="Arial" w:hAnsi="Arial"/>
          <w:color w:val="2C2C2C"/>
          <w:sz w:val="20"/>
          <w:szCs w:val="20"/>
        </w:rPr>
        <w:t xml:space="preserve">Implementation follows a three-phase approach designed for LBTA’s 4-coach operational reality and Airtable-based data infrastructure.</w:t>
      </w:r>
    </w:p>
    <w:p>
      <w:pPr>
        <w:pStyle w:val="Heading2"/>
        <w:spacing w:before="280" w:after="160"/>
      </w:pPr>
      <w:r>
        <w:rPr>
          <w:rFonts w:ascii="Arial" w:cs="Arial" w:eastAsia="Arial" w:hAnsi="Arial"/>
          <w:b/>
          <w:bCs/>
          <w:color w:val="1B2A4A"/>
          <w:sz w:val="26"/>
          <w:szCs w:val="26"/>
        </w:rPr>
        <w:t xml:space="preserve">3.1 Phase 1: Foundation (Months 1–2)</w:t>
      </w:r>
    </w:p>
    <w:p>
      <w:pPr>
        <w:pStyle w:val="ListParagraph"/>
        <w:numPr>
          <w:ilvl w:val="0"/>
          <w:numId w:val="4"/>
        </w:numPr>
        <w:spacing w:after="80" w:line="276"/>
      </w:pPr>
      <w:r>
        <w:rPr>
          <w:rFonts w:ascii="Arial" w:cs="Arial" w:eastAsia="Arial" w:hAnsi="Arial"/>
          <w:color w:val="2C2C2C"/>
          <w:sz w:val="20"/>
          <w:szCs w:val="20"/>
        </w:rPr>
        <w:t xml:space="preserve">Finalize five Journey stage definitions and gate criteria with Andrew and coaching team (1 working session, 90 minutes)</w:t>
      </w:r>
    </w:p>
    <w:p>
      <w:pPr>
        <w:pStyle w:val="ListParagraph"/>
        <w:numPr>
          <w:ilvl w:val="0"/>
          <w:numId w:val="4"/>
        </w:numPr>
        <w:spacing w:after="80" w:line="276"/>
      </w:pPr>
      <w:r>
        <w:rPr>
          <w:rFonts w:ascii="Arial" w:cs="Arial" w:eastAsia="Arial" w:hAnsi="Arial"/>
          <w:color w:val="2C2C2C"/>
          <w:sz w:val="20"/>
          <w:szCs w:val="20"/>
        </w:rPr>
        <w:t xml:space="preserve">Add Journey Stage field to Airtable Students table (single select: Discovery, Foundation, Development, Pathway, Pursuit) and Track field (Recreational, Competitive)</w:t>
      </w:r>
    </w:p>
    <w:p>
      <w:pPr>
        <w:pStyle w:val="ListParagraph"/>
        <w:numPr>
          <w:ilvl w:val="0"/>
          <w:numId w:val="4"/>
        </w:numPr>
        <w:spacing w:after="80" w:line="276"/>
      </w:pPr>
      <w:r>
        <w:rPr>
          <w:rFonts w:ascii="Arial" w:cs="Arial" w:eastAsia="Arial" w:hAnsi="Arial"/>
          <w:color w:val="2C2C2C"/>
          <w:sz w:val="20"/>
          <w:szCs w:val="20"/>
        </w:rPr>
        <w:t xml:space="preserve">Assign current 695 students to Journey stages based on existing program enrollment and age data (bulk assignment, refined individually over first quarter)</w:t>
      </w:r>
    </w:p>
    <w:p>
      <w:pPr>
        <w:pStyle w:val="ListParagraph"/>
        <w:numPr>
          <w:ilvl w:val="0"/>
          <w:numId w:val="4"/>
        </w:numPr>
        <w:spacing w:after="160" w:line="276"/>
      </w:pPr>
      <w:r>
        <w:rPr>
          <w:rFonts w:ascii="Arial" w:cs="Arial" w:eastAsia="Arial" w:hAnsi="Arial"/>
          <w:color w:val="2C2C2C"/>
          <w:sz w:val="20"/>
          <w:szCs w:val="20"/>
        </w:rPr>
        <w:t xml:space="preserve">Design and print physical certificates and transition artifacts for Discovery/Foundation stages (external design, premium materials per Aman standard)</w:t>
      </w:r>
    </w:p>
    <w:p>
      <w:pPr>
        <w:pStyle w:val="Heading2"/>
        <w:spacing w:before="280" w:after="160"/>
      </w:pPr>
      <w:r>
        <w:rPr>
          <w:rFonts w:ascii="Arial" w:cs="Arial" w:eastAsia="Arial" w:hAnsi="Arial"/>
          <w:b/>
          <w:bCs/>
          <w:color w:val="1B2A4A"/>
          <w:sz w:val="26"/>
          <w:szCs w:val="26"/>
        </w:rPr>
        <w:t xml:space="preserve">3.2 Phase 2: Activation (Months 3–4)</w:t>
      </w:r>
    </w:p>
    <w:p>
      <w:pPr>
        <w:pStyle w:val="ListParagraph"/>
        <w:numPr>
          <w:ilvl w:val="0"/>
          <w:numId w:val="5"/>
        </w:numPr>
        <w:spacing w:after="80" w:line="276"/>
      </w:pPr>
      <w:r>
        <w:rPr>
          <w:rFonts w:ascii="Arial" w:cs="Arial" w:eastAsia="Arial" w:hAnsi="Arial"/>
          <w:color w:val="2C2C2C"/>
          <w:sz w:val="20"/>
          <w:szCs w:val="20"/>
        </w:rPr>
        <w:t xml:space="preserve">Integrate Skill Compass observations (Domain 2) with Journey stage tracking—compass data informs gate readiness conversations</w:t>
      </w:r>
    </w:p>
    <w:p>
      <w:pPr>
        <w:pStyle w:val="ListParagraph"/>
        <w:numPr>
          <w:ilvl w:val="0"/>
          <w:numId w:val="5"/>
        </w:numPr>
        <w:spacing w:after="80" w:line="276"/>
      </w:pPr>
      <w:r>
        <w:rPr>
          <w:rFonts w:ascii="Arial" w:cs="Arial" w:eastAsia="Arial" w:hAnsi="Arial"/>
          <w:color w:val="2C2C2C"/>
          <w:sz w:val="20"/>
          <w:szCs w:val="20"/>
        </w:rPr>
        <w:t xml:space="preserve">Launch Development Portraits in parent portal for Development+ players (quarterly digital snapshots with radar charts)</w:t>
      </w:r>
    </w:p>
    <w:p>
      <w:pPr>
        <w:pStyle w:val="ListParagraph"/>
        <w:numPr>
          <w:ilvl w:val="0"/>
          <w:numId w:val="5"/>
        </w:numPr>
        <w:spacing w:after="80" w:line="276"/>
      </w:pPr>
      <w:r>
        <w:rPr>
          <w:rFonts w:ascii="Arial" w:cs="Arial" w:eastAsia="Arial" w:hAnsi="Arial"/>
          <w:color w:val="2C2C2C"/>
          <w:sz w:val="20"/>
          <w:szCs w:val="20"/>
        </w:rPr>
        <w:t xml:space="preserve">Begin tracking match play metrics (set-level trends, rally length, first-serve percentage) for Pathway and Pursuit players during match play sessions</w:t>
      </w:r>
    </w:p>
    <w:p>
      <w:pPr>
        <w:pStyle w:val="ListParagraph"/>
        <w:numPr>
          <w:ilvl w:val="0"/>
          <w:numId w:val="5"/>
        </w:numPr>
        <w:spacing w:after="160" w:line="276"/>
      </w:pPr>
      <w:r>
        <w:rPr>
          <w:rFonts w:ascii="Arial" w:cs="Arial" w:eastAsia="Arial" w:hAnsi="Arial"/>
          <w:color w:val="2C2C2C"/>
          <w:sz w:val="20"/>
          <w:szCs w:val="20"/>
        </w:rPr>
        <w:t xml:space="preserve">First quarterly parent communication explaining the Journey framework—positioned as “how we help you understand your child’s development,” not as a ranking system</w:t>
      </w:r>
    </w:p>
    <w:p>
      <w:pPr>
        <w:pStyle w:val="Heading2"/>
        <w:spacing w:before="280" w:after="160"/>
      </w:pPr>
      <w:r>
        <w:rPr>
          <w:rFonts w:ascii="Arial" w:cs="Arial" w:eastAsia="Arial" w:hAnsi="Arial"/>
          <w:b/>
          <w:bCs/>
          <w:color w:val="1B2A4A"/>
          <w:sz w:val="26"/>
          <w:szCs w:val="26"/>
        </w:rPr>
        <w:t xml:space="preserve">3.3 Phase 3: Integration (Months 5–6)</w:t>
      </w:r>
    </w:p>
    <w:p>
      <w:pPr>
        <w:pStyle w:val="ListParagraph"/>
        <w:numPr>
          <w:ilvl w:val="0"/>
          <w:numId w:val="6"/>
        </w:numPr>
        <w:spacing w:after="80" w:line="276"/>
      </w:pPr>
      <w:r>
        <w:rPr>
          <w:rFonts w:ascii="Arial" w:cs="Arial" w:eastAsia="Arial" w:hAnsi="Arial"/>
          <w:color w:val="2C2C2C"/>
          <w:sz w:val="20"/>
          <w:szCs w:val="20"/>
        </w:rPr>
        <w:t xml:space="preserve">Connect UTR and WTN data to player profiles in Airtable for Pathway and Pursuit stage players (manual import initially, API integration when available)</w:t>
      </w:r>
    </w:p>
    <w:p>
      <w:pPr>
        <w:pStyle w:val="ListParagraph"/>
        <w:numPr>
          <w:ilvl w:val="0"/>
          <w:numId w:val="6"/>
        </w:numPr>
        <w:spacing w:after="80" w:line="276"/>
      </w:pPr>
      <w:r>
        <w:rPr>
          <w:rFonts w:ascii="Arial" w:cs="Arial" w:eastAsia="Arial" w:hAnsi="Arial"/>
          <w:color w:val="2C2C2C"/>
          <w:sz w:val="20"/>
          <w:szCs w:val="20"/>
        </w:rPr>
        <w:t xml:space="preserve">Build automated Development Portrait generation from Airtable data (templates + merge fields, reducing manual effort per player to &lt; 5 minutes)</w:t>
      </w:r>
    </w:p>
    <w:p>
      <w:pPr>
        <w:pStyle w:val="ListParagraph"/>
        <w:numPr>
          <w:ilvl w:val="0"/>
          <w:numId w:val="6"/>
        </w:numPr>
        <w:spacing w:after="80" w:line="276"/>
      </w:pPr>
      <w:r>
        <w:rPr>
          <w:rFonts w:ascii="Arial" w:cs="Arial" w:eastAsia="Arial" w:hAnsi="Arial"/>
          <w:color w:val="2C2C2C"/>
          <w:sz w:val="20"/>
          <w:szCs w:val="20"/>
        </w:rPr>
        <w:t xml:space="preserve">First Journey stage transitions conducted using full gate criteria and readiness conversation protocol</w:t>
      </w:r>
    </w:p>
    <w:p>
      <w:pPr>
        <w:pStyle w:val="ListParagraph"/>
        <w:numPr>
          <w:ilvl w:val="0"/>
          <w:numId w:val="6"/>
        </w:numPr>
        <w:spacing w:after="160" w:line="276"/>
      </w:pPr>
      <w:r>
        <w:rPr>
          <w:rFonts w:ascii="Arial" w:cs="Arial" w:eastAsia="Arial" w:hAnsi="Arial"/>
          <w:color w:val="2C2C2C"/>
          <w:sz w:val="20"/>
          <w:szCs w:val="20"/>
        </w:rPr>
        <w:t xml:space="preserve">Review and refine gate criteria based on first quarter of observation data—expect criteria adjustments as coaches calibrate expectations to actual population</w:t>
      </w:r>
    </w:p>
    <w:p>
      <w:pPr>
        <w:pStyle w:val="Heading1"/>
        <w:spacing w:before="360" w:after="200"/>
      </w:pPr>
      <w:r>
        <w:rPr>
          <w:rFonts w:ascii="Arial" w:cs="Arial" w:eastAsia="Arial" w:hAnsi="Arial"/>
          <w:b/>
          <w:bCs/>
          <w:color w:val="1B2A4A"/>
          <w:sz w:val="32"/>
          <w:szCs w:val="32"/>
        </w:rPr>
        <w:t xml:space="preserve">4. Aman Test Checkpoint</w:t>
      </w:r>
    </w:p>
    <w:p>
      <w:pPr>
        <w:spacing w:after="160" w:line="276"/>
      </w:pPr>
      <w:r>
        <w:rPr>
          <w:rFonts w:ascii="Arial" w:cs="Arial" w:eastAsia="Arial" w:hAnsi="Arial"/>
          <w:color w:val="2C2C2C"/>
          <w:sz w:val="20"/>
          <w:szCs w:val="20"/>
        </w:rPr>
        <w:t xml:space="preserve">Every element of the progression system must pass the Aman Test: would a guest at a $2,000/night resort experience this as elevated, thoughtful, and personal? The following audit applies this standard to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Aman Standard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Mode to Avoid</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Journey stage names</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Evocative, aspirational language that feels curated</w:t>
            </w:r>
          </w:p>
        </w:tc>
        <w:tc>
          <w:tcPr>
            <w:tcW w:type="dxa" w:w="4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Generic labels (Level 1/2/3), competitive language (Advanced/Elite), or infantilizing names (Tennis Stars/Champions)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Physical certificates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Premium card stock, embossed seal, handwritten coach note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Laser-printed paper certificates, clip art, generic templates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Transition artifacts</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Custom pins/wristbands in stage colors, presented personally</w:t>
            </w:r>
          </w:p>
        </w:tc>
        <w:tc>
          <w:tcPr>
            <w:tcW w:type="dxa" w:w="4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Mass-produced trophies, Amazon-sourced medals, public ceremony with microphone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Development Portraits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Clean design, individual trajectory, warm narrative framing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Spreadsheet dumps, red/yellow/green traffic lights, comparison language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Parent communication</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Personal, conversational, coach-to-parent dialogue</w:t>
            </w:r>
          </w:p>
        </w:tc>
        <w:tc>
          <w:tcPr>
            <w:tcW w:type="dxa" w:w="4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Automated mass emails with merge field errors, corporate tone, over-notification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Gate conversations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Scheduled, unhurried, two-way dialogue about readiness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Passing/failing language, surprises, recommendations without context</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Data presentation</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Radar charts, trend lines, narrative summaries</w:t>
            </w:r>
          </w:p>
        </w:tc>
        <w:tc>
          <w:tcPr>
            <w:tcW w:type="dxa" w:w="4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Public leaderboards, peer comparison, numerical rankings of juniors</w:t>
            </w:r>
          </w:p>
        </w:tc>
      </w:tr>
    </w:tbl>
    <w:p>
      <w:pPr>
        <w:spacing w:after="160" w:line="276"/>
      </w:pPr>
      <w:r>
        <w:rPr>
          <w:rFonts w:ascii="Arial" w:cs="Arial" w:eastAsia="Arial" w:hAnsi="Arial"/>
          <w:color w:val="2C2C2C"/>
          <w:sz w:val="20"/>
          <w:szCs w:val="20"/>
        </w:rPr>
        <w:t xml:space="preserve"/>
      </w:r>
    </w:p>
    <w:p>
      <w:pPr>
        <w:spacing w:after="160" w:line="276"/>
      </w:pPr>
      <w:r>
        <w:rPr>
          <w:rFonts w:ascii="Arial" w:cs="Arial" w:eastAsia="Arial" w:hAnsi="Arial"/>
          <w:b/>
          <w:bCs/>
          <w:i w:val="false"/>
          <w:iCs w:val="false"/>
          <w:color w:val="2C2C2C"/>
          <w:sz w:val="20"/>
          <w:szCs w:val="20"/>
        </w:rPr>
        <w:t xml:space="preserve">The hardest Aman Test element is restraint.</w:t>
      </w:r>
      <w:r>
        <w:rPr>
          <w:rFonts w:ascii="Arial" w:cs="Arial" w:eastAsia="Arial" w:hAnsi="Arial"/>
          <w:b w:val="false"/>
          <w:bCs w:val="false"/>
          <w:i w:val="false"/>
          <w:iCs w:val="false"/>
          <w:color w:val="2C2C2C"/>
          <w:sz w:val="20"/>
          <w:szCs w:val="20"/>
        </w:rPr>
        <w:t xml:space="preserve"> The temptation will be to add more data points, more recognition moments, more communication touchpoints. Every addition must pass the question: does this make the experience feel more personal and elevated, or more institutional and busy? When in doubt, do less, do it better, and do it in person.</w:t>
      </w:r>
    </w:p>
    <w:p>
      <w:r>
        <w:br w:type="page"/>
      </w:r>
    </w:p>
    <w:p>
      <w:pPr>
        <w:pStyle w:val="Heading1"/>
        <w:spacing w:before="360" w:after="200"/>
      </w:pPr>
      <w:r>
        <w:rPr>
          <w:rFonts w:ascii="Arial" w:cs="Arial" w:eastAsia="Arial" w:hAnsi="Arial"/>
          <w:b/>
          <w:bCs/>
          <w:color w:val="1B2A4A"/>
          <w:sz w:val="32"/>
          <w:szCs w:val="32"/>
        </w:rPr>
        <w:t xml:space="preserve">5. Key Sources</w:t>
      </w:r>
    </w:p>
    <w:p>
      <w:pPr>
        <w:spacing w:before="200" w:after="120"/>
      </w:pPr>
      <w:r>
        <w:rPr>
          <w:rFonts w:ascii="Arial" w:cs="Arial" w:eastAsia="Arial" w:hAnsi="Arial"/>
          <w:b/>
          <w:bCs/>
          <w:color w:val="C9A96E"/>
          <w:sz w:val="22"/>
          <w:szCs w:val="22"/>
        </w:rPr>
        <w:t xml:space="preserve">Rating System Algorithms</w:t>
      </w:r>
    </w:p>
    <w:p>
      <w:pPr>
        <w:pStyle w:val="ListParagraph"/>
        <w:numPr>
          <w:ilvl w:val="0"/>
          <w:numId w:val="7"/>
        </w:numPr>
        <w:spacing w:after="80" w:line="276"/>
      </w:pPr>
      <w:r>
        <w:rPr>
          <w:rFonts w:ascii="Arial" w:cs="Arial" w:eastAsia="Arial" w:hAnsi="Arial"/>
          <w:color w:val="2C2C2C"/>
          <w:sz w:val="20"/>
          <w:szCs w:val="20"/>
        </w:rPr>
        <w:t xml:space="preserve">UTR (Universal Tennis Rating) — Algorithm documentation, Dave Howell origin story, match weight mechanics, verified vs. unverified distinction, 800K+ player database covering 200+ countries</w:t>
      </w:r>
    </w:p>
    <w:p>
      <w:pPr>
        <w:pStyle w:val="ListParagraph"/>
        <w:numPr>
          <w:ilvl w:val="0"/>
          <w:numId w:val="7"/>
        </w:numPr>
        <w:spacing w:after="80" w:line="276"/>
      </w:pPr>
      <w:r>
        <w:rPr>
          <w:rFonts w:ascii="Arial" w:cs="Arial" w:eastAsia="Arial" w:hAnsi="Arial"/>
          <w:color w:val="2C2C2C"/>
          <w:sz w:val="20"/>
          <w:szCs w:val="20"/>
        </w:rPr>
        <w:t xml:space="preserve">WTN (World Tennis Number) — ITF Glicko-2 methodology, confidence levels, Game zONe concept, 160+ nations, 30M+ match records, weekly recalculation cycle</w:t>
      </w:r>
    </w:p>
    <w:p>
      <w:pPr>
        <w:pStyle w:val="ListParagraph"/>
        <w:numPr>
          <w:ilvl w:val="0"/>
          <w:numId w:val="7"/>
        </w:numPr>
        <w:spacing w:after="160" w:line="276"/>
      </w:pPr>
      <w:r>
        <w:rPr>
          <w:rFonts w:ascii="Arial" w:cs="Arial" w:eastAsia="Arial" w:hAnsi="Arial"/>
          <w:color w:val="2C2C2C"/>
          <w:sz w:val="20"/>
          <w:szCs w:val="20"/>
        </w:rPr>
        <w:t xml:space="preserve">NTRP (National Tennis Rating Program) — USTA 1978 origin, 1.5–7.0 scale, dynamic vs. static ratings, year-end publication cycle, dynamic disqualification mechanics, gender-separated adult ratings</w:t>
      </w:r>
    </w:p>
    <w:p>
      <w:pPr>
        <w:spacing w:before="200" w:after="120"/>
      </w:pPr>
      <w:r>
        <w:rPr>
          <w:rFonts w:ascii="Arial" w:cs="Arial" w:eastAsia="Arial" w:hAnsi="Arial"/>
          <w:b/>
          <w:bCs/>
          <w:color w:val="C9A96E"/>
          <w:sz w:val="22"/>
          <w:szCs w:val="22"/>
        </w:rPr>
        <w:t xml:space="preserve">Progression Models from Adjacent Disciplines</w:t>
      </w:r>
    </w:p>
    <w:p>
      <w:pPr>
        <w:pStyle w:val="ListParagraph"/>
        <w:numPr>
          <w:ilvl w:val="0"/>
          <w:numId w:val="8"/>
        </w:numPr>
        <w:spacing w:after="80" w:line="276"/>
      </w:pPr>
      <w:r>
        <w:rPr>
          <w:rFonts w:ascii="Arial" w:cs="Arial" w:eastAsia="Arial" w:hAnsi="Arial"/>
          <w:color w:val="2C2C2C"/>
          <w:sz w:val="20"/>
          <w:szCs w:val="20"/>
        </w:rPr>
        <w:t xml:space="preserve">Martial Arts Belt Systems — Jigoro Kano origin, multi-dimensional evaluation criteria, BJJ youth 13-belt system (ages 4–15), stripe micro-milestones, “McDojo” devaluation warning, symbolic color narrative</w:t>
      </w:r>
    </w:p>
    <w:p>
      <w:pPr>
        <w:pStyle w:val="ListParagraph"/>
        <w:numPr>
          <w:ilvl w:val="0"/>
          <w:numId w:val="8"/>
        </w:numPr>
        <w:spacing w:after="80" w:line="276"/>
      </w:pPr>
      <w:r>
        <w:rPr>
          <w:rFonts w:ascii="Arial" w:cs="Arial" w:eastAsia="Arial" w:hAnsi="Arial"/>
          <w:color w:val="2C2C2C"/>
          <w:sz w:val="20"/>
          <w:szCs w:val="20"/>
        </w:rPr>
        <w:t xml:space="preserve">USA Swimming ADM — 6-level development model, Learn-to-Swim 7-stage progression, binary skill gates, badge/certificate systems, safety-framed parent education</w:t>
      </w:r>
    </w:p>
    <w:p>
      <w:pPr>
        <w:pStyle w:val="ListParagraph"/>
        <w:numPr>
          <w:ilvl w:val="0"/>
          <w:numId w:val="8"/>
        </w:numPr>
        <w:spacing w:after="160" w:line="276"/>
      </w:pPr>
      <w:r>
        <w:rPr>
          <w:rFonts w:ascii="Arial" w:cs="Arial" w:eastAsia="Arial" w:hAnsi="Arial"/>
          <w:color w:val="2C2C2C"/>
          <w:sz w:val="20"/>
          <w:szCs w:val="20"/>
        </w:rPr>
        <w:t xml:space="preserve">Long-Term Athlete Development (LTAD) — Istvan Balyi 7-stage framework, windows of opportunity concept, USTA Tennis ADM adaptation, evidence limitations and implementation critiques</w:t>
      </w:r>
    </w:p>
    <w:p>
      <w:pPr>
        <w:spacing w:before="200" w:after="120"/>
      </w:pPr>
      <w:r>
        <w:rPr>
          <w:rFonts w:ascii="Arial" w:cs="Arial" w:eastAsia="Arial" w:hAnsi="Arial"/>
          <w:b/>
          <w:bCs/>
          <w:color w:val="C9A96E"/>
          <w:sz w:val="22"/>
          <w:szCs w:val="22"/>
        </w:rPr>
        <w:t xml:space="preserve">USTA / LBTA Operational Systems</w:t>
      </w:r>
    </w:p>
    <w:p>
      <w:pPr>
        <w:pStyle w:val="ListParagraph"/>
        <w:numPr>
          <w:ilvl w:val="0"/>
          <w:numId w:val="9"/>
        </w:numPr>
        <w:spacing w:after="80" w:line="276"/>
      </w:pPr>
      <w:r>
        <w:rPr>
          <w:rFonts w:ascii="Arial" w:cs="Arial" w:eastAsia="Arial" w:hAnsi="Arial"/>
          <w:color w:val="2C2C2C"/>
          <w:sz w:val="20"/>
          <w:szCs w:val="20"/>
        </w:rPr>
        <w:t xml:space="preserve">USTA Ball Progression — Red/Orange/Green/Yellow equipment pathway, court size progressions, PlayTracker point thresholds (1,500 total / 1,000 Win Points for Green→Yellow), readiness-before-status principle</w:t>
      </w:r>
    </w:p>
    <w:p>
      <w:pPr>
        <w:pStyle w:val="ListParagraph"/>
        <w:numPr>
          <w:ilvl w:val="0"/>
          <w:numId w:val="9"/>
        </w:numPr>
        <w:spacing w:after="80" w:line="276"/>
      </w:pPr>
      <w:r>
        <w:rPr>
          <w:rFonts w:ascii="Arial" w:cs="Arial" w:eastAsia="Arial" w:hAnsi="Arial"/>
          <w:color w:val="2C2C2C"/>
          <w:sz w:val="20"/>
          <w:szCs w:val="20"/>
        </w:rPr>
        <w:t xml:space="preserve">SoCal JTT System — WTN replacing JNTRP for groupings and seeding at Levels 3–5, tournament pathway Levels 7–1</w:t>
      </w:r>
    </w:p>
    <w:p>
      <w:pPr>
        <w:pStyle w:val="ListParagraph"/>
        <w:numPr>
          <w:ilvl w:val="0"/>
          <w:numId w:val="9"/>
        </w:numPr>
        <w:spacing w:after="80" w:line="276"/>
      </w:pPr>
      <w:r>
        <w:rPr>
          <w:rFonts w:ascii="Arial" w:cs="Arial" w:eastAsia="Arial" w:hAnsi="Arial"/>
          <w:color w:val="2C2C2C"/>
          <w:sz w:val="20"/>
          <w:szCs w:val="20"/>
        </w:rPr>
        <w:t xml:space="preserve">LBTA Project Knowledge — UTR knowledge base (13 modules), USTA knowledge base (13 modules), Airtable schema (695 students, 529 enrollments, 37 JTT roster entries), brand guidelines (Aman positioning)</w:t>
      </w:r>
    </w:p>
    <w:p>
      <w:pPr>
        <w:pStyle w:val="ListParagraph"/>
        <w:numPr>
          <w:ilvl w:val="0"/>
          <w:numId w:val="9"/>
        </w:numPr>
        <w:spacing w:after="160" w:line="276"/>
      </w:pPr>
      <w:r>
        <w:rPr>
          <w:rFonts w:ascii="Arial" w:cs="Arial" w:eastAsia="Arial" w:hAnsi="Arial"/>
          <w:color w:val="2C2C2C"/>
          <w:sz w:val="20"/>
          <w:szCs w:val="20"/>
        </w:rPr>
        <w:t xml:space="preserve">Domain 1 (Physical Fitness Testing) and Domain 2 (Skills Assessment &amp; Coach Calibration) research documents — foundational inputs for the Skill Compass and fitness metric components of this progression framework</w:t>
      </w:r>
    </w:p>
    <w:p>
      <w:pPr>
        <w:pBdr>
          <w:bottom w:val="single" w:color="C9A96E" w:sz="6" w:space="1"/>
        </w:pBdr>
        <w:spacing w:before="200" w:after="200"/>
      </w:pPr>
    </w:p>
    <w:p>
      <w:pPr>
        <w:spacing w:before="400" w:after="200"/>
        <w:jc w:val="center"/>
      </w:pPr>
      <w:r>
        <w:rPr>
          <w:rFonts w:ascii="Arial" w:cs="Arial" w:eastAsia="Arial" w:hAnsi="Arial"/>
          <w:i/>
          <w:iCs/>
          <w:color w:val="666666"/>
          <w:sz w:val="20"/>
          <w:szCs w:val="20"/>
        </w:rPr>
        <w:t xml:space="preserve">End of Domain 3: Rating Systems &amp; Progression Models</w:t>
      </w:r>
    </w:p>
    <w:p>
      <w:pPr>
        <w:jc w:val="center"/>
      </w:pPr>
      <w:r>
        <w:rPr>
          <w:rFonts w:ascii="Arial" w:cs="Arial" w:eastAsia="Arial" w:hAnsi="Arial"/>
          <w:color w:val="C9A96E"/>
          <w:sz w:val="18"/>
          <w:szCs w:val="18"/>
        </w:rPr>
        <w:t xml:space="preserve">Next: Domain 4 — Achievement System Design &amp; Gamification Psychology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Laguna Beach Tennis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LBTA  |  Domain 3: Rating Systems &amp; Progression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2026-02-23T05:27:43.886Z</dcterms:created>
  <dcterms:modified xsi:type="dcterms:W3CDTF">2026-02-23T05:27:43.887Z</dcterms:modified>
</cp:coreProperties>
</file>

<file path=docProps/custom.xml><?xml version="1.0" encoding="utf-8"?>
<Properties xmlns="http://schemas.openxmlformats.org/officeDocument/2006/custom-properties" xmlns:vt="http://schemas.openxmlformats.org/officeDocument/2006/docPropsVTypes"/>
</file>