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2E8B8B"/>
          <w:spacing w:val="200"/>
          <w:sz w:val="22"/>
          <w:szCs w:val="22"/>
        </w:rPr>
        <w:t xml:space="preserve">LAGUNA BEACH TENNIS ACADEMY</w:t>
      </w:r>
    </w:p>
    <w:p>
      <w:pPr>
        <w:spacing w:after="80"/>
        <w:jc w:val="center"/>
      </w:pPr>
      <w:r>
        <w:rPr>
          <w:rFonts w:ascii="Arial" w:cs="Arial" w:eastAsia="Arial" w:hAnsi="Arial"/>
          <w:b/>
          <w:bCs/>
          <w:color w:val="1B3A5C"/>
          <w:sz w:val="36"/>
          <w:szCs w:val="36"/>
        </w:rPr>
        <w:t xml:space="preserve">Player Progression System</w:t>
      </w:r>
    </w:p>
    <w:p>
      <w:pPr>
        <w:pBdr>
          <w:bottom w:val="single" w:color="C4963C" w:sz="6" w:space="8"/>
        </w:pBdr>
        <w:spacing w:after="400"/>
        <w:jc w:val="center"/>
      </w:pPr>
      <w:r>
        <w:rPr>
          <w:rFonts w:ascii="Arial" w:cs="Arial" w:eastAsia="Arial" w:hAnsi="Arial"/>
          <w:color w:val="1B3A5C"/>
          <w:sz w:val="28"/>
          <w:szCs w:val="28"/>
        </w:rPr>
        <w:t xml:space="preserve">Domain 4: Achievement System Design &amp; Gamification Psychology</w:t>
      </w:r>
    </w:p>
    <w:p>
      <w:pPr>
        <w:spacing w:before="600"/>
      </w:pPr>
    </w:p>
    <w:p>
      <w:pPr>
        <w:spacing w:after="80"/>
        <w:jc w:val="center"/>
      </w:pPr>
      <w:r>
        <w:rPr>
          <w:rFonts w:ascii="Arial" w:cs="Arial" w:eastAsia="Arial" w:hAnsi="Arial"/>
          <w:color w:val="666666"/>
          <w:sz w:val="22"/>
          <w:szCs w:val="22"/>
        </w:rPr>
        <w:t xml:space="preserve">Research Synthesis &amp; Design Recommendations</w:t>
      </w:r>
    </w:p>
    <w:p>
      <w:pPr>
        <w:spacing w:after="80"/>
        <w:jc w:val="center"/>
      </w:pPr>
      <w:r>
        <w:rPr>
          <w:rFonts w:ascii="Arial" w:cs="Arial" w:eastAsia="Arial" w:hAnsi="Arial"/>
          <w:color w:val="999999"/>
          <w:sz w:val="20"/>
          <w:szCs w:val="20"/>
        </w:rPr>
        <w:t xml:space="preserve">February 2026</w:t>
      </w:r>
    </w:p>
    <w:p>
      <w:pPr>
        <w:jc w:val="center"/>
      </w:pPr>
      <w:r>
        <w:rPr>
          <w:rFonts w:ascii="Arial" w:cs="Arial" w:eastAsia="Arial" w:hAnsi="Arial"/>
          <w:b/>
          <w:bCs/>
          <w:color w:val="C4963C"/>
          <w:sz w:val="18"/>
          <w:szCs w:val="18"/>
        </w:rPr>
        <w:t xml:space="preserve">CONFIDENTIAL — INTERNAL USE ONLY</w:t>
      </w:r>
    </w:p>
    <w:p>
      <w:r>
        <w:br w:type="page"/>
      </w:r>
    </w:p>
    <w:p>
      <w:pPr>
        <w:pStyle w:val="Heading1"/>
        <w:spacing w:before="360" w:after="200"/>
      </w:pPr>
      <w:r>
        <w:rPr>
          <w:rFonts w:ascii="Arial" w:cs="Arial" w:eastAsia="Arial" w:hAnsi="Arial"/>
          <w:b/>
          <w:bCs/>
          <w:color w:val="1B3A5C"/>
          <w:sz w:val="32"/>
          <w:szCs w:val="32"/>
        </w:rPr>
        <w:t xml:space="preserve">Executive Summary</w:t>
      </w:r>
    </w:p>
    <w:p>
      <w:pPr>
        <w:spacing w:after="160" w:line="276"/>
      </w:pPr>
      <w:r>
        <w:rPr>
          <w:rFonts w:ascii="Arial" w:cs="Arial" w:eastAsia="Arial" w:hAnsi="Arial"/>
          <w:color w:val="333333"/>
          <w:sz w:val="21"/>
          <w:szCs w:val="21"/>
        </w:rPr>
        <w:t xml:space="preserve">This document synthesizes research from behavioral psychology, gamification science, loyalty program design, and youth sports development to establish evidence-based principles for LBTA’s achievement and recognition architecture. The core finding: achievement systems that succeed long-term are those built on Self-Determination Theory’s three pillars—autonomy, competence, and relatedness—rather than external reward mechanics. Systems that emphasize points, badges, and leaderboards without grounding in psychological need satisfaction produce short-term engagement spikes followed by motivational collapse.</w:t>
      </w:r>
    </w:p>
    <w:p>
      <w:pPr>
        <w:spacing w:after="160" w:line="276"/>
      </w:pPr>
      <w:r>
        <w:rPr>
          <w:rFonts w:ascii="Arial" w:cs="Arial" w:eastAsia="Arial" w:hAnsi="Arial"/>
          <w:color w:val="333333"/>
          <w:sz w:val="21"/>
          <w:szCs w:val="21"/>
        </w:rPr>
        <w:t xml:space="preserve">For LBTA, this means our achievement system must function as a mirror that reflects genuine progress rather than a slot machine that manufactures artificial engagement. The research identifies four design principles that separate sustainable motivation architectures from disposable gamification: endow early progress to reduce perceived distance to first meaningful milestone, celebrate competence growth rather than compliance behaviors, preserve autonomy by making recognition opt-in and self-directed, and connect individual achievement to community belonging.</w:t>
      </w:r>
    </w:p>
    <w:p>
      <w:pPr>
        <w:spacing w:after="160" w:line="276"/>
      </w:pPr>
      <w:r>
        <w:rPr>
          <w:rFonts w:ascii="Arial" w:cs="Arial" w:eastAsia="Arial" w:hAnsi="Arial"/>
          <w:color w:val="333333"/>
          <w:sz w:val="21"/>
          <w:szCs w:val="21"/>
        </w:rPr>
        <w:t xml:space="preserve">The financial case is substantial. LBTA’s retention economics show that a 5-point retention improvement across 695 students generates $70K–$122K in additional annual revenue, with a 10-point improvement reaching $140K–$245K. Achievement systems are the primary lever for driving this improvement, operating through four mechanisms: reduced churn at natural dropout inflection points, increased program advancement (30–100% revenue uplift per tier), referral generation from socially visible recognition, and family lifetime value extension through multi-child and multi-year engagement.</w:t>
      </w:r>
    </w:p>
    <w:p>
      <w:pPr>
        <w:pBdr>
          <w:bottom w:val="single" w:color="C4963C" w:sz="4" w:space="1"/>
        </w:pBdr>
        <w:spacing w:before="200" w:after="200"/>
      </w:pPr>
    </w:p>
    <w:p>
      <w:pPr>
        <w:pStyle w:val="Heading1"/>
        <w:spacing w:before="360" w:after="200"/>
      </w:pPr>
      <w:r>
        <w:rPr>
          <w:rFonts w:ascii="Arial" w:cs="Arial" w:eastAsia="Arial" w:hAnsi="Arial"/>
          <w:b/>
          <w:bCs/>
          <w:color w:val="1B3A5C"/>
          <w:sz w:val="32"/>
          <w:szCs w:val="32"/>
        </w:rPr>
        <w:t xml:space="preserve">1. Theoretical Foundations</w:t>
      </w:r>
    </w:p>
    <w:p>
      <w:pPr>
        <w:pStyle w:val="Heading2"/>
        <w:spacing w:before="280" w:after="160"/>
      </w:pPr>
      <w:r>
        <w:rPr>
          <w:rFonts w:ascii="Arial" w:cs="Arial" w:eastAsia="Arial" w:hAnsi="Arial"/>
          <w:b/>
          <w:bCs/>
          <w:color w:val="2E8B8B"/>
          <w:sz w:val="26"/>
          <w:szCs w:val="26"/>
        </w:rPr>
        <w:t xml:space="preserve">1.1 Self-Determination Theory (SDT)</w:t>
      </w:r>
    </w:p>
    <w:p>
      <w:pPr>
        <w:spacing w:after="160" w:line="276"/>
      </w:pPr>
      <w:r>
        <w:rPr>
          <w:rFonts w:ascii="Arial" w:cs="Arial" w:eastAsia="Arial" w:hAnsi="Arial"/>
          <w:color w:val="333333"/>
          <w:sz w:val="21"/>
          <w:szCs w:val="21"/>
        </w:rPr>
        <w:t xml:space="preserve">Self-Determination Theory, developed by Edward Deci and Richard Ryan, is the most influential motivation model in contemporary behavioral science and the most frequently cited theoretical framework in gamification research. Of 118 different theories used across gamification studies, the majority share direct connections to SDT’s core constructs.</w:t>
      </w:r>
    </w:p>
    <w:p>
      <w:pPr>
        <w:spacing w:after="160" w:line="276"/>
      </w:pPr>
      <w:r>
        <w:rPr>
          <w:rFonts w:ascii="Arial" w:cs="Arial" w:eastAsia="Arial" w:hAnsi="Arial"/>
          <w:color w:val="333333"/>
          <w:sz w:val="21"/>
          <w:szCs w:val="21"/>
        </w:rPr>
        <w:t xml:space="preserve">SDT posits three basic psychological needs that, when satisfied, produce high-quality intrinsic motivation:</w:t>
      </w:r>
    </w:p>
    <w:p>
      <w:pPr>
        <w:spacing w:after="160" w:line="276"/>
      </w:pPr>
      <w:r>
        <w:rPr>
          <w:rFonts w:ascii="Arial" w:cs="Arial" w:eastAsia="Arial" w:hAnsi="Arial"/>
          <w:b/>
          <w:bCs/>
          <w:color w:val="1B3A5C"/>
          <w:sz w:val="21"/>
          <w:szCs w:val="21"/>
        </w:rPr>
        <w:t xml:space="preserve">Autonomy: </w:t>
      </w:r>
      <w:r>
        <w:rPr>
          <w:rFonts w:ascii="Arial" w:cs="Arial" w:eastAsia="Arial" w:hAnsi="Arial"/>
          <w:color w:val="333333"/>
          <w:sz w:val="21"/>
          <w:szCs w:val="21"/>
        </w:rPr>
        <w:t xml:space="preserve">The experience of volition and self-endorsement of one’s actions. In tennis, this means players choose to practice, compete, and pursue milestones because the activity feels self-directed rather than externally mandated. Achievement systems that allow players to select their own goals and recognition pathways preserve autonomy; systems that assign mandatory progression tracks undermine it.</w:t>
      </w:r>
    </w:p>
    <w:p>
      <w:pPr>
        <w:spacing w:after="160" w:line="276"/>
      </w:pPr>
      <w:r>
        <w:rPr>
          <w:rFonts w:ascii="Arial" w:cs="Arial" w:eastAsia="Arial" w:hAnsi="Arial"/>
          <w:b/>
          <w:bCs/>
          <w:color w:val="1B3A5C"/>
          <w:sz w:val="21"/>
          <w:szCs w:val="21"/>
        </w:rPr>
        <w:t xml:space="preserve">Competence: </w:t>
      </w:r>
      <w:r>
        <w:rPr>
          <w:rFonts w:ascii="Arial" w:cs="Arial" w:eastAsia="Arial" w:hAnsi="Arial"/>
          <w:color w:val="333333"/>
          <w:sz w:val="21"/>
          <w:szCs w:val="21"/>
        </w:rPr>
        <w:t xml:space="preserve">The feeling of effectiveness and mastery in one’s interactions with the environment. Critically, competence perceptions increase intrinsic motivation only when accompanied by perceived autonomy. A player who demonstrates a new skill but feels the demonstration was coerced experiences competence without autonomy—and the motivational benefit is lost. This means testing protocols must feel like opportunities rather than evaluations.</w:t>
      </w:r>
    </w:p>
    <w:p>
      <w:pPr>
        <w:spacing w:after="160" w:line="276"/>
      </w:pPr>
      <w:r>
        <w:rPr>
          <w:rFonts w:ascii="Arial" w:cs="Arial" w:eastAsia="Arial" w:hAnsi="Arial"/>
          <w:b/>
          <w:bCs/>
          <w:color w:val="1B3A5C"/>
          <w:sz w:val="21"/>
          <w:szCs w:val="21"/>
        </w:rPr>
        <w:t xml:space="preserve">Relatedness: </w:t>
      </w:r>
      <w:r>
        <w:rPr>
          <w:rFonts w:ascii="Arial" w:cs="Arial" w:eastAsia="Arial" w:hAnsi="Arial"/>
          <w:color w:val="333333"/>
          <w:sz w:val="21"/>
          <w:szCs w:val="21"/>
        </w:rPr>
        <w:t xml:space="preserve">The sense of connection, belonging, and care within a community. LBTA’s “Belonging” pillar maps directly to this need. Achievement systems that create shared celebrations, mentoring relationships, and team identity satisfy relatedness; systems focused solely on individual ranking undermine it.</w:t>
      </w:r>
    </w:p>
    <w:p>
      <w:pPr>
        <w:spacing w:after="160" w:line="276"/>
      </w:pPr>
      <w:r>
        <w:rPr>
          <w:rFonts w:ascii="Arial" w:cs="Arial" w:eastAsia="Arial" w:hAnsi="Arial"/>
          <w:color w:val="333333"/>
          <w:sz w:val="21"/>
          <w:szCs w:val="21"/>
        </w:rPr>
        <w:t xml:space="preserve">SDT describes motivation along a continuum from amotivation (no motivation) through external regulation (acting for rewards or to avoid punishment), introjected regulation (acting from guilt or ego), identified regulation (acting because the outcome is personally valued), integrated regulation (acting because the behavior aligns with one’s identity), and finally intrinsic motivation (acting for the inherent satisfaction of the activity itself).</w:t>
      </w:r>
    </w:p>
    <w:p>
      <w:pPr>
        <w:spacing w:after="160" w:line="276"/>
      </w:pPr>
      <w:r>
        <w:rPr>
          <w:rFonts w:ascii="Arial" w:cs="Arial" w:eastAsia="Arial" w:hAnsi="Arial"/>
          <w:color w:val="333333"/>
          <w:sz w:val="21"/>
          <w:szCs w:val="21"/>
        </w:rPr>
        <w:t xml:space="preserve">The design implication is directional: every element of LBTA’s achievement system should move players rightward on this continuum—from external regulation toward identified, integrated, and intrinsic motivation. Recognition that begins as external (earning a wristband) should be designed to internalize over time (identifying as a committed athlete).</w:t>
      </w:r>
    </w:p>
    <w:p>
      <w:pPr>
        <w:pStyle w:val="Heading2"/>
        <w:spacing w:before="280" w:after="160"/>
      </w:pPr>
      <w:r>
        <w:rPr>
          <w:rFonts w:ascii="Arial" w:cs="Arial" w:eastAsia="Arial" w:hAnsi="Arial"/>
          <w:b/>
          <w:bCs/>
          <w:color w:val="2E8B8B"/>
          <w:sz w:val="26"/>
          <w:szCs w:val="26"/>
        </w:rPr>
        <w:t xml:space="preserve">1.2 The Overjustification Effect</w:t>
      </w:r>
    </w:p>
    <w:p>
      <w:pPr>
        <w:spacing w:after="160" w:line="276"/>
      </w:pPr>
      <w:r>
        <w:rPr>
          <w:rFonts w:ascii="Arial" w:cs="Arial" w:eastAsia="Arial" w:hAnsi="Arial"/>
          <w:color w:val="333333"/>
          <w:sz w:val="21"/>
          <w:szCs w:val="21"/>
        </w:rPr>
        <w:t xml:space="preserve">The overjustification effect describes the well-documented phenomenon where introducing external rewards for an already enjoyable activity decreases intrinsic motivation for that activity. This is the central risk in achievement system design: the very system meant to increase engagement can destroy the intrinsic joy that brought players to tennis in the first place.</w:t>
      </w:r>
    </w:p>
    <w:p>
      <w:pPr>
        <w:spacing w:after="160" w:line="276"/>
      </w:pPr>
      <w:r>
        <w:rPr>
          <w:rFonts w:ascii="Arial" w:cs="Arial" w:eastAsia="Arial" w:hAnsi="Arial"/>
          <w:color w:val="333333"/>
          <w:sz w:val="21"/>
          <w:szCs w:val="21"/>
        </w:rPr>
        <w:t xml:space="preserve">The research identifies specific conditions under which this risk materializes:</w:t>
      </w:r>
    </w:p>
    <w:p>
      <w:pPr>
        <w:pStyle w:val="ListParagraph"/>
        <w:numPr>
          <w:ilvl w:val="0"/>
          <w:numId w:val="2"/>
        </w:numPr>
        <w:spacing w:after="120"/>
      </w:pPr>
      <w:r>
        <w:rPr>
          <w:rFonts w:ascii="Arial" w:cs="Arial" w:eastAsia="Arial" w:hAnsi="Arial"/>
          <w:color w:val="333333"/>
          <w:sz w:val="21"/>
          <w:szCs w:val="21"/>
        </w:rPr>
        <w:t xml:space="preserve">Tangible rewards (money, prizes) attached to activities that were previously intrinsically motivating </w:t>
      </w:r>
      <w:r>
        <w:rPr>
          <w:rFonts w:ascii="Arial" w:cs="Arial" w:eastAsia="Arial" w:hAnsi="Arial"/>
          <w:i/>
          <w:iCs/>
          <w:color w:val="333333"/>
          <w:sz w:val="21"/>
          <w:szCs w:val="21"/>
        </w:rPr>
        <w:t xml:space="preserve">generally decrease intrinsic motivation</w:t>
      </w:r>
      <w:r>
        <w:rPr>
          <w:rFonts w:ascii="Arial" w:cs="Arial" w:eastAsia="Arial" w:hAnsi="Arial"/>
          <w:color w:val="333333"/>
          <w:sz w:val="21"/>
          <w:szCs w:val="21"/>
        </w:rPr>
        <w:t xml:space="preserve"> because they are perceived as controlling (Deci et al., 2001).</w:t>
      </w:r>
    </w:p>
    <w:p>
      <w:pPr>
        <w:pStyle w:val="ListParagraph"/>
        <w:numPr>
          <w:ilvl w:val="0"/>
          <w:numId w:val="2"/>
        </w:numPr>
        <w:spacing w:after="120"/>
      </w:pPr>
      <w:r>
        <w:rPr>
          <w:rFonts w:ascii="Arial" w:cs="Arial" w:eastAsia="Arial" w:hAnsi="Arial"/>
          <w:color w:val="333333"/>
          <w:sz w:val="21"/>
          <w:szCs w:val="21"/>
        </w:rPr>
        <w:t xml:space="preserve">Points attached to activities that feel irrelevant to the player fail to support competence perception, producing hollow engagement.</w:t>
      </w:r>
    </w:p>
    <w:p>
      <w:pPr>
        <w:pStyle w:val="ListParagraph"/>
        <w:numPr>
          <w:ilvl w:val="0"/>
          <w:numId w:val="2"/>
        </w:numPr>
        <w:spacing w:after="120"/>
      </w:pPr>
      <w:r>
        <w:rPr>
          <w:rFonts w:ascii="Arial" w:cs="Arial" w:eastAsia="Arial" w:hAnsi="Arial"/>
          <w:color w:val="333333"/>
          <w:sz w:val="21"/>
          <w:szCs w:val="21"/>
        </w:rPr>
        <w:t xml:space="preserve">Awards perceived as controlling—requiring specific behaviors in specific sequences—harm autonomy and reduce the quality of motivation even when the behavior itself is performed.</w:t>
      </w:r>
    </w:p>
    <w:p>
      <w:pPr>
        <w:pStyle w:val="ListParagraph"/>
        <w:numPr>
          <w:ilvl w:val="0"/>
          <w:numId w:val="2"/>
        </w:numPr>
        <w:spacing w:after="160"/>
      </w:pPr>
      <w:r>
        <w:rPr>
          <w:rFonts w:ascii="Arial" w:cs="Arial" w:eastAsia="Arial" w:hAnsi="Arial"/>
          <w:color w:val="333333"/>
          <w:sz w:val="21"/>
          <w:szCs w:val="21"/>
        </w:rPr>
        <w:t xml:space="preserve">"Rhetorical gamification"—using game elements to yield the appearance of a game without aligning with outcome goals—produces particularly negative effects because it signals inauthenticity (Landers, 2019).</w:t>
      </w:r>
    </w:p>
    <w:p>
      <w:pPr>
        <w:spacing w:after="160" w:line="276"/>
      </w:pPr>
      <w:r>
        <w:rPr>
          <w:rFonts w:ascii="Arial" w:cs="Arial" w:eastAsia="Arial" w:hAnsi="Arial"/>
          <w:color w:val="333333"/>
          <w:sz w:val="21"/>
          <w:szCs w:val="21"/>
        </w:rPr>
        <w:t xml:space="preserve">However, the research also identifies important exceptions. Unexpected tangible rewards do not impair intrinsic motivation because the player did not perform the activity in anticipation of the reward. Informational verbal rewards—feedback that communicates competence—actually increase intrinsic motivation compared to controlling verbal rewards that communicate evaluation. This distinction shapes how coaches deliver recognition: “Your rally consistency has improved from 6 to 12 balls” (informational) versus “Good job meeting your rally target” (controlling).</w:t>
      </w:r>
    </w:p>
    <w:p>
      <w:pPr>
        <w:spacing w:before="200" w:after="120"/>
      </w:pPr>
      <w:r>
        <w:rPr>
          <w:rFonts w:ascii="Arial" w:cs="Arial" w:eastAsia="Arial" w:hAnsi="Arial"/>
          <w:b/>
          <w:bCs/>
          <w:color w:val="1B3A5C"/>
          <w:sz w:val="22"/>
          <w:szCs w:val="22"/>
        </w:rPr>
        <w:t xml:space="preserve">Design Principle: Celebrate Growth, Not Compliance</w:t>
      </w:r>
    </w:p>
    <w:p>
      <w:pPr>
        <w:spacing w:after="160" w:line="276"/>
      </w:pPr>
      <w:r>
        <w:rPr>
          <w:rFonts w:ascii="Arial" w:cs="Arial" w:eastAsia="Arial" w:hAnsi="Arial"/>
          <w:color w:val="333333"/>
          <w:sz w:val="21"/>
          <w:szCs w:val="21"/>
        </w:rPr>
        <w:t xml:space="preserve">The overjustification research produces a clear design principle for LBTA: recognition should celebrate observable growth in skill, character, and community contribution—never compliance with program requirements. A player earns recognition because they demonstrably improved their serve consistency, not because they attended 10 sessions. The attendance may have enabled the improvement, but the recognition points to the competence gain, preserving intrinsic motivation.</w:t>
      </w:r>
    </w:p>
    <w:p>
      <w:pPr>
        <w:pStyle w:val="Heading2"/>
        <w:spacing w:before="280" w:after="160"/>
      </w:pPr>
      <w:r>
        <w:rPr>
          <w:rFonts w:ascii="Arial" w:cs="Arial" w:eastAsia="Arial" w:hAnsi="Arial"/>
          <w:b/>
          <w:bCs/>
          <w:color w:val="2E8B8B"/>
          <w:sz w:val="26"/>
          <w:szCs w:val="26"/>
        </w:rPr>
        <w:t xml:space="preserve">1.3 The Endowed Progress Effect</w:t>
      </w:r>
    </w:p>
    <w:p>
      <w:pPr>
        <w:spacing w:after="160" w:line="276"/>
      </w:pPr>
      <w:r>
        <w:rPr>
          <w:rFonts w:ascii="Arial" w:cs="Arial" w:eastAsia="Arial" w:hAnsi="Arial"/>
          <w:color w:val="333333"/>
          <w:sz w:val="21"/>
          <w:szCs w:val="21"/>
        </w:rPr>
        <w:t xml:space="preserve">The Endowed Progress Effect, documented by Nunes and Drezè (2006), demonstrates that people provided with artificial advancement toward a goal exhibit significantly greater persistence in reaching that goal. In their landmark car wash experiment, customers given a 10-stamp loyalty card with 2 stamps pre-filled completed the card at a 34% rate, compared to 19% for customers given an 8-stamp card with no pre-filled stamps—despite both groups needing exactly 8 purchases.</w:t>
      </w:r>
    </w:p>
    <w:p>
      <w:pPr>
        <w:spacing w:after="160" w:line="276"/>
      </w:pPr>
      <w:r>
        <w:rPr>
          <w:rFonts w:ascii="Arial" w:cs="Arial" w:eastAsia="Arial" w:hAnsi="Arial"/>
          <w:color w:val="333333"/>
          <w:sz w:val="21"/>
          <w:szCs w:val="21"/>
        </w:rPr>
        <w:t xml:space="preserve">The mechanism operates through cognitive reframing: the endowed progress transforms the task from “not yet begun” to “undertaken and incomplete.” This triggers the consistency principle—people prefer to behave consistently with previous actions and do not want to abandon a task they have already started.</w:t>
      </w:r>
    </w:p>
    <w:p>
      <w:pPr>
        <w:spacing w:before="200" w:after="120"/>
      </w:pPr>
      <w:r>
        <w:rPr>
          <w:rFonts w:ascii="Arial" w:cs="Arial" w:eastAsia="Arial" w:hAnsi="Arial"/>
          <w:b/>
          <w:bCs/>
          <w:color w:val="1B3A5C"/>
          <w:sz w:val="22"/>
          <w:szCs w:val="22"/>
        </w:rPr>
        <w:t xml:space="preserve">Optimal Endowment Parameters</w:t>
      </w:r>
    </w:p>
    <w:p>
      <w:pPr>
        <w:pStyle w:val="ListParagraph"/>
        <w:numPr>
          <w:ilvl w:val="0"/>
          <w:numId w:val="3"/>
        </w:numPr>
        <w:spacing w:after="120"/>
      </w:pPr>
      <w:r>
        <w:rPr>
          <w:rFonts w:ascii="Arial" w:cs="Arial" w:eastAsia="Arial" w:hAnsi="Arial"/>
          <w:b/>
          <w:bCs/>
          <w:color w:val="333333"/>
          <w:sz w:val="21"/>
          <w:szCs w:val="21"/>
        </w:rPr>
        <w:t xml:space="preserve">Endow 10–25% of total effort required for first reward. </w:t>
      </w:r>
      <w:r>
        <w:rPr>
          <w:rFonts w:ascii="Arial" w:cs="Arial" w:eastAsia="Arial" w:hAnsi="Arial"/>
          <w:color w:val="333333"/>
          <w:sz w:val="21"/>
          <w:szCs w:val="21"/>
        </w:rPr>
        <w:t xml:space="preserve">Less than 10% feels trivial; more than 25% devalues the effort still required.</w:t>
      </w:r>
    </w:p>
    <w:p>
      <w:pPr>
        <w:pStyle w:val="ListParagraph"/>
        <w:numPr>
          <w:ilvl w:val="0"/>
          <w:numId w:val="3"/>
        </w:numPr>
        <w:spacing w:after="120"/>
      </w:pPr>
      <w:r>
        <w:rPr>
          <w:rFonts w:ascii="Arial" w:cs="Arial" w:eastAsia="Arial" w:hAnsi="Arial"/>
          <w:b/>
          <w:bCs/>
          <w:color w:val="333333"/>
          <w:sz w:val="21"/>
          <w:szCs w:val="21"/>
        </w:rPr>
        <w:t xml:space="preserve">Never endow at the end of a journey. </w:t>
      </w:r>
      <w:r>
        <w:rPr>
          <w:rFonts w:ascii="Arial" w:cs="Arial" w:eastAsia="Arial" w:hAnsi="Arial"/>
          <w:color w:val="333333"/>
          <w:sz w:val="21"/>
          <w:szCs w:val="21"/>
        </w:rPr>
        <w:t xml:space="preserve">The closer someone is to a goal, the more they value their own efforts. Endowing progress near completion devalues existing effort and reduces perceived reward value.</w:t>
      </w:r>
    </w:p>
    <w:p>
      <w:pPr>
        <w:pStyle w:val="ListParagraph"/>
        <w:numPr>
          <w:ilvl w:val="0"/>
          <w:numId w:val="3"/>
        </w:numPr>
        <w:spacing w:after="120"/>
      </w:pPr>
      <w:r>
        <w:rPr>
          <w:rFonts w:ascii="Arial" w:cs="Arial" w:eastAsia="Arial" w:hAnsi="Arial"/>
          <w:b/>
          <w:bCs/>
          <w:color w:val="333333"/>
          <w:sz w:val="21"/>
          <w:szCs w:val="21"/>
        </w:rPr>
        <w:t xml:space="preserve">Make it seamless. </w:t>
      </w:r>
      <w:r>
        <w:rPr>
          <w:rFonts w:ascii="Arial" w:cs="Arial" w:eastAsia="Arial" w:hAnsi="Arial"/>
          <w:color w:val="333333"/>
          <w:sz w:val="21"/>
          <w:szCs w:val="21"/>
        </w:rPr>
        <w:t xml:space="preserve">Starbucks endowed loyalty progress automatically upon gift card redemption, creating 1.5 million new loyalty members. The best endowment feels natural, not manufactured.</w:t>
      </w:r>
    </w:p>
    <w:p>
      <w:pPr>
        <w:pStyle w:val="ListParagraph"/>
        <w:numPr>
          <w:ilvl w:val="0"/>
          <w:numId w:val="3"/>
        </w:numPr>
        <w:spacing w:after="160"/>
      </w:pPr>
      <w:r>
        <w:rPr>
          <w:rFonts w:ascii="Arial" w:cs="Arial" w:eastAsia="Arial" w:hAnsi="Arial"/>
          <w:b/>
          <w:bCs/>
          <w:color w:val="333333"/>
          <w:sz w:val="21"/>
          <w:szCs w:val="21"/>
        </w:rPr>
        <w:t xml:space="preserve">Provide a reason for the endowment. </w:t>
      </w:r>
      <w:r>
        <w:rPr>
          <w:rFonts w:ascii="Arial" w:cs="Arial" w:eastAsia="Arial" w:hAnsi="Arial"/>
          <w:color w:val="333333"/>
          <w:sz w:val="21"/>
          <w:szCs w:val="21"/>
        </w:rPr>
        <w:t xml:space="preserve">Research shows the effect is moderated by the perceived justification. “You’re starting with 2 stamps because you’re a new member” outperforms unexplained endowment.</w:t>
      </w:r>
    </w:p>
    <w:p>
      <w:pPr>
        <w:spacing w:before="200" w:after="120"/>
      </w:pPr>
      <w:r>
        <w:rPr>
          <w:rFonts w:ascii="Arial" w:cs="Arial" w:eastAsia="Arial" w:hAnsi="Arial"/>
          <w:b/>
          <w:bCs/>
          <w:color w:val="1B3A5C"/>
          <w:sz w:val="22"/>
          <w:szCs w:val="22"/>
        </w:rPr>
        <w:t xml:space="preserve">LBTA Application</w:t>
      </w:r>
    </w:p>
    <w:p>
      <w:pPr>
        <w:spacing w:after="160" w:line="276"/>
      </w:pPr>
      <w:r>
        <w:rPr>
          <w:rFonts w:ascii="Arial" w:cs="Arial" w:eastAsia="Arial" w:hAnsi="Arial"/>
          <w:color w:val="333333"/>
          <w:sz w:val="21"/>
          <w:szCs w:val="21"/>
        </w:rPr>
        <w:t xml:space="preserve">When a new student enrolls at LBTA, their Player Journey card should not start at zero. Their enrollment itself, their first session attendance, and their initial coach observation together represent genuine progress that deserves recognition. A Foundation-level player arriving for Week 2 should see that they have already completed 15–20% of the path to their first milestone—not because we manufactured progress, but because we counted the real steps they already took.</w:t>
      </w:r>
    </w:p>
    <w:p>
      <w:pPr>
        <w:pStyle w:val="Heading2"/>
        <w:spacing w:before="280" w:after="160"/>
      </w:pPr>
      <w:r>
        <w:rPr>
          <w:rFonts w:ascii="Arial" w:cs="Arial" w:eastAsia="Arial" w:hAnsi="Arial"/>
          <w:b/>
          <w:bCs/>
          <w:color w:val="2E8B8B"/>
          <w:sz w:val="26"/>
          <w:szCs w:val="26"/>
        </w:rPr>
        <w:t xml:space="preserve">1.4 The Goal Gradient Hypothesis</w:t>
      </w:r>
    </w:p>
    <w:p>
      <w:pPr>
        <w:spacing w:after="160" w:line="276"/>
      </w:pPr>
      <w:r>
        <w:rPr>
          <w:rFonts w:ascii="Arial" w:cs="Arial" w:eastAsia="Arial" w:hAnsi="Arial"/>
          <w:color w:val="333333"/>
          <w:sz w:val="21"/>
          <w:szCs w:val="21"/>
        </w:rPr>
        <w:t xml:space="preserve">Originally proposed by Clark Hull in 1932 and empirically validated in loyalty program contexts by Kivetz, Urminsky, and Zheng (2006), the Goal Gradient Hypothesis demonstrates that motivation to reach a goal increases as one moves closer to that goal. Customers enrolled in loyalty programs measurably accelerate their purchase frequency as they approach reward thresholds.</w:t>
      </w:r>
    </w:p>
    <w:p>
      <w:pPr>
        <w:spacing w:after="160" w:line="276"/>
      </w:pPr>
      <w:r>
        <w:rPr>
          <w:rFonts w:ascii="Arial" w:cs="Arial" w:eastAsia="Arial" w:hAnsi="Arial"/>
          <w:color w:val="333333"/>
          <w:sz w:val="21"/>
          <w:szCs w:val="21"/>
        </w:rPr>
        <w:t xml:space="preserve">The mechanism combines effort justification (people value goals they have invested significant effort into, and this valuation increases as they approach the goal) with the cognitive endowed progress effect (believing progress has been made increases motivation to complete).</w:t>
      </w:r>
    </w:p>
    <w:p>
      <w:pPr>
        <w:spacing w:before="200" w:after="120"/>
      </w:pPr>
      <w:r>
        <w:rPr>
          <w:rFonts w:ascii="Arial" w:cs="Arial" w:eastAsia="Arial" w:hAnsi="Arial"/>
          <w:b/>
          <w:bCs/>
          <w:color w:val="1B3A5C"/>
          <w:sz w:val="22"/>
          <w:szCs w:val="22"/>
        </w:rPr>
        <w:t xml:space="preserve">Design Implications for Achievement Architecture</w:t>
      </w:r>
    </w:p>
    <w:p>
      <w:pPr>
        <w:spacing w:after="160" w:line="276"/>
      </w:pPr>
      <w:r>
        <w:rPr>
          <w:rFonts w:ascii="Arial" w:cs="Arial" w:eastAsia="Arial" w:hAnsi="Arial"/>
          <w:color w:val="333333"/>
          <w:sz w:val="21"/>
          <w:szCs w:val="21"/>
        </w:rPr>
        <w:t xml:space="preserve">The goal gradient produces a specific design requirement: achievement milestones must be spaced so that players always feel meaningfully close to their next milestone. If milestones are too far apart, players spend most of their time in the motivational dead zone where the next goal feels unreachable. If milestones are too close together, each feels trivial. The research suggests a logarithmic spacing model: early milestones come quickly (building momentum), with gradually increasing intervals as players develop the internal motivation to sustain longer efforts.</w:t>
      </w:r>
    </w:p>
    <w:p>
      <w:r>
        <w:br w:type="page"/>
      </w:r>
    </w:p>
    <w:p>
      <w:pPr>
        <w:pBdr>
          <w:bottom w:val="single" w:color="C4963C" w:sz="4" w:space="1"/>
        </w:pBdr>
        <w:spacing w:before="200" w:after="200"/>
      </w:pPr>
    </w:p>
    <w:p>
      <w:pPr>
        <w:pStyle w:val="Heading1"/>
        <w:spacing w:before="360" w:after="200"/>
      </w:pPr>
      <w:r>
        <w:rPr>
          <w:rFonts w:ascii="Arial" w:cs="Arial" w:eastAsia="Arial" w:hAnsi="Arial"/>
          <w:b/>
          <w:bCs/>
          <w:color w:val="1B3A5C"/>
          <w:sz w:val="32"/>
          <w:szCs w:val="32"/>
        </w:rPr>
        <w:t xml:space="preserve">2. Comparative Achievement System Analysis</w:t>
      </w:r>
    </w:p>
    <w:p>
      <w:pPr>
        <w:pStyle w:val="Heading2"/>
        <w:spacing w:before="280" w:after="160"/>
      </w:pPr>
      <w:r>
        <w:rPr>
          <w:rFonts w:ascii="Arial" w:cs="Arial" w:eastAsia="Arial" w:hAnsi="Arial"/>
          <w:b/>
          <w:bCs/>
          <w:color w:val="2E8B8B"/>
          <w:sz w:val="26"/>
          <w:szCs w:val="26"/>
        </w:rPr>
        <w:t xml:space="preserve">2.1 USA Swimming Motivational Time Standards</w:t>
      </w:r>
    </w:p>
    <w:p>
      <w:pPr>
        <w:spacing w:after="160" w:line="276"/>
      </w:pPr>
      <w:r>
        <w:rPr>
          <w:rFonts w:ascii="Arial" w:cs="Arial" w:eastAsia="Arial" w:hAnsi="Arial"/>
          <w:color w:val="333333"/>
          <w:sz w:val="21"/>
          <w:szCs w:val="21"/>
        </w:rPr>
        <w:t xml:space="preserve">USA Swimming’s time standards system (C → B → BB → A → AA → AAA → AAAA) represents the gold standard for age-group sport achievement architecture. Its design principles directly inform LBTA’s approach:</w:t>
      </w:r>
    </w:p>
    <w:p>
      <w:pPr>
        <w:pStyle w:val="ListParagraph"/>
        <w:numPr>
          <w:ilvl w:val="0"/>
          <w:numId w:val="4"/>
        </w:numPr>
        <w:spacing w:after="120"/>
      </w:pPr>
      <w:r>
        <w:rPr>
          <w:rFonts w:ascii="Arial" w:cs="Arial" w:eastAsia="Arial" w:hAnsi="Arial"/>
          <w:b/>
          <w:bCs/>
          <w:color w:val="333333"/>
          <w:sz w:val="21"/>
          <w:szCs w:val="21"/>
        </w:rPr>
        <w:t xml:space="preserve">Universal participation: </w:t>
      </w:r>
      <w:r>
        <w:rPr>
          <w:rFonts w:ascii="Arial" w:cs="Arial" w:eastAsia="Arial" w:hAnsi="Arial"/>
          <w:color w:val="333333"/>
          <w:sz w:val="21"/>
          <w:szCs w:val="21"/>
        </w:rPr>
        <w:t xml:space="preserve">Awards are given at every level at every meet. A swimmer achieving their first B time receives the same ceremony structure as one achieving AAA. This eliminates the demoralizing experience of attending events where only top performers are recognized.</w:t>
      </w:r>
    </w:p>
    <w:p>
      <w:pPr>
        <w:pStyle w:val="ListParagraph"/>
        <w:numPr>
          <w:ilvl w:val="0"/>
          <w:numId w:val="4"/>
        </w:numPr>
        <w:spacing w:after="120"/>
      </w:pPr>
      <w:r>
        <w:rPr>
          <w:rFonts w:ascii="Arial" w:cs="Arial" w:eastAsia="Arial" w:hAnsi="Arial"/>
          <w:b/>
          <w:bCs/>
          <w:color w:val="333333"/>
          <w:sz w:val="21"/>
          <w:szCs w:val="21"/>
        </w:rPr>
        <w:t xml:space="preserve">Earned permanence: </w:t>
      </w:r>
      <w:r>
        <w:rPr>
          <w:rFonts w:ascii="Arial" w:cs="Arial" w:eastAsia="Arial" w:hAnsi="Arial"/>
          <w:color w:val="333333"/>
          <w:sz w:val="21"/>
          <w:szCs w:val="21"/>
        </w:rPr>
        <w:t xml:space="preserve">Swimmers keep earned times when aging up to a new age group. Achievement is never revoked. This creates a ratchet effect where progress only accumulates, protecting against the demoralizing experience of “losing” a level.</w:t>
      </w:r>
    </w:p>
    <w:p>
      <w:pPr>
        <w:pStyle w:val="ListParagraph"/>
        <w:numPr>
          <w:ilvl w:val="0"/>
          <w:numId w:val="4"/>
        </w:numPr>
        <w:spacing w:after="120"/>
      </w:pPr>
      <w:r>
        <w:rPr>
          <w:rFonts w:ascii="Arial" w:cs="Arial" w:eastAsia="Arial" w:hAnsi="Arial"/>
          <w:b/>
          <w:bCs/>
          <w:color w:val="333333"/>
          <w:sz w:val="21"/>
          <w:szCs w:val="21"/>
        </w:rPr>
        <w:t xml:space="preserve">Objective measurement: </w:t>
      </w:r>
      <w:r>
        <w:rPr>
          <w:rFonts w:ascii="Arial" w:cs="Arial" w:eastAsia="Arial" w:hAnsi="Arial"/>
          <w:color w:val="333333"/>
          <w:sz w:val="21"/>
          <w:szCs w:val="21"/>
        </w:rPr>
        <w:t xml:space="preserve">Times are binary—you either achieved the standard or you didn’t. This eliminates subjective evaluation anxiety while still providing clear targets. The equivalent in tennis: serve speed, rally consistency counts, UTR rating thresholds.</w:t>
      </w:r>
    </w:p>
    <w:p>
      <w:pPr>
        <w:pStyle w:val="ListParagraph"/>
        <w:numPr>
          <w:ilvl w:val="0"/>
          <w:numId w:val="4"/>
        </w:numPr>
        <w:spacing w:after="160"/>
      </w:pPr>
      <w:r>
        <w:rPr>
          <w:rFonts w:ascii="Arial" w:cs="Arial" w:eastAsia="Arial" w:hAnsi="Arial"/>
          <w:b/>
          <w:bCs/>
          <w:color w:val="333333"/>
          <w:sz w:val="21"/>
          <w:szCs w:val="21"/>
        </w:rPr>
        <w:t xml:space="preserve">Self-referenced competition: </w:t>
      </w:r>
      <w:r>
        <w:rPr>
          <w:rFonts w:ascii="Arial" w:cs="Arial" w:eastAsia="Arial" w:hAnsi="Arial"/>
          <w:color w:val="333333"/>
          <w:sz w:val="21"/>
          <w:szCs w:val="21"/>
        </w:rPr>
        <w:t xml:space="preserve">The primary comparison is the swimmer against their own previous performance. Standards provide context, but the emotional experience centers on personal bests.</w:t>
      </w:r>
    </w:p>
    <w:p>
      <w:pPr>
        <w:pStyle w:val="Heading2"/>
        <w:spacing w:before="280" w:after="160"/>
      </w:pPr>
      <w:r>
        <w:rPr>
          <w:rFonts w:ascii="Arial" w:cs="Arial" w:eastAsia="Arial" w:hAnsi="Arial"/>
          <w:b/>
          <w:bCs/>
          <w:color w:val="2E8B8B"/>
          <w:sz w:val="26"/>
          <w:szCs w:val="26"/>
        </w:rPr>
        <w:t xml:space="preserve">2.2 USA Gymnastics Xcel Program</w:t>
      </w:r>
    </w:p>
    <w:p>
      <w:pPr>
        <w:spacing w:after="160" w:line="276"/>
      </w:pPr>
      <w:r>
        <w:rPr>
          <w:rFonts w:ascii="Arial" w:cs="Arial" w:eastAsia="Arial" w:hAnsi="Arial"/>
          <w:color w:val="333333"/>
          <w:sz w:val="21"/>
          <w:szCs w:val="21"/>
        </w:rPr>
        <w:t xml:space="preserve">The Xcel Program offers a complementary model with six divisions (Bronze through Sapphire). Its key innovations:</w:t>
      </w:r>
    </w:p>
    <w:p>
      <w:pPr>
        <w:pStyle w:val="ListParagraph"/>
        <w:numPr>
          <w:ilvl w:val="0"/>
          <w:numId w:val="5"/>
        </w:numPr>
        <w:spacing w:after="120"/>
      </w:pPr>
      <w:r>
        <w:rPr>
          <w:rFonts w:ascii="Arial" w:cs="Arial" w:eastAsia="Arial" w:hAnsi="Arial"/>
          <w:b/>
          <w:bCs/>
          <w:color w:val="333333"/>
          <w:sz w:val="21"/>
          <w:szCs w:val="21"/>
        </w:rPr>
        <w:t xml:space="preserve">Flexible personalized routines </w:t>
      </w:r>
      <w:r>
        <w:rPr>
          <w:rFonts w:ascii="Arial" w:cs="Arial" w:eastAsia="Arial" w:hAnsi="Arial"/>
          <w:color w:val="333333"/>
          <w:sz w:val="21"/>
          <w:szCs w:val="21"/>
        </w:rPr>
        <w:t xml:space="preserve">within each division. Athletes are not forced into identical skill requirements—they demonstrate competence through routines that match their strengths while meeting minimum difficulty thresholds.</w:t>
      </w:r>
    </w:p>
    <w:p>
      <w:pPr>
        <w:pStyle w:val="ListParagraph"/>
        <w:numPr>
          <w:ilvl w:val="0"/>
          <w:numId w:val="5"/>
        </w:numPr>
        <w:spacing w:after="120"/>
      </w:pPr>
      <w:r>
        <w:rPr>
          <w:rFonts w:ascii="Arial" w:cs="Arial" w:eastAsia="Arial" w:hAnsi="Arial"/>
          <w:b/>
          <w:bCs/>
          <w:color w:val="333333"/>
          <w:sz w:val="21"/>
          <w:szCs w:val="21"/>
        </w:rPr>
        <w:t xml:space="preserve">No cutting. </w:t>
      </w:r>
      <w:r>
        <w:rPr>
          <w:rFonts w:ascii="Arial" w:cs="Arial" w:eastAsia="Arial" w:hAnsi="Arial"/>
          <w:color w:val="333333"/>
          <w:sz w:val="21"/>
          <w:szCs w:val="21"/>
        </w:rPr>
        <w:t xml:space="preserve">Athletes enter at the appropriate division and progress based on readiness, not selection. Research by Dr. Kacey Neely documents that deselection in youth sports produces depression, anxiety, lost confidence, lost athletic identity, and frequently causes athletes to stop participating entirely.</w:t>
      </w:r>
    </w:p>
    <w:p>
      <w:pPr>
        <w:pStyle w:val="ListParagraph"/>
        <w:numPr>
          <w:ilvl w:val="0"/>
          <w:numId w:val="5"/>
        </w:numPr>
        <w:spacing w:after="160"/>
      </w:pPr>
      <w:r>
        <w:rPr>
          <w:rFonts w:ascii="Arial" w:cs="Arial" w:eastAsia="Arial" w:hAnsi="Arial"/>
          <w:b/>
          <w:bCs/>
          <w:color w:val="333333"/>
          <w:sz w:val="21"/>
          <w:szCs w:val="21"/>
        </w:rPr>
        <w:t xml:space="preserve">Readiness-based progression </w:t>
      </w:r>
      <w:r>
        <w:rPr>
          <w:rFonts w:ascii="Arial" w:cs="Arial" w:eastAsia="Arial" w:hAnsi="Arial"/>
          <w:color w:val="333333"/>
          <w:sz w:val="21"/>
          <w:szCs w:val="21"/>
        </w:rPr>
        <w:t xml:space="preserve">determined collaboratively between coach and athlete. This preserves autonomy while ensuring developmental appropriateness.</w:t>
      </w:r>
    </w:p>
    <w:p>
      <w:pPr>
        <w:pStyle w:val="Heading2"/>
        <w:spacing w:before="280" w:after="160"/>
      </w:pPr>
      <w:r>
        <w:rPr>
          <w:rFonts w:ascii="Arial" w:cs="Arial" w:eastAsia="Arial" w:hAnsi="Arial"/>
          <w:b/>
          <w:bCs/>
          <w:color w:val="2E8B8B"/>
          <w:sz w:val="26"/>
          <w:szCs w:val="26"/>
        </w:rPr>
        <w:t xml:space="preserve">2.3 Martial Arts Belt Systems</w:t>
      </w:r>
    </w:p>
    <w:p>
      <w:pPr>
        <w:spacing w:after="160" w:line="276"/>
      </w:pPr>
      <w:r>
        <w:rPr>
          <w:rFonts w:ascii="Arial" w:cs="Arial" w:eastAsia="Arial" w:hAnsi="Arial"/>
          <w:color w:val="333333"/>
          <w:sz w:val="21"/>
          <w:szCs w:val="21"/>
        </w:rPr>
        <w:t xml:space="preserve">The martial arts belt system is the most widely recognized achievement hierarchy in youth athletics. Its endurance across centuries reflects deep alignment with psychological need satisfaction:</w:t>
      </w:r>
    </w:p>
    <w:p>
      <w:pPr>
        <w:spacing w:after="160" w:line="276"/>
      </w:pPr>
      <w:r>
        <w:rPr>
          <w:rFonts w:ascii="Arial" w:cs="Arial" w:eastAsia="Arial" w:hAnsi="Arial"/>
          <w:color w:val="333333"/>
          <w:sz w:val="21"/>
          <w:szCs w:val="21"/>
        </w:rPr>
        <w:t xml:space="preserve">Belts provide visible competence markers (competence), students choose when to test (autonomy), and belt ceremonies are communal celebrations (relatedness). The stripe system—small markers between belt levels—creates micro-milestones that maintain goal gradient motivation between major transitions. A student with three stripes on their orange belt feels meaningfully close to their green belt test, sustaining effort through what would otherwise be a motivational dead zone.</w:t>
      </w:r>
    </w:p>
    <w:p>
      <w:pPr>
        <w:spacing w:after="160" w:line="276"/>
      </w:pPr>
      <w:r>
        <w:rPr>
          <w:rFonts w:ascii="Arial" w:cs="Arial" w:eastAsia="Arial" w:hAnsi="Arial"/>
          <w:color w:val="333333"/>
          <w:sz w:val="21"/>
          <w:szCs w:val="21"/>
        </w:rPr>
        <w:t xml:space="preserve">The swimming wristband adaptation of this model—color-coded silicone wristbands with skill abbreviations and star punch-outs—demonstrates how the stripe concept translates to other sports. Coaches use a star puncher when a skill is mastered, creating tangible, visible micro-progress between major level transitions.</w:t>
      </w:r>
    </w:p>
    <w:p>
      <w:pPr>
        <w:pStyle w:val="Heading2"/>
        <w:spacing w:before="280" w:after="160"/>
      </w:pPr>
      <w:r>
        <w:rPr>
          <w:rFonts w:ascii="Arial" w:cs="Arial" w:eastAsia="Arial" w:hAnsi="Arial"/>
          <w:b/>
          <w:bCs/>
          <w:color w:val="2E8B8B"/>
          <w:sz w:val="26"/>
          <w:szCs w:val="26"/>
        </w:rPr>
        <w:t xml:space="preserve">2.4 Adult Gamification: Critical Divergences</w:t>
      </w:r>
    </w:p>
    <w:p>
      <w:pPr>
        <w:spacing w:after="160" w:line="276"/>
      </w:pPr>
      <w:r>
        <w:rPr>
          <w:rFonts w:ascii="Arial" w:cs="Arial" w:eastAsia="Arial" w:hAnsi="Arial"/>
          <w:color w:val="333333"/>
          <w:sz w:val="21"/>
          <w:szCs w:val="21"/>
        </w:rPr>
        <w:t xml:space="preserve">Research consistently shows that gamification elements effective for youth populations can actively repel adult participants. A 2022 PubMed study (mean participant age 42.1) found that older adults are actually more likely to use status and progress features than younger participants (P=0.008)—but only when those features communicate competence in an adult-appropriate format.</w:t>
      </w:r>
    </w:p>
    <w:p>
      <w:pPr>
        <w:spacing w:before="200" w:after="120"/>
      </w:pPr>
      <w:r>
        <w:rPr>
          <w:rFonts w:ascii="Arial" w:cs="Arial" w:eastAsia="Arial" w:hAnsi="Arial"/>
          <w:b/>
          <w:bCs/>
          <w:color w:val="1B3A5C"/>
          <w:sz w:val="22"/>
          <w:szCs w:val="22"/>
        </w:rPr>
        <w:t xml:space="preserve">What Adults Reject</w:t>
      </w:r>
    </w:p>
    <w:p>
      <w:pPr>
        <w:spacing w:after="160" w:line="276"/>
      </w:pPr>
      <w:r>
        <w:rPr>
          <w:rFonts w:ascii="Arial" w:cs="Arial" w:eastAsia="Arial" w:hAnsi="Arial"/>
          <w:color w:val="333333"/>
          <w:sz w:val="21"/>
          <w:szCs w:val="21"/>
        </w:rPr>
        <w:t xml:space="preserve">Cartoon badges, confetti animations, “Awesome!” language, forced social sharing, public leaderboards without filters, daily push notifications, and systems that decline in status without constant engagement. These elements signal that the system was designed for children, creating a status incongruence that drives abandonment.</w:t>
      </w:r>
    </w:p>
    <w:p>
      <w:pPr>
        <w:spacing w:before="200" w:after="120"/>
      </w:pPr>
      <w:r>
        <w:rPr>
          <w:rFonts w:ascii="Arial" w:cs="Arial" w:eastAsia="Arial" w:hAnsi="Arial"/>
          <w:b/>
          <w:bCs/>
          <w:color w:val="1B3A5C"/>
          <w:sz w:val="22"/>
          <w:szCs w:val="22"/>
        </w:rPr>
        <w:t xml:space="preserve">What Adults Embrace</w:t>
      </w:r>
    </w:p>
    <w:p>
      <w:pPr>
        <w:spacing w:after="160" w:line="276"/>
      </w:pPr>
      <w:r>
        <w:rPr>
          <w:rFonts w:ascii="Arial" w:cs="Arial" w:eastAsia="Arial" w:hAnsi="Arial"/>
          <w:color w:val="333333"/>
          <w:sz w:val="21"/>
          <w:szCs w:val="21"/>
        </w:rPr>
        <w:t xml:space="preserve">UTR/NTRP progression tracking, filterable peer comparison (opt-in only), health and performance metrics, professional-grade analytics, clean data visualization, and controlled notification frequency (1–3 per week maximum). Adults want their achievement data to look like a Bloomberg terminal, not a children’s game.</w:t>
      </w:r>
    </w:p>
    <w:p>
      <w:r>
        <w:br w:type="page"/>
      </w:r>
    </w:p>
    <w:p>
      <w:pPr>
        <w:pBdr>
          <w:bottom w:val="single" w:color="C4963C" w:sz="4" w:space="1"/>
        </w:pBdr>
        <w:spacing w:before="200" w:after="200"/>
      </w:pPr>
    </w:p>
    <w:p>
      <w:pPr>
        <w:pStyle w:val="Heading1"/>
        <w:spacing w:before="360" w:after="200"/>
      </w:pPr>
      <w:r>
        <w:rPr>
          <w:rFonts w:ascii="Arial" w:cs="Arial" w:eastAsia="Arial" w:hAnsi="Arial"/>
          <w:b/>
          <w:bCs/>
          <w:color w:val="1B3A5C"/>
          <w:sz w:val="32"/>
          <w:szCs w:val="32"/>
        </w:rPr>
        <w:t xml:space="preserve">3. Achievement Architecture: Design Recommendations</w:t>
      </w:r>
    </w:p>
    <w:p>
      <w:pPr>
        <w:pStyle w:val="Heading2"/>
        <w:spacing w:before="280" w:after="160"/>
      </w:pPr>
      <w:r>
        <w:rPr>
          <w:rFonts w:ascii="Arial" w:cs="Arial" w:eastAsia="Arial" w:hAnsi="Arial"/>
          <w:b/>
          <w:bCs/>
          <w:color w:val="2E8B8B"/>
          <w:sz w:val="26"/>
          <w:szCs w:val="26"/>
        </w:rPr>
        <w:t xml:space="preserve">3.1 The SDT Alignment Framework</w:t>
      </w:r>
    </w:p>
    <w:p>
      <w:pPr>
        <w:spacing w:after="160" w:line="276"/>
      </w:pPr>
      <w:r>
        <w:rPr>
          <w:rFonts w:ascii="Arial" w:cs="Arial" w:eastAsia="Arial" w:hAnsi="Arial"/>
          <w:color w:val="333333"/>
          <w:sz w:val="21"/>
          <w:szCs w:val="21"/>
        </w:rPr>
        <w:t xml:space="preserve">Every element of LBTA’s achievement system must pass through a three-part filter before implementation. If an element fails any filter, it should be redesigned or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Element</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Autonomy Check</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Competence Check</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Relatedness Check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9"/>
                <w:szCs w:val="19"/>
              </w:rPr>
              <w:t xml:space="preserve">Milestone Badge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Can player choose which milestones to pursue?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Does it reflect genuine skill growth?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Is earning it visible to community?</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i w:val="false"/>
                <w:iCs w:val="false"/>
                <w:color w:val="333333"/>
                <w:sz w:val="19"/>
                <w:szCs w:val="19"/>
              </w:rPr>
              <w:t xml:space="preserve">Progress Tracker</w:t>
            </w:r>
          </w:p>
        </w:tc>
        <w:tc>
          <w:tcPr>
            <w:tcW w:type="dxa" w:w="25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Can player choose what to track?</w:t>
            </w:r>
          </w:p>
        </w:tc>
        <w:tc>
          <w:tcPr>
            <w:tcW w:type="dxa" w:w="25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Does it show improvement over time?</w:t>
            </w:r>
          </w:p>
        </w:tc>
        <w:tc>
          <w:tcPr>
            <w:tcW w:type="dxa" w:w="25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Can it be shared with family/coach?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9"/>
                <w:szCs w:val="19"/>
              </w:rPr>
              <w:t xml:space="preserve">Level Transition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Does player opt-in to readiness conversation?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Based on multi-dimensional assessment?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Celebrated in group setting?</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i w:val="false"/>
                <w:iCs w:val="false"/>
                <w:color w:val="333333"/>
                <w:sz w:val="19"/>
                <w:szCs w:val="19"/>
              </w:rPr>
              <w:t xml:space="preserve">Leaderboard</w:t>
            </w:r>
          </w:p>
        </w:tc>
        <w:tc>
          <w:tcPr>
            <w:tcW w:type="dxa" w:w="25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Is participation opt-in? Filterable?</w:t>
            </w:r>
          </w:p>
        </w:tc>
        <w:tc>
          <w:tcPr>
            <w:tcW w:type="dxa" w:w="25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Does it show growth, not just rank?</w:t>
            </w:r>
          </w:p>
        </w:tc>
        <w:tc>
          <w:tcPr>
            <w:tcW w:type="dxa" w:w="252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Does it build connection or isolation?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9"/>
                <w:szCs w:val="19"/>
              </w:rPr>
              <w:t xml:space="preserve">Coach Shout-Out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Does player consent to public recognition?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Cites specific skill improvement?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Inspires others or creates envy?</w:t>
            </w:r>
          </w:p>
        </w:tc>
      </w:tr>
    </w:tbl>
    <w:p>
      <w:pPr>
        <w:spacing w:after="200"/>
      </w:pPr>
    </w:p>
    <w:p>
      <w:pPr>
        <w:pStyle w:val="Heading2"/>
        <w:spacing w:before="280" w:after="160"/>
      </w:pPr>
      <w:r>
        <w:rPr>
          <w:rFonts w:ascii="Arial" w:cs="Arial" w:eastAsia="Arial" w:hAnsi="Arial"/>
          <w:b/>
          <w:bCs/>
          <w:color w:val="2E8B8B"/>
          <w:sz w:val="26"/>
          <w:szCs w:val="26"/>
        </w:rPr>
        <w:t xml:space="preserve">3.2 Three-Tier Recognition Architecture</w:t>
      </w:r>
    </w:p>
    <w:p>
      <w:pPr>
        <w:spacing w:after="160" w:line="276"/>
      </w:pPr>
      <w:r>
        <w:rPr>
          <w:rFonts w:ascii="Arial" w:cs="Arial" w:eastAsia="Arial" w:hAnsi="Arial"/>
          <w:color w:val="333333"/>
          <w:sz w:val="21"/>
          <w:szCs w:val="21"/>
        </w:rPr>
        <w:t xml:space="preserve">Aligned with the existing LBTA Achievement System framework and Domains 1–3 progression design, recognition operates across three tiers with distinct psychological functions:</w:t>
      </w:r>
    </w:p>
    <w:p>
      <w:pPr>
        <w:spacing w:before="200" w:after="120"/>
      </w:pPr>
      <w:r>
        <w:rPr>
          <w:rFonts w:ascii="Arial" w:cs="Arial" w:eastAsia="Arial" w:hAnsi="Arial"/>
          <w:b/>
          <w:bCs/>
          <w:color w:val="1B3A5C"/>
          <w:sz w:val="22"/>
          <w:szCs w:val="22"/>
        </w:rPr>
        <w:t xml:space="preserve">Tier 1: Micro-Recognition (Weekly)</w:t>
      </w:r>
    </w:p>
    <w:p>
      <w:pPr>
        <w:spacing w:after="160" w:line="276"/>
      </w:pPr>
      <w:r>
        <w:rPr>
          <w:rFonts w:ascii="Arial" w:cs="Arial" w:eastAsia="Arial" w:hAnsi="Arial"/>
          <w:color w:val="333333"/>
          <w:sz w:val="21"/>
          <w:szCs w:val="21"/>
        </w:rPr>
        <w:t xml:space="preserve">Function: Maintain goal gradient momentum and satisfy competence need through frequent, small acknowledgments of effort and improvement.</w:t>
      </w:r>
    </w:p>
    <w:p>
      <w:pPr>
        <w:spacing w:after="160" w:line="276"/>
      </w:pPr>
      <w:r>
        <w:rPr>
          <w:rFonts w:ascii="Arial" w:cs="Arial" w:eastAsia="Arial" w:hAnsi="Arial"/>
          <w:color w:val="333333"/>
          <w:sz w:val="21"/>
          <w:szCs w:val="21"/>
        </w:rPr>
        <w:t xml:space="preserve">Mechanisms: Coach verbal recognition during sessions (informational, not controlling), session attendance tracking visible to player/parent, skill punch-outs on wristbands or player cards (swimming wristband model), “Moment of the Week” callout in parent communications. These should feel effortless for coaches—integrated into normal session flow, not added administrative burden.</w:t>
      </w:r>
    </w:p>
    <w:p>
      <w:pPr>
        <w:spacing w:after="160" w:line="276"/>
      </w:pPr>
      <w:r>
        <w:rPr>
          <w:rFonts w:ascii="Arial" w:cs="Arial" w:eastAsia="Arial" w:hAnsi="Arial"/>
          <w:i/>
          <w:iCs/>
          <w:color w:val="666666"/>
          <w:sz w:val="20"/>
          <w:szCs w:val="20"/>
        </w:rPr>
        <w:t xml:space="preserve">Overjustification safeguard: Micro-recognition must reference observable growth, never compliance. “Niki extended her rally to 15 balls today” rather than “Niki attended her 10th session.”</w:t>
      </w:r>
    </w:p>
    <w:p>
      <w:pPr>
        <w:spacing w:before="200" w:after="120"/>
      </w:pPr>
      <w:r>
        <w:rPr>
          <w:rFonts w:ascii="Arial" w:cs="Arial" w:eastAsia="Arial" w:hAnsi="Arial"/>
          <w:b/>
          <w:bCs/>
          <w:color w:val="1B3A5C"/>
          <w:sz w:val="22"/>
          <w:szCs w:val="22"/>
        </w:rPr>
        <w:t xml:space="preserve">Tier 2: Milestone Recognition (Quarterly)</w:t>
      </w:r>
    </w:p>
    <w:p>
      <w:pPr>
        <w:spacing w:after="160" w:line="276"/>
      </w:pPr>
      <w:r>
        <w:rPr>
          <w:rFonts w:ascii="Arial" w:cs="Arial" w:eastAsia="Arial" w:hAnsi="Arial"/>
          <w:color w:val="333333"/>
          <w:sz w:val="21"/>
          <w:szCs w:val="21"/>
        </w:rPr>
        <w:t xml:space="preserve">Function: Mark meaningful competence transitions, trigger endowed progress toward next milestone, and create community celebration moments that satisfy relatedness.</w:t>
      </w:r>
    </w:p>
    <w:p>
      <w:pPr>
        <w:spacing w:after="160" w:line="276"/>
      </w:pPr>
      <w:r>
        <w:rPr>
          <w:rFonts w:ascii="Arial" w:cs="Arial" w:eastAsia="Arial" w:hAnsi="Arial"/>
          <w:color w:val="333333"/>
          <w:sz w:val="21"/>
          <w:szCs w:val="21"/>
        </w:rPr>
        <w:t xml:space="preserve">Mechanisms: Skill Compass level transitions (from Domain 2), fitness benchmark achievements (from Domain 1), court transition celebrations (red → orange → green → yellow ball), competitive milestones (first match, first tournament entry, first UTR rating, first win). Physical recognition materials should meet the Aman Test—premium quality that parents would display rather than discard.</w:t>
      </w:r>
    </w:p>
    <w:p>
      <w:pPr>
        <w:spacing w:after="160" w:line="276"/>
      </w:pPr>
      <w:r>
        <w:rPr>
          <w:rFonts w:ascii="Arial" w:cs="Arial" w:eastAsia="Arial" w:hAnsi="Arial"/>
          <w:i/>
          <w:iCs/>
          <w:color w:val="666666"/>
          <w:sz w:val="20"/>
          <w:szCs w:val="20"/>
        </w:rPr>
        <w:t xml:space="preserve">Endowed progress application: When a player achieves a milestone, their progress tracker for the next milestone should already show 15–20% completion based on skills demonstrated during the current assessment. The reason is explicit: “Your forehand consistency at Level 2 already meets three of the Level 3 criteria.”</w:t>
      </w:r>
    </w:p>
    <w:p>
      <w:pPr>
        <w:spacing w:before="200" w:after="120"/>
      </w:pPr>
      <w:r>
        <w:rPr>
          <w:rFonts w:ascii="Arial" w:cs="Arial" w:eastAsia="Arial" w:hAnsi="Arial"/>
          <w:b/>
          <w:bCs/>
          <w:color w:val="1B3A5C"/>
          <w:sz w:val="22"/>
          <w:szCs w:val="22"/>
        </w:rPr>
        <w:t xml:space="preserve">Tier 3: Transition Recognition (As Earned)</w:t>
      </w:r>
    </w:p>
    <w:p>
      <w:pPr>
        <w:spacing w:after="160" w:line="276"/>
      </w:pPr>
      <w:r>
        <w:rPr>
          <w:rFonts w:ascii="Arial" w:cs="Arial" w:eastAsia="Arial" w:hAnsi="Arial"/>
          <w:color w:val="333333"/>
          <w:sz w:val="21"/>
          <w:szCs w:val="21"/>
        </w:rPr>
        <w:t xml:space="preserve">Function: Mark significant identity transitions within the LBTA Player Journey (Discovery → Foundation → Development → Pathway → Pursuit), satisfying all three SDT needs simultaneously.</w:t>
      </w:r>
    </w:p>
    <w:p>
      <w:pPr>
        <w:spacing w:after="160" w:line="276"/>
      </w:pPr>
      <w:r>
        <w:rPr>
          <w:rFonts w:ascii="Arial" w:cs="Arial" w:eastAsia="Arial" w:hAnsi="Arial"/>
          <w:color w:val="333333"/>
          <w:sz w:val="21"/>
          <w:szCs w:val="21"/>
        </w:rPr>
        <w:t xml:space="preserve">Mechanisms: Readiness conversations (coach-initiated, player-accepted), transition ceremonies during regular session time, physical markers (stage-specific apparel or equipment), updated player profile with new stage designation. These transitions should feel significant—they represent a genuine shift in a player’s relationship with the sport.</w:t>
      </w:r>
    </w:p>
    <w:p>
      <w:pPr>
        <w:spacing w:after="160" w:line="276"/>
      </w:pPr>
      <w:r>
        <w:rPr>
          <w:rFonts w:ascii="Arial" w:cs="Arial" w:eastAsia="Arial" w:hAnsi="Arial"/>
          <w:i/>
          <w:iCs/>
          <w:color w:val="666666"/>
          <w:sz w:val="20"/>
          <w:szCs w:val="20"/>
        </w:rPr>
        <w:t xml:space="preserve">Autonomy safeguard: Transition readiness is presented as an invitation, never a mandate. “Coach Peter believes you’re ready for Development-level work. Would you like to discuss what that looks like?”</w:t>
      </w:r>
    </w:p>
    <w:p>
      <w:pPr>
        <w:pStyle w:val="Heading2"/>
        <w:spacing w:before="280" w:after="160"/>
      </w:pPr>
      <w:r>
        <w:rPr>
          <w:rFonts w:ascii="Arial" w:cs="Arial" w:eastAsia="Arial" w:hAnsi="Arial"/>
          <w:b/>
          <w:bCs/>
          <w:color w:val="2E8B8B"/>
          <w:sz w:val="26"/>
          <w:szCs w:val="26"/>
        </w:rPr>
        <w:t xml:space="preserve">3.3 The Endowed Enrollment Experience</w:t>
      </w:r>
    </w:p>
    <w:p>
      <w:pPr>
        <w:spacing w:after="160" w:line="276"/>
      </w:pPr>
      <w:r>
        <w:rPr>
          <w:rFonts w:ascii="Arial" w:cs="Arial" w:eastAsia="Arial" w:hAnsi="Arial"/>
          <w:color w:val="333333"/>
          <w:sz w:val="21"/>
          <w:szCs w:val="21"/>
        </w:rPr>
        <w:t xml:space="preserve">The endowed progress effect should be activated from the moment of enrollment. When a new family joins LBTA, the following should happen within their first 14 days:</w:t>
      </w:r>
    </w:p>
    <w:p>
      <w:pPr>
        <w:pStyle w:val="ListParagraph"/>
        <w:numPr>
          <w:ilvl w:val="0"/>
          <w:numId w:val="6"/>
        </w:numPr>
        <w:spacing w:after="120"/>
      </w:pPr>
      <w:r>
        <w:rPr>
          <w:rFonts w:ascii="Arial" w:cs="Arial" w:eastAsia="Arial" w:hAnsi="Arial"/>
          <w:b/>
          <w:bCs/>
          <w:color w:val="333333"/>
          <w:sz w:val="21"/>
          <w:szCs w:val="21"/>
        </w:rPr>
        <w:t xml:space="preserve">Day 1 (Enrollment): </w:t>
      </w:r>
      <w:r>
        <w:rPr>
          <w:rFonts w:ascii="Arial" w:cs="Arial" w:eastAsia="Arial" w:hAnsi="Arial"/>
          <w:color w:val="333333"/>
          <w:sz w:val="21"/>
          <w:szCs w:val="21"/>
        </w:rPr>
        <w:t xml:space="preserve">Player receives their LBTA Player Card showing Foundation stage and first session credit. Progress bar shows ~10% toward first milestone. Reason provided: “Joining the academy is your first step.”</w:t>
      </w:r>
    </w:p>
    <w:p>
      <w:pPr>
        <w:pStyle w:val="ListParagraph"/>
        <w:numPr>
          <w:ilvl w:val="0"/>
          <w:numId w:val="6"/>
        </w:numPr>
        <w:spacing w:after="120"/>
      </w:pPr>
      <w:r>
        <w:rPr>
          <w:rFonts w:ascii="Arial" w:cs="Arial" w:eastAsia="Arial" w:hAnsi="Arial"/>
          <w:b/>
          <w:bCs/>
          <w:color w:val="333333"/>
          <w:sz w:val="21"/>
          <w:szCs w:val="21"/>
        </w:rPr>
        <w:t xml:space="preserve">Day 3–7 (First Session): </w:t>
      </w:r>
      <w:r>
        <w:rPr>
          <w:rFonts w:ascii="Arial" w:cs="Arial" w:eastAsia="Arial" w:hAnsi="Arial"/>
          <w:color w:val="333333"/>
          <w:sz w:val="21"/>
          <w:szCs w:val="21"/>
        </w:rPr>
        <w:t xml:space="preserve">Coach completes initial observation. Player’s profile updates with baseline assessment. Progress bar advances to ~20%. Parent receives first coach observation note.</w:t>
      </w:r>
    </w:p>
    <w:p>
      <w:pPr>
        <w:pStyle w:val="ListParagraph"/>
        <w:numPr>
          <w:ilvl w:val="0"/>
          <w:numId w:val="6"/>
        </w:numPr>
        <w:spacing w:after="120"/>
      </w:pPr>
      <w:r>
        <w:rPr>
          <w:rFonts w:ascii="Arial" w:cs="Arial" w:eastAsia="Arial" w:hAnsi="Arial"/>
          <w:b/>
          <w:bCs/>
          <w:color w:val="333333"/>
          <w:sz w:val="21"/>
          <w:szCs w:val="21"/>
        </w:rPr>
        <w:t xml:space="preserve">Day 14 (Second Session): </w:t>
      </w:r>
      <w:r>
        <w:rPr>
          <w:rFonts w:ascii="Arial" w:cs="Arial" w:eastAsia="Arial" w:hAnsi="Arial"/>
          <w:color w:val="333333"/>
          <w:sz w:val="21"/>
          <w:szCs w:val="21"/>
        </w:rPr>
        <w:t xml:space="preserve">Coach identifies one specific improvement observed since first session and communicates it to player and parent. This is the first informational competence feedback in the system.</w:t>
      </w:r>
    </w:p>
    <w:p>
      <w:pPr>
        <w:pStyle w:val="ListParagraph"/>
        <w:numPr>
          <w:ilvl w:val="0"/>
          <w:numId w:val="6"/>
        </w:numPr>
        <w:spacing w:after="160"/>
      </w:pPr>
      <w:r>
        <w:rPr>
          <w:rFonts w:ascii="Arial" w:cs="Arial" w:eastAsia="Arial" w:hAnsi="Arial"/>
          <w:b/>
          <w:bCs/>
          <w:color w:val="333333"/>
          <w:sz w:val="21"/>
          <w:szCs w:val="21"/>
        </w:rPr>
        <w:t xml:space="preserve">Day 30 (Month 1 Milestone): </w:t>
      </w:r>
      <w:r>
        <w:rPr>
          <w:rFonts w:ascii="Arial" w:cs="Arial" w:eastAsia="Arial" w:hAnsi="Arial"/>
          <w:color w:val="333333"/>
          <w:sz w:val="21"/>
          <w:szCs w:val="21"/>
        </w:rPr>
        <w:t xml:space="preserve">First micro-milestone achieved. Player and parent receive a brief progress summary identifying 2–3 specific growth areas. The goal gradient toward Milestone 2 is now clearly visible and feels achievable.</w:t>
      </w:r>
    </w:p>
    <w:p>
      <w:pPr>
        <w:spacing w:after="160" w:line="276"/>
      </w:pPr>
      <w:r>
        <w:rPr>
          <w:rFonts w:ascii="Arial" w:cs="Arial" w:eastAsia="Arial" w:hAnsi="Arial"/>
          <w:color w:val="333333"/>
          <w:sz w:val="21"/>
          <w:szCs w:val="21"/>
        </w:rPr>
        <w:t xml:space="preserve">This sequence transforms enrollment from a transaction into a progression narrative. By Day 30, the family has experienced four distinct moments of recognition—each grounded in genuine observation rather than artificial gamification. The endowed progress effect ensures they feel invested in continuing.</w:t>
      </w:r>
    </w:p>
    <w:p>
      <w:pPr>
        <w:pStyle w:val="Heading2"/>
        <w:spacing w:before="280" w:after="160"/>
      </w:pPr>
      <w:r>
        <w:rPr>
          <w:rFonts w:ascii="Arial" w:cs="Arial" w:eastAsia="Arial" w:hAnsi="Arial"/>
          <w:b/>
          <w:bCs/>
          <w:color w:val="2E8B8B"/>
          <w:sz w:val="26"/>
          <w:szCs w:val="26"/>
        </w:rPr>
        <w:t xml:space="preserve">3.4 Milestone Spacing: The Logarithmic Model</w:t>
      </w:r>
    </w:p>
    <w:p>
      <w:pPr>
        <w:spacing w:after="160" w:line="276"/>
      </w:pPr>
      <w:r>
        <w:rPr>
          <w:rFonts w:ascii="Arial" w:cs="Arial" w:eastAsia="Arial" w:hAnsi="Arial"/>
          <w:color w:val="333333"/>
          <w:sz w:val="21"/>
          <w:szCs w:val="21"/>
        </w:rPr>
        <w:t xml:space="preserve">Based on goal gradient research, milestones should follow a logarithmic spacing pattern where early milestones arrive quickly and intervals gradually increase: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Milestone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 Time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Cumulative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Psychological Function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9"/>
                <w:szCs w:val="19"/>
              </w:rPr>
              <w:t xml:space="preserve">First Step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Day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Day 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Endowed progress activation</w:t>
            </w:r>
          </w:p>
        </w:tc>
      </w:tr>
      <w:tr>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i w:val="false"/>
                <w:iCs w:val="false"/>
                <w:color w:val="333333"/>
                <w:sz w:val="19"/>
                <w:szCs w:val="19"/>
              </w:rPr>
              <w:t xml:space="preserve">First Observation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Week 1</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Week 1</w:t>
            </w:r>
          </w:p>
        </w:tc>
        <w:tc>
          <w:tcPr>
            <w:tcW w:type="dxa" w:w="3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Competence baseline established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9"/>
                <w:szCs w:val="19"/>
              </w:rPr>
              <w:t xml:space="preserve">Month 1 Check-In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4 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Month 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Goal gradient toward next milestone</w:t>
            </w:r>
          </w:p>
        </w:tc>
      </w:tr>
      <w:tr>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i w:val="false"/>
                <w:iCs w:val="false"/>
                <w:color w:val="333333"/>
                <w:sz w:val="19"/>
                <w:szCs w:val="19"/>
              </w:rPr>
              <w:t xml:space="preserve">Quarter 1 Review</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8 weeks</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Month 3</w:t>
            </w:r>
          </w:p>
        </w:tc>
        <w:tc>
          <w:tcPr>
            <w:tcW w:type="dxa" w:w="3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Skill Compass assessment, first major milestone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9"/>
                <w:szCs w:val="19"/>
              </w:rPr>
              <w:t xml:space="preserve">Mid-Year Progress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12 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Month 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Stage transition eligibility begins</w:t>
            </w:r>
          </w:p>
        </w:tc>
      </w:tr>
      <w:tr>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i w:val="false"/>
                <w:iCs w:val="false"/>
                <w:color w:val="333333"/>
                <w:sz w:val="19"/>
                <w:szCs w:val="19"/>
              </w:rPr>
              <w:t xml:space="preserve">Annual Achievement</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24 weeks</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Month 12</w:t>
            </w:r>
          </w:p>
        </w:tc>
        <w:tc>
          <w:tcPr>
            <w:tcW w:type="dxa" w:w="3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Identity consolidation, journey-level recognition</w:t>
            </w:r>
          </w:p>
        </w:tc>
      </w:tr>
    </w:tbl>
    <w:p>
      <w:pPr>
        <w:spacing w:after="160"/>
      </w:pPr>
    </w:p>
    <w:p>
      <w:pPr>
        <w:spacing w:after="160" w:line="276"/>
      </w:pPr>
      <w:r>
        <w:rPr>
          <w:rFonts w:ascii="Arial" w:cs="Arial" w:eastAsia="Arial" w:hAnsi="Arial"/>
          <w:color w:val="333333"/>
          <w:sz w:val="21"/>
          <w:szCs w:val="21"/>
        </w:rPr>
        <w:t xml:space="preserve">Notice the intervals: 1 day, 1 week, 4 weeks, 8 weeks, 12 weeks, 24 weeks. Early milestones build momentum through rapid feedback; later milestones arrive after the player has developed sufficient intrinsic motivation to sustain longer efforts without external markers.</w:t>
      </w:r>
    </w:p>
    <w:p>
      <w:r>
        <w:br w:type="page"/>
      </w:r>
    </w:p>
    <w:p>
      <w:pPr>
        <w:pBdr>
          <w:bottom w:val="single" w:color="C4963C" w:sz="4" w:space="1"/>
        </w:pBdr>
        <w:spacing w:before="200" w:after="200"/>
      </w:pPr>
    </w:p>
    <w:p>
      <w:pPr>
        <w:pStyle w:val="Heading1"/>
        <w:spacing w:before="360" w:after="200"/>
      </w:pPr>
      <w:r>
        <w:rPr>
          <w:rFonts w:ascii="Arial" w:cs="Arial" w:eastAsia="Arial" w:hAnsi="Arial"/>
          <w:b/>
          <w:bCs/>
          <w:color w:val="1B3A5C"/>
          <w:sz w:val="32"/>
          <w:szCs w:val="32"/>
        </w:rPr>
        <w:t xml:space="preserve">4. Age-Appropriate Achievement Design</w:t>
      </w:r>
    </w:p>
    <w:p>
      <w:pPr>
        <w:spacing w:after="160" w:line="276"/>
      </w:pPr>
      <w:r>
        <w:rPr>
          <w:rFonts w:ascii="Arial" w:cs="Arial" w:eastAsia="Arial" w:hAnsi="Arial"/>
          <w:color w:val="333333"/>
          <w:sz w:val="21"/>
          <w:szCs w:val="21"/>
        </w:rPr>
        <w:t xml:space="preserve">A unified achievement system that treats 4-year-olds and 40-year-olds identically will fail both populations. The research demands distinct design languages while maintaining a shared underlying architecture.</w:t>
      </w:r>
    </w:p>
    <w:p>
      <w:pPr>
        <w:pStyle w:val="Heading2"/>
        <w:spacing w:before="280" w:after="160"/>
      </w:pPr>
      <w:r>
        <w:rPr>
          <w:rFonts w:ascii="Arial" w:cs="Arial" w:eastAsia="Arial" w:hAnsi="Arial"/>
          <w:b/>
          <w:bCs/>
          <w:color w:val="2E8B8B"/>
          <w:sz w:val="26"/>
          <w:szCs w:val="26"/>
        </w:rPr>
        <w:t xml:space="preserve">4.1 Junior Achievement Design (Ages 3–17)</w:t>
      </w:r>
    </w:p>
    <w:p>
      <w:pPr>
        <w:spacing w:before="200" w:after="120"/>
      </w:pPr>
      <w:r>
        <w:rPr>
          <w:rFonts w:ascii="Arial" w:cs="Arial" w:eastAsia="Arial" w:hAnsi="Arial"/>
          <w:b/>
          <w:bCs/>
          <w:color w:val="1B3A5C"/>
          <w:sz w:val="22"/>
          <w:szCs w:val="22"/>
        </w:rPr>
        <w:t xml:space="preserve">Ages 3–6: Little Tennis Stars / Red Ball</w:t>
      </w:r>
    </w:p>
    <w:p>
      <w:pPr>
        <w:spacing w:after="160" w:line="276"/>
      </w:pPr>
      <w:r>
        <w:rPr>
          <w:rFonts w:ascii="Arial" w:cs="Arial" w:eastAsia="Arial" w:hAnsi="Arial"/>
          <w:color w:val="333333"/>
          <w:sz w:val="21"/>
          <w:szCs w:val="21"/>
        </w:rPr>
        <w:t xml:space="preserve">At this stage, the achievement system is almost entirely coach-mediated. Children experience recognition through verbal celebration, physical stickers or stamps on a session card, and group rituals (high-five circles, team cheers). There are no levels, no progress bars, no tracking visible to the child. Parents receive coach observations through normal communication channels.</w:t>
      </w:r>
    </w:p>
    <w:p>
      <w:pPr>
        <w:spacing w:after="160" w:line="276"/>
      </w:pPr>
      <w:r>
        <w:rPr>
          <w:rFonts w:ascii="Arial" w:cs="Arial" w:eastAsia="Arial" w:hAnsi="Arial"/>
          <w:color w:val="333333"/>
          <w:sz w:val="21"/>
          <w:szCs w:val="21"/>
        </w:rPr>
        <w:t xml:space="preserve">Key principle: At this age, the activity itself must be the reward. Any external recognition system risks creating performance anxiety in children who are still developing basic motor coordination and social skills.</w:t>
      </w:r>
    </w:p>
    <w:p>
      <w:pPr>
        <w:spacing w:before="200" w:after="120"/>
      </w:pPr>
      <w:r>
        <w:rPr>
          <w:rFonts w:ascii="Arial" w:cs="Arial" w:eastAsia="Arial" w:hAnsi="Arial"/>
          <w:b/>
          <w:bCs/>
          <w:color w:val="1B3A5C"/>
          <w:sz w:val="22"/>
          <w:szCs w:val="22"/>
        </w:rPr>
        <w:t xml:space="preserve">Ages 7–10: Orange / Green Ball</w:t>
      </w:r>
    </w:p>
    <w:p>
      <w:pPr>
        <w:spacing w:after="160" w:line="276"/>
      </w:pPr>
      <w:r>
        <w:rPr>
          <w:rFonts w:ascii="Arial" w:cs="Arial" w:eastAsia="Arial" w:hAnsi="Arial"/>
          <w:color w:val="333333"/>
          <w:sz w:val="21"/>
          <w:szCs w:val="21"/>
        </w:rPr>
        <w:t xml:space="preserve">Introduction of the wristband/player card system with visible skill punch-outs. Children at this age respond strongly to tangible progress markers they can show peers and parents. Court transition celebrations (moving from 36-foot to 60-foot court) serve as natural milestone moments. Goal gradient is maintained through micro-milestones (4–6 punch-outs between major levels).</w:t>
      </w:r>
    </w:p>
    <w:p>
      <w:pPr>
        <w:spacing w:after="160" w:line="276"/>
      </w:pPr>
      <w:r>
        <w:rPr>
          <w:rFonts w:ascii="Arial" w:cs="Arial" w:eastAsia="Arial" w:hAnsi="Arial"/>
          <w:color w:val="333333"/>
          <w:sz w:val="21"/>
          <w:szCs w:val="21"/>
        </w:rPr>
        <w:t xml:space="preserve">Key principle: Recognition should celebrate effort and improvement, never comparative ranking. “You hit 8 forehands over the net today—that’s 3 more than last week” is the correct framing.</w:t>
      </w:r>
    </w:p>
    <w:p>
      <w:pPr>
        <w:spacing w:before="200" w:after="120"/>
      </w:pPr>
      <w:r>
        <w:rPr>
          <w:rFonts w:ascii="Arial" w:cs="Arial" w:eastAsia="Arial" w:hAnsi="Arial"/>
          <w:b/>
          <w:bCs/>
          <w:color w:val="1B3A5C"/>
          <w:sz w:val="22"/>
          <w:szCs w:val="22"/>
        </w:rPr>
        <w:t xml:space="preserve">Ages 11–14: Green / Yellow Ball Transition</w:t>
      </w:r>
    </w:p>
    <w:p>
      <w:pPr>
        <w:spacing w:after="160" w:line="276"/>
      </w:pPr>
      <w:r>
        <w:rPr>
          <w:rFonts w:ascii="Arial" w:cs="Arial" w:eastAsia="Arial" w:hAnsi="Arial"/>
          <w:color w:val="333333"/>
          <w:sz w:val="21"/>
          <w:szCs w:val="21"/>
        </w:rPr>
        <w:t xml:space="preserve">This is the highest-risk age group for dropout. USTA data shows 70% of children quit organized sports by age 13. The achievement system at this stage must provide strong belonging signals (JTT team identity, peer group recognition) alongside individual progress tracking. Players at this stage can begin engaging with their own data—viewing their Skill Compass profile, tracking serve speed progression, understanding what UTR means.</w:t>
      </w:r>
    </w:p>
    <w:p>
      <w:pPr>
        <w:spacing w:after="160" w:line="276"/>
      </w:pPr>
      <w:r>
        <w:rPr>
          <w:rFonts w:ascii="Arial" w:cs="Arial" w:eastAsia="Arial" w:hAnsi="Arial"/>
          <w:color w:val="333333"/>
          <w:sz w:val="21"/>
          <w:szCs w:val="21"/>
        </w:rPr>
        <w:t xml:space="preserve">Key principle: Autonomy becomes critical. Players should have increasing voice in which milestones they pursue, which competitions they enter, and how they want to be recognized. The coach’s role shifts from directing to consulting.</w:t>
      </w:r>
    </w:p>
    <w:p>
      <w:pPr>
        <w:spacing w:before="200" w:after="120"/>
      </w:pPr>
      <w:r>
        <w:rPr>
          <w:rFonts w:ascii="Arial" w:cs="Arial" w:eastAsia="Arial" w:hAnsi="Arial"/>
          <w:b/>
          <w:bCs/>
          <w:color w:val="1B3A5C"/>
          <w:sz w:val="22"/>
          <w:szCs w:val="22"/>
        </w:rPr>
        <w:t xml:space="preserve">Ages 15–17: High Performance / Pathway</w:t>
      </w:r>
    </w:p>
    <w:p>
      <w:pPr>
        <w:spacing w:after="160" w:line="276"/>
      </w:pPr>
      <w:r>
        <w:rPr>
          <w:rFonts w:ascii="Arial" w:cs="Arial" w:eastAsia="Arial" w:hAnsi="Arial"/>
          <w:color w:val="333333"/>
          <w:sz w:val="21"/>
          <w:szCs w:val="21"/>
        </w:rPr>
        <w:t xml:space="preserve">Achievement tracking integrates fully with external rating systems (UTR, USTA rankings, WTN). Internal LBTA milestones supplement rather than replace these external markers. Recognition at this stage emphasizes identity and legacy: team captain roles, mentoring younger players, contributing to academy culture. The TSQT self-assessment tool (from Domain 2) enables self-directed goal setting.</w:t>
      </w:r>
    </w:p>
    <w:p>
      <w:pPr>
        <w:spacing w:after="160" w:line="276"/>
      </w:pPr>
      <w:r>
        <w:rPr>
          <w:rFonts w:ascii="Arial" w:cs="Arial" w:eastAsia="Arial" w:hAnsi="Arial"/>
          <w:color w:val="333333"/>
          <w:sz w:val="21"/>
          <w:szCs w:val="21"/>
        </w:rPr>
        <w:t xml:space="preserve">Key principle: The system should help players see themselves as athletes and leaders, not just students. Recognition that acknowledges their role in the community (mentoring, leadership) satisfies relatedness at a deeper level than individual achievement alone.</w:t>
      </w:r>
    </w:p>
    <w:p>
      <w:pPr>
        <w:pStyle w:val="Heading2"/>
        <w:spacing w:before="280" w:after="160"/>
      </w:pPr>
      <w:r>
        <w:rPr>
          <w:rFonts w:ascii="Arial" w:cs="Arial" w:eastAsia="Arial" w:hAnsi="Arial"/>
          <w:b/>
          <w:bCs/>
          <w:color w:val="2E8B8B"/>
          <w:sz w:val="26"/>
          <w:szCs w:val="26"/>
        </w:rPr>
        <w:t xml:space="preserve">4.2 Adult Achievement Design (Ages 18+)</w:t>
      </w:r>
    </w:p>
    <w:p>
      <w:pPr>
        <w:spacing w:after="160" w:line="276"/>
      </w:pPr>
      <w:r>
        <w:rPr>
          <w:rFonts w:ascii="Arial" w:cs="Arial" w:eastAsia="Arial" w:hAnsi="Arial"/>
          <w:color w:val="333333"/>
          <w:sz w:val="21"/>
          <w:szCs w:val="21"/>
        </w:rPr>
        <w:t xml:space="preserve">Adults represent a distinct population requiring fundamentally different design language while sharing the same underlying SDT framework.</w:t>
      </w:r>
    </w:p>
    <w:p>
      <w:pPr>
        <w:spacing w:before="200" w:after="120"/>
      </w:pPr>
      <w:r>
        <w:rPr>
          <w:rFonts w:ascii="Arial" w:cs="Arial" w:eastAsia="Arial" w:hAnsi="Arial"/>
          <w:b/>
          <w:bCs/>
          <w:color w:val="1B3A5C"/>
          <w:sz w:val="22"/>
          <w:szCs w:val="22"/>
        </w:rPr>
        <w:t xml:space="preserve">Data-Forward Presentation</w:t>
      </w:r>
    </w:p>
    <w:p>
      <w:pPr>
        <w:spacing w:after="160" w:line="276"/>
      </w:pPr>
      <w:r>
        <w:rPr>
          <w:rFonts w:ascii="Arial" w:cs="Arial" w:eastAsia="Arial" w:hAnsi="Arial"/>
          <w:color w:val="333333"/>
          <w:sz w:val="21"/>
          <w:szCs w:val="21"/>
        </w:rPr>
        <w:t xml:space="preserve">Adults want analytics, not animations. Their achievement interface should present UTR/NTRP progression over time, match statistics, fitness benchmarks from Domain 1 assessments, and practice consistency metrics—all in clean, professional visualization. Think performance dashboard rather than game interface.</w:t>
      </w:r>
    </w:p>
    <w:p>
      <w:pPr>
        <w:spacing w:before="200" w:after="120"/>
      </w:pPr>
      <w:r>
        <w:rPr>
          <w:rFonts w:ascii="Arial" w:cs="Arial" w:eastAsia="Arial" w:hAnsi="Arial"/>
          <w:b/>
          <w:bCs/>
          <w:color w:val="1B3A5C"/>
          <w:sz w:val="22"/>
          <w:szCs w:val="22"/>
        </w:rPr>
        <w:t xml:space="preserve">Opt-In Social Features</w:t>
      </w:r>
    </w:p>
    <w:p>
      <w:pPr>
        <w:spacing w:after="160" w:line="276"/>
      </w:pPr>
      <w:r>
        <w:rPr>
          <w:rFonts w:ascii="Arial" w:cs="Arial" w:eastAsia="Arial" w:hAnsi="Arial"/>
          <w:color w:val="333333"/>
          <w:sz w:val="21"/>
          <w:szCs w:val="21"/>
        </w:rPr>
        <w:t xml:space="preserve">Public leaderboards are never appropriate for adults without explicit opt-in and filtering capability. Adults who choose to participate in comparative features should be able to filter by age group, skill level, and program type. The default experience is private self-referenced progress.</w:t>
      </w:r>
    </w:p>
    <w:p>
      <w:pPr>
        <w:spacing w:before="200" w:after="120"/>
      </w:pPr>
      <w:r>
        <w:rPr>
          <w:rFonts w:ascii="Arial" w:cs="Arial" w:eastAsia="Arial" w:hAnsi="Arial"/>
          <w:b/>
          <w:bCs/>
          <w:color w:val="1B3A5C"/>
          <w:sz w:val="22"/>
          <w:szCs w:val="22"/>
        </w:rPr>
        <w:t xml:space="preserve">Notification Discipline</w:t>
      </w:r>
    </w:p>
    <w:p>
      <w:pPr>
        <w:spacing w:after="160" w:line="276"/>
      </w:pPr>
      <w:r>
        <w:rPr>
          <w:rFonts w:ascii="Arial" w:cs="Arial" w:eastAsia="Arial" w:hAnsi="Arial"/>
          <w:color w:val="333333"/>
          <w:sz w:val="21"/>
          <w:szCs w:val="21"/>
        </w:rPr>
        <w:t xml:space="preserve">Maximum 1–3 notifications per week, focused on actionable milestones: “Your UTR moved from 4.2 to 4.5” or “You’ve maintained 90%+ attendance for 3 months.” Never: “Great job!” or “Keep it up!” or “You’re on a streak!”</w:t>
      </w:r>
    </w:p>
    <w:p>
      <w:pPr>
        <w:spacing w:before="200" w:after="120"/>
      </w:pPr>
      <w:r>
        <w:rPr>
          <w:rFonts w:ascii="Arial" w:cs="Arial" w:eastAsia="Arial" w:hAnsi="Arial"/>
          <w:b/>
          <w:bCs/>
          <w:color w:val="1B3A5C"/>
          <w:sz w:val="22"/>
          <w:szCs w:val="22"/>
        </w:rPr>
        <w:t xml:space="preserve">Recognition Through Access</w:t>
      </w:r>
    </w:p>
    <w:p>
      <w:pPr>
        <w:spacing w:after="160" w:line="276"/>
      </w:pPr>
      <w:r>
        <w:rPr>
          <w:rFonts w:ascii="Arial" w:cs="Arial" w:eastAsia="Arial" w:hAnsi="Arial"/>
          <w:color w:val="333333"/>
          <w:sz w:val="21"/>
          <w:szCs w:val="21"/>
        </w:rPr>
        <w:t xml:space="preserve">For adults, the most meaningful recognition is often access rather than badges: priority booking for popular session times, invitation to advanced clinics, introduction to playing partners at similar levels, or participation in LBTA social events. These recognition forms satisfy all three SDT needs simultaneously—they represent earned capability (competence), personal choice (autonomy), and community membership (relatedness).</w:t>
      </w:r>
    </w:p>
    <w:p>
      <w:r>
        <w:br w:type="page"/>
      </w:r>
    </w:p>
    <w:p>
      <w:pPr>
        <w:pBdr>
          <w:bottom w:val="single" w:color="C4963C" w:sz="4" w:space="1"/>
        </w:pBdr>
        <w:spacing w:before="200" w:after="200"/>
      </w:pPr>
    </w:p>
    <w:p>
      <w:pPr>
        <w:pStyle w:val="Heading1"/>
        <w:spacing w:before="360" w:after="200"/>
      </w:pPr>
      <w:r>
        <w:rPr>
          <w:rFonts w:ascii="Arial" w:cs="Arial" w:eastAsia="Arial" w:hAnsi="Arial"/>
          <w:b/>
          <w:bCs/>
          <w:color w:val="1B3A5C"/>
          <w:sz w:val="32"/>
          <w:szCs w:val="32"/>
        </w:rPr>
        <w:t xml:space="preserve">5. Integration with Domains 1–3</w:t>
      </w:r>
    </w:p>
    <w:p>
      <w:pPr>
        <w:pStyle w:val="Heading2"/>
        <w:spacing w:before="280" w:after="160"/>
      </w:pPr>
      <w:r>
        <w:rPr>
          <w:rFonts w:ascii="Arial" w:cs="Arial" w:eastAsia="Arial" w:hAnsi="Arial"/>
          <w:b/>
          <w:bCs/>
          <w:color w:val="2E8B8B"/>
          <w:sz w:val="26"/>
          <w:szCs w:val="26"/>
        </w:rPr>
        <w:t xml:space="preserve">5.1 Domain 1 Integration: Physical Fitness Testing</w:t>
      </w:r>
    </w:p>
    <w:p>
      <w:pPr>
        <w:spacing w:after="160" w:line="276"/>
      </w:pPr>
      <w:r>
        <w:rPr>
          <w:rFonts w:ascii="Arial" w:cs="Arial" w:eastAsia="Arial" w:hAnsi="Arial"/>
          <w:color w:val="333333"/>
          <w:sz w:val="21"/>
          <w:szCs w:val="21"/>
        </w:rPr>
        <w:t xml:space="preserve">The Movement Day protocol (Spider Drill, medicine ball throw, serve speed, sit-and-reach) produces quantitative data that feeds directly into the achievement system as objective milestone criteria. Each fitness benchmark has percentile-based individual profiles that function identically to USA Swimming’s motivational time standards—the player competes against their own previous performance, with age-appropriate context.</w:t>
      </w:r>
    </w:p>
    <w:p>
      <w:pPr>
        <w:spacing w:after="160" w:line="276"/>
      </w:pPr>
      <w:r>
        <w:rPr>
          <w:rFonts w:ascii="Arial" w:cs="Arial" w:eastAsia="Arial" w:hAnsi="Arial"/>
          <w:color w:val="333333"/>
          <w:sz w:val="21"/>
          <w:szCs w:val="21"/>
        </w:rPr>
        <w:t xml:space="preserve">Achievement triggers from Domain 1: Personal best in any assessment metric, advancing a percentile bracket, maintaining fitness consistency across quarters, and age-group benchmark achievements. These are purely self-referenced and never comparative between players.</w:t>
      </w:r>
    </w:p>
    <w:p>
      <w:pPr>
        <w:pStyle w:val="Heading2"/>
        <w:spacing w:before="280" w:after="160"/>
      </w:pPr>
      <w:r>
        <w:rPr>
          <w:rFonts w:ascii="Arial" w:cs="Arial" w:eastAsia="Arial" w:hAnsi="Arial"/>
          <w:b/>
          <w:bCs/>
          <w:color w:val="2E8B8B"/>
          <w:sz w:val="26"/>
          <w:szCs w:val="26"/>
        </w:rPr>
        <w:t xml:space="preserve">5.2 Domain 2 Integration: Skills Assessment</w:t>
      </w:r>
    </w:p>
    <w:p>
      <w:pPr>
        <w:spacing w:after="160" w:line="276"/>
      </w:pPr>
      <w:r>
        <w:rPr>
          <w:rFonts w:ascii="Arial" w:cs="Arial" w:eastAsia="Arial" w:hAnsi="Arial"/>
          <w:color w:val="333333"/>
          <w:sz w:val="21"/>
          <w:szCs w:val="21"/>
        </w:rPr>
        <w:t xml:space="preserve">The LBTA Skill Compass (Developing / Proficient / Advanced across technical, tactical, and behavioral dimensions) provides the primary competence measurement for milestone recognition. Coach-calibrated assessments (targeting inter-rater reliability κ ≥ 0.70) ensure that recognition reflects genuine skill progression rather than subjective favoritism.</w:t>
      </w:r>
    </w:p>
    <w:p>
      <w:pPr>
        <w:spacing w:after="160" w:line="276"/>
      </w:pPr>
      <w:r>
        <w:rPr>
          <w:rFonts w:ascii="Arial" w:cs="Arial" w:eastAsia="Arial" w:hAnsi="Arial"/>
          <w:color w:val="333333"/>
          <w:sz w:val="21"/>
          <w:szCs w:val="21"/>
        </w:rPr>
        <w:t xml:space="preserve">The readiness conversation model—where coaches present stage transition eligibility to players and families rather than unilaterally advancing or holding players—embodies the autonomy principle from SDT. The player and family participate in the decision, ensuring that advancement feels self-directed.</w:t>
      </w:r>
    </w:p>
    <w:p>
      <w:pPr>
        <w:pStyle w:val="Heading2"/>
        <w:spacing w:before="280" w:after="160"/>
      </w:pPr>
      <w:r>
        <w:rPr>
          <w:rFonts w:ascii="Arial" w:cs="Arial" w:eastAsia="Arial" w:hAnsi="Arial"/>
          <w:b/>
          <w:bCs/>
          <w:color w:val="2E8B8B"/>
          <w:sz w:val="26"/>
          <w:szCs w:val="26"/>
        </w:rPr>
        <w:t xml:space="preserve">5.3 Domain 3 Integration: Rating Systems &amp; Progression</w:t>
      </w:r>
    </w:p>
    <w:p>
      <w:pPr>
        <w:spacing w:after="160" w:line="276"/>
      </w:pPr>
      <w:r>
        <w:rPr>
          <w:rFonts w:ascii="Arial" w:cs="Arial" w:eastAsia="Arial" w:hAnsi="Arial"/>
          <w:color w:val="333333"/>
          <w:sz w:val="21"/>
          <w:szCs w:val="21"/>
        </w:rPr>
        <w:t xml:space="preserve">The LBTA Player Journey Framework (Discovery → Foundation → Development → Pathway → Pursuit) provides the macro-architecture within which achievement milestones operate. Domain 3’s progression gate design (3-dimensional: technical, competitive, behavioral) ensures that advancement requires growth across multiple dimensions, preventing the hollow achievement of advancing on a single criterion.</w:t>
      </w:r>
    </w:p>
    <w:p>
      <w:pPr>
        <w:spacing w:after="160" w:line="276"/>
      </w:pPr>
      <w:r>
        <w:rPr>
          <w:rFonts w:ascii="Arial" w:cs="Arial" w:eastAsia="Arial" w:hAnsi="Arial"/>
          <w:color w:val="333333"/>
          <w:sz w:val="21"/>
          <w:szCs w:val="21"/>
        </w:rPr>
        <w:t xml:space="preserve">The dual-track architecture (recreational vs. competitive) ensures that the achievement system serves both populations authentically. Recreational players have meaningful milestones centered on skill development, fitness, and community participation—they are never made to feel like second-class citizens because they don’t compete in tournaments.</w:t>
      </w:r>
    </w:p>
    <w:p>
      <w:pPr>
        <w:pStyle w:val="Heading2"/>
        <w:spacing w:before="280" w:after="160"/>
      </w:pPr>
      <w:r>
        <w:rPr>
          <w:rFonts w:ascii="Arial" w:cs="Arial" w:eastAsia="Arial" w:hAnsi="Arial"/>
          <w:b/>
          <w:bCs/>
          <w:color w:val="2E8B8B"/>
          <w:sz w:val="26"/>
          <w:szCs w:val="26"/>
        </w:rPr>
        <w:t xml:space="preserve">5.4 Unified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Source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Domain</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Achievement Trigger</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Recognition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Spider Drill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D1: Fitness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Personal best / percentile advance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Tier 1 (Micro) or Tier 2 (Milestone)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Skill Compass rating</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D2: Skills</w:t>
            </w:r>
          </w:p>
        </w:tc>
        <w:tc>
          <w:tcPr>
            <w:tcW w:type="dxa" w:w="24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Level transition (Dev/Prof/Adv)</w:t>
            </w:r>
          </w:p>
        </w:tc>
        <w:tc>
          <w:tcPr>
            <w:tcW w:type="dxa" w:w="24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Tier 2 (Milestone)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UTR rating change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D3: Rating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0.5+ UTR increment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Tier 2 (Milestone)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Stage assessment</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D3: Progression</w:t>
            </w:r>
          </w:p>
        </w:tc>
        <w:tc>
          <w:tcPr>
            <w:tcW w:type="dxa" w:w="24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Player Journey stage transition</w:t>
            </w:r>
          </w:p>
        </w:tc>
        <w:tc>
          <w:tcPr>
            <w:tcW w:type="dxa" w:w="24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Tier 3 (Transition)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Session attendance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Ops: Airtable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Consistency streaks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Tier 1 (Micro)</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Match results</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D3: Competition</w:t>
            </w:r>
          </w:p>
        </w:tc>
        <w:tc>
          <w:tcPr>
            <w:tcW w:type="dxa" w:w="24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First match/win/tournament</w:t>
            </w:r>
          </w:p>
        </w:tc>
        <w:tc>
          <w:tcPr>
            <w:tcW w:type="dxa" w:w="24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Tier 2 (Milestone)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Coach observation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D2: Calibration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Behavioral recognition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Tier 1 (Micro)</w:t>
            </w:r>
          </w:p>
        </w:tc>
      </w:tr>
    </w:tbl>
    <w:p>
      <w:pPr>
        <w:spacing w:after="200"/>
      </w:pPr>
    </w:p>
    <w:p>
      <w:r>
        <w:br w:type="page"/>
      </w:r>
    </w:p>
    <w:p>
      <w:pPr>
        <w:pBdr>
          <w:bottom w:val="single" w:color="C4963C" w:sz="4" w:space="1"/>
        </w:pBdr>
        <w:spacing w:before="200" w:after="200"/>
      </w:pPr>
    </w:p>
    <w:p>
      <w:pPr>
        <w:pStyle w:val="Heading1"/>
        <w:spacing w:before="360" w:after="200"/>
      </w:pPr>
      <w:r>
        <w:rPr>
          <w:rFonts w:ascii="Arial" w:cs="Arial" w:eastAsia="Arial" w:hAnsi="Arial"/>
          <w:b/>
          <w:bCs/>
          <w:color w:val="1B3A5C"/>
          <w:sz w:val="32"/>
          <w:szCs w:val="32"/>
        </w:rPr>
        <w:t xml:space="preserve">6. The Aman Test: Premium Achievement Standards</w:t>
      </w:r>
    </w:p>
    <w:p>
      <w:pPr>
        <w:spacing w:after="160" w:line="276"/>
      </w:pPr>
      <w:r>
        <w:rPr>
          <w:rFonts w:ascii="Arial" w:cs="Arial" w:eastAsia="Arial" w:hAnsi="Arial"/>
          <w:color w:val="333333"/>
          <w:sz w:val="21"/>
          <w:szCs w:val="21"/>
        </w:rPr>
        <w:t xml:space="preserve">Every achievement element must pass the Aman Test—would this feel at home in a premium, considered environment? The test evaluates seven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Dimension</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Pass</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Fail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9"/>
                <w:szCs w:val="19"/>
              </w:rPr>
              <w:t xml:space="preserve">Materials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Embossed card stock, quality silicone wristbands, linen certificates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Printed paper badges, plastic trophies, sticker charts</w:t>
            </w:r>
          </w:p>
        </w:tc>
      </w:tr>
      <w:tr>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i w:val="false"/>
                <w:iCs w:val="false"/>
                <w:color w:val="333333"/>
                <w:sz w:val="19"/>
                <w:szCs w:val="19"/>
              </w:rPr>
              <w:t xml:space="preserve">Language</w:t>
            </w:r>
          </w:p>
        </w:tc>
        <w:tc>
          <w:tcPr>
            <w:tcW w:type="dxa" w:w="36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"Your serve consistency has advanced to the next benchmark."</w:t>
            </w:r>
          </w:p>
        </w:tc>
        <w:tc>
          <w:tcPr>
            <w:tcW w:type="dxa" w:w="36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"Awesome job! You unlocked a new achievement!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9"/>
                <w:szCs w:val="19"/>
              </w:rPr>
              <w:t xml:space="preserve">Visual Design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Clean typography, LBTA brand colors, minimal iconography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Cartoon characters, confetti, animated badges, bright primary colors</w:t>
            </w:r>
          </w:p>
        </w:tc>
      </w:tr>
      <w:tr>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i w:val="false"/>
                <w:iCs w:val="false"/>
                <w:color w:val="333333"/>
                <w:sz w:val="19"/>
                <w:szCs w:val="19"/>
              </w:rPr>
              <w:t xml:space="preserve">Frequency</w:t>
            </w:r>
          </w:p>
        </w:tc>
        <w:tc>
          <w:tcPr>
            <w:tcW w:type="dxa" w:w="36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Meaningful moments tied to genuine progress</w:t>
            </w:r>
          </w:p>
        </w:tc>
        <w:tc>
          <w:tcPr>
            <w:tcW w:type="dxa" w:w="36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Daily notifications, streaks, gamification pop-ups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9"/>
                <w:szCs w:val="19"/>
              </w:rPr>
              <w:t xml:space="preserve">Social Visibility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Achievement wall at facility, opt-in parent sharing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Forced social media sharing, public leaderboards for juniors</w:t>
            </w:r>
          </w:p>
        </w:tc>
      </w:tr>
      <w:tr>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i w:val="false"/>
                <w:iCs w:val="false"/>
                <w:color w:val="333333"/>
                <w:sz w:val="19"/>
                <w:szCs w:val="19"/>
              </w:rPr>
              <w:t xml:space="preserve">Coach Role</w:t>
            </w:r>
          </w:p>
        </w:tc>
        <w:tc>
          <w:tcPr>
            <w:tcW w:type="dxa" w:w="36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Informational feedback citing specific observations</w:t>
            </w:r>
          </w:p>
        </w:tc>
        <w:tc>
          <w:tcPr>
            <w:tcW w:type="dxa" w:w="36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Generic praise, compliance acknowledgment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19"/>
                <w:szCs w:val="19"/>
              </w:rPr>
              <w:t xml:space="preserve">Permanence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Achievements earned are never revoked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Levels decay with inactivity, status lost if missed sessions</w:t>
            </w:r>
          </w:p>
        </w:tc>
      </w:tr>
    </w:tbl>
    <w:p>
      <w:pPr>
        <w:spacing w:after="200"/>
      </w:pPr>
    </w:p>
    <w:p>
      <w:pPr>
        <w:spacing w:after="160" w:line="276"/>
      </w:pPr>
      <w:r>
        <w:rPr>
          <w:rFonts w:ascii="Arial" w:cs="Arial" w:eastAsia="Arial" w:hAnsi="Arial"/>
          <w:color w:val="333333"/>
          <w:sz w:val="21"/>
          <w:szCs w:val="21"/>
        </w:rPr>
        <w:t xml:space="preserve">The core question: Would a discerning Laguna Beach parent feel proud displaying this recognition in their home? Would they photograph it for family? Would they mention it to other parents? If the answer is no, the element fails the Aman Test and needs redesign.</w:t>
      </w:r>
    </w:p>
    <w:p>
      <w:r>
        <w:br w:type="page"/>
      </w:r>
    </w:p>
    <w:p>
      <w:pPr>
        <w:pBdr>
          <w:bottom w:val="single" w:color="C4963C" w:sz="4" w:space="1"/>
        </w:pBdr>
        <w:spacing w:before="200" w:after="200"/>
      </w:pPr>
    </w:p>
    <w:p>
      <w:pPr>
        <w:pStyle w:val="Heading1"/>
        <w:spacing w:before="360" w:after="200"/>
      </w:pPr>
      <w:r>
        <w:rPr>
          <w:rFonts w:ascii="Arial" w:cs="Arial" w:eastAsia="Arial" w:hAnsi="Arial"/>
          <w:b/>
          <w:bCs/>
          <w:color w:val="1B3A5C"/>
          <w:sz w:val="32"/>
          <w:szCs w:val="32"/>
        </w:rPr>
        <w:t xml:space="preserve">7. Revenue Integration &amp; Referral Architecture</w:t>
      </w:r>
    </w:p>
    <w:p>
      <w:pPr>
        <w:pStyle w:val="Heading2"/>
        <w:spacing w:before="280" w:after="160"/>
      </w:pPr>
      <w:r>
        <w:rPr>
          <w:rFonts w:ascii="Arial" w:cs="Arial" w:eastAsia="Arial" w:hAnsi="Arial"/>
          <w:b/>
          <w:bCs/>
          <w:color w:val="2E8B8B"/>
          <w:sz w:val="26"/>
          <w:szCs w:val="26"/>
        </w:rPr>
        <w:t xml:space="preserve">7.1 Achievement-Driven Retention Economics</w:t>
      </w:r>
    </w:p>
    <w:p>
      <w:pPr>
        <w:spacing w:after="160" w:line="276"/>
      </w:pPr>
      <w:r>
        <w:rPr>
          <w:rFonts w:ascii="Arial" w:cs="Arial" w:eastAsia="Arial" w:hAnsi="Arial"/>
          <w:color w:val="333333"/>
          <w:sz w:val="21"/>
          <w:szCs w:val="21"/>
        </w:rPr>
        <w:t xml:space="preserve">The existing LBTA Achievement System document projects the following financial impact, which this research validates:</w:t>
      </w:r>
    </w:p>
    <w:p>
      <w:pPr>
        <w:pStyle w:val="ListParagraph"/>
        <w:numPr>
          <w:ilvl w:val="0"/>
          <w:numId w:val="7"/>
        </w:numPr>
        <w:spacing w:after="120"/>
      </w:pPr>
      <w:r>
        <w:rPr>
          <w:rFonts w:ascii="Arial" w:cs="Arial" w:eastAsia="Arial" w:hAnsi="Arial"/>
          <w:b/>
          <w:bCs/>
          <w:color w:val="333333"/>
          <w:sz w:val="21"/>
          <w:szCs w:val="21"/>
        </w:rPr>
        <w:t xml:space="preserve">Retention improvement: </w:t>
      </w:r>
      <w:r>
        <w:rPr>
          <w:rFonts w:ascii="Arial" w:cs="Arial" w:eastAsia="Arial" w:hAnsi="Arial"/>
          <w:color w:val="333333"/>
          <w:sz w:val="21"/>
          <w:szCs w:val="21"/>
        </w:rPr>
        <w:t xml:space="preserve">A 5-point improvement in retention across 695 students at $2,000–$3,500 average annual revenue generates $70K–$122K in additional annual revenue. A 10-point improvement generates $140K–$245K.</w:t>
      </w:r>
    </w:p>
    <w:p>
      <w:pPr>
        <w:pStyle w:val="ListParagraph"/>
        <w:numPr>
          <w:ilvl w:val="0"/>
          <w:numId w:val="7"/>
        </w:numPr>
        <w:spacing w:after="120"/>
      </w:pPr>
      <w:r>
        <w:rPr>
          <w:rFonts w:ascii="Arial" w:cs="Arial" w:eastAsia="Arial" w:hAnsi="Arial"/>
          <w:b/>
          <w:bCs/>
          <w:color w:val="333333"/>
          <w:sz w:val="21"/>
          <w:szCs w:val="21"/>
        </w:rPr>
        <w:t xml:space="preserve">Program advancement: </w:t>
      </w:r>
      <w:r>
        <w:rPr>
          <w:rFonts w:ascii="Arial" w:cs="Arial" w:eastAsia="Arial" w:hAnsi="Arial"/>
          <w:color w:val="333333"/>
          <w:sz w:val="21"/>
          <w:szCs w:val="21"/>
        </w:rPr>
        <w:t xml:space="preserve">Players who advance through stages increase their revenue contribution by 30–100% per tier. The achievement system is the mechanism that makes advancement feel natural and desirable rather than upsold.</w:t>
      </w:r>
    </w:p>
    <w:p>
      <w:pPr>
        <w:pStyle w:val="ListParagraph"/>
        <w:numPr>
          <w:ilvl w:val="0"/>
          <w:numId w:val="7"/>
        </w:numPr>
        <w:spacing w:after="120"/>
      </w:pPr>
      <w:r>
        <w:rPr>
          <w:rFonts w:ascii="Arial" w:cs="Arial" w:eastAsia="Arial" w:hAnsi="Arial"/>
          <w:b/>
          <w:bCs/>
          <w:color w:val="333333"/>
          <w:sz w:val="21"/>
          <w:szCs w:val="21"/>
        </w:rPr>
        <w:t xml:space="preserve">Referral generation: </w:t>
      </w:r>
      <w:r>
        <w:rPr>
          <w:rFonts w:ascii="Arial" w:cs="Arial" w:eastAsia="Arial" w:hAnsi="Arial"/>
          <w:color w:val="333333"/>
          <w:sz w:val="21"/>
          <w:szCs w:val="21"/>
        </w:rPr>
        <w:t xml:space="preserve">The existing referral engine ($50 credit for 1st referral through naming rights at 10th) projects $17,250 annual ROI. Achievement recognition creates the social proof that makes referrals organic.</w:t>
      </w:r>
    </w:p>
    <w:p>
      <w:pPr>
        <w:pStyle w:val="ListParagraph"/>
        <w:numPr>
          <w:ilvl w:val="0"/>
          <w:numId w:val="7"/>
        </w:numPr>
        <w:spacing w:after="160"/>
      </w:pPr>
      <w:r>
        <w:rPr>
          <w:rFonts w:ascii="Arial" w:cs="Arial" w:eastAsia="Arial" w:hAnsi="Arial"/>
          <w:b/>
          <w:bCs/>
          <w:color w:val="333333"/>
          <w:sz w:val="21"/>
          <w:szCs w:val="21"/>
        </w:rPr>
        <w:t xml:space="preserve">Quarterly budget: </w:t>
      </w:r>
      <w:r>
        <w:rPr>
          <w:rFonts w:ascii="Arial" w:cs="Arial" w:eastAsia="Arial" w:hAnsi="Arial"/>
          <w:color w:val="333333"/>
          <w:sz w:val="21"/>
          <w:szCs w:val="21"/>
        </w:rPr>
        <w:t xml:space="preserve">25% of active players earning rewards quarterly, average $40/player, approximately $4,500 annually for 100 active award recipients. ROI on this investment: approximately 100% from retention alone, before counting referral and advancement revenue.</w:t>
      </w:r>
    </w:p>
    <w:p>
      <w:pPr>
        <w:pStyle w:val="Heading2"/>
        <w:spacing w:before="280" w:after="160"/>
      </w:pPr>
      <w:r>
        <w:rPr>
          <w:rFonts w:ascii="Arial" w:cs="Arial" w:eastAsia="Arial" w:hAnsi="Arial"/>
          <w:b/>
          <w:bCs/>
          <w:color w:val="2E8B8B"/>
          <w:sz w:val="26"/>
          <w:szCs w:val="26"/>
        </w:rPr>
        <w:t xml:space="preserve">7.2 Natural Revenue Inflection Points</w:t>
      </w:r>
    </w:p>
    <w:p>
      <w:pPr>
        <w:spacing w:after="160" w:line="276"/>
      </w:pPr>
      <w:r>
        <w:rPr>
          <w:rFonts w:ascii="Arial" w:cs="Arial" w:eastAsia="Arial" w:hAnsi="Arial"/>
          <w:color w:val="333333"/>
          <w:sz w:val="21"/>
          <w:szCs w:val="21"/>
        </w:rPr>
        <w:t xml:space="preserve">The achievement system should be designed to intersect with natural revenue decisions. Five highest-impact retention triggers identified in LBTA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Trigger</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Mechanism</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Revenue 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End-of-season progress report with “next level” pathway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Shows growth achieved, previews what’s next, endows progress toward next season goals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Primary re-enrollment driver; reduces season-break churn by making continuation feel like natural next step</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Milestone achievement notifications</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Timed to arrive 2–4 weeks before renewal decision; reminds family of progress investment</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Triggers consistency principle: family has invested in progression and doesn’t want to abandon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Early bird discounts (60 days before season end)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Combined with progress report; positions renewal as “continuing your journey”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Creates urgency window aligned with achievement momentum</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Scarcity / waitlist psychology</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Popular programs with achievement-verified advancement create genuine demand</w:t>
            </w:r>
          </w:p>
        </w:tc>
        <w:tc>
          <w:tcPr>
            <w:tcW w:type="dxa" w:w="328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Players who’ve earned advancement into a program value the spot more than those who simply signed 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Personalized coach recommendations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Coach-authored notes citing specific growth and suggesting next program/level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Highest-trust recommendation channel; converts at significantly higher rate than marketing</w:t>
            </w:r>
          </w:p>
        </w:tc>
      </w:tr>
    </w:tbl>
    <w:p>
      <w:pPr>
        <w:spacing w:after="200"/>
      </w:pPr>
    </w:p>
    <w:p>
      <w:r>
        <w:br w:type="page"/>
      </w:r>
    </w:p>
    <w:p>
      <w:pPr>
        <w:pBdr>
          <w:bottom w:val="single" w:color="C4963C" w:sz="4" w:space="1"/>
        </w:pBdr>
        <w:spacing w:before="200" w:after="200"/>
      </w:pPr>
    </w:p>
    <w:p>
      <w:pPr>
        <w:pStyle w:val="Heading1"/>
        <w:spacing w:before="360" w:after="200"/>
      </w:pPr>
      <w:r>
        <w:rPr>
          <w:rFonts w:ascii="Arial" w:cs="Arial" w:eastAsia="Arial" w:hAnsi="Arial"/>
          <w:b/>
          <w:bCs/>
          <w:color w:val="1B3A5C"/>
          <w:sz w:val="32"/>
          <w:szCs w:val="32"/>
        </w:rPr>
        <w:t xml:space="preserve">8. Anti-Patterns: What to Avoid</w:t>
      </w:r>
    </w:p>
    <w:p>
      <w:pPr>
        <w:spacing w:after="160" w:line="276"/>
      </w:pPr>
      <w:r>
        <w:rPr>
          <w:rFonts w:ascii="Arial" w:cs="Arial" w:eastAsia="Arial" w:hAnsi="Arial"/>
          <w:color w:val="333333"/>
          <w:sz w:val="21"/>
          <w:szCs w:val="21"/>
        </w:rPr>
        <w:t xml:space="preserve">The research identifies specific achievement system patterns that produce negative outcomes. These are non-negotiable design constraints for LBTA:</w:t>
      </w:r>
    </w:p>
    <w:p>
      <w:pPr>
        <w:spacing w:before="200" w:after="120"/>
      </w:pPr>
      <w:r>
        <w:rPr>
          <w:rFonts w:ascii="Arial" w:cs="Arial" w:eastAsia="Arial" w:hAnsi="Arial"/>
          <w:b/>
          <w:bCs/>
          <w:color w:val="1B3A5C"/>
          <w:sz w:val="22"/>
          <w:szCs w:val="22"/>
        </w:rPr>
        <w:t xml:space="preserve">1. Public Junior Leaderboards</w:t>
      </w:r>
    </w:p>
    <w:p>
      <w:pPr>
        <w:spacing w:after="160" w:line="276"/>
      </w:pPr>
      <w:r>
        <w:rPr>
          <w:rFonts w:ascii="Arial" w:cs="Arial" w:eastAsia="Arial" w:hAnsi="Arial"/>
          <w:color w:val="333333"/>
          <w:sz w:val="21"/>
          <w:szCs w:val="21"/>
        </w:rPr>
        <w:t xml:space="preserve">Public ranking of junior players by any metric (UTR, attendance, skill level) violates LBTA’s non-negotiable policy and the SDT framework. Leaderboards create extrinsic motivation through social comparison, undermine autonomy (players feel compelled to compete for rank rather than pursue personal growth), and damage relatedness by converting peers into competitors.</w:t>
      </w:r>
    </w:p>
    <w:p>
      <w:pPr>
        <w:spacing w:before="200" w:after="120"/>
      </w:pPr>
      <w:r>
        <w:rPr>
          <w:rFonts w:ascii="Arial" w:cs="Arial" w:eastAsia="Arial" w:hAnsi="Arial"/>
          <w:b/>
          <w:bCs/>
          <w:color w:val="1B3A5C"/>
          <w:sz w:val="22"/>
          <w:szCs w:val="22"/>
        </w:rPr>
        <w:t xml:space="preserve">2. Mandatory Testing</w:t>
      </w:r>
    </w:p>
    <w:p>
      <w:pPr>
        <w:spacing w:after="160" w:line="276"/>
      </w:pPr>
      <w:r>
        <w:rPr>
          <w:rFonts w:ascii="Arial" w:cs="Arial" w:eastAsia="Arial" w:hAnsi="Arial"/>
          <w:color w:val="333333"/>
          <w:sz w:val="21"/>
          <w:szCs w:val="21"/>
        </w:rPr>
        <w:t xml:space="preserve">Requiring participation in assessments transforms a competence-building opportunity into a controlling evaluation. All assessment participation must be opt-in, framed as “Movement Day” or “Skill Check-In” rather than “Testing Day.” Players who choose not to participate should experience no penalty in their achievement progression.</w:t>
      </w:r>
    </w:p>
    <w:p>
      <w:pPr>
        <w:spacing w:before="200" w:after="120"/>
      </w:pPr>
      <w:r>
        <w:rPr>
          <w:rFonts w:ascii="Arial" w:cs="Arial" w:eastAsia="Arial" w:hAnsi="Arial"/>
          <w:b/>
          <w:bCs/>
          <w:color w:val="1B3A5C"/>
          <w:sz w:val="22"/>
          <w:szCs w:val="22"/>
        </w:rPr>
        <w:t xml:space="preserve">3. Comparison Language</w:t>
      </w:r>
    </w:p>
    <w:p>
      <w:pPr>
        <w:spacing w:after="160" w:line="276"/>
      </w:pPr>
      <w:r>
        <w:rPr>
          <w:rFonts w:ascii="Arial" w:cs="Arial" w:eastAsia="Arial" w:hAnsi="Arial"/>
          <w:color w:val="333333"/>
          <w:sz w:val="21"/>
          <w:szCs w:val="21"/>
        </w:rPr>
        <w:t xml:space="preserve">Any communication that positions one player’s achievement relative to another’s (“Top 10 in your age group,” “Better than 80% of players”) violates the self-referenced design principle. All achievement communication references the player’s own history exclusively.</w:t>
      </w:r>
    </w:p>
    <w:p>
      <w:pPr>
        <w:spacing w:before="200" w:after="120"/>
      </w:pPr>
      <w:r>
        <w:rPr>
          <w:rFonts w:ascii="Arial" w:cs="Arial" w:eastAsia="Arial" w:hAnsi="Arial"/>
          <w:b/>
          <w:bCs/>
          <w:color w:val="1B3A5C"/>
          <w:sz w:val="22"/>
          <w:szCs w:val="22"/>
        </w:rPr>
        <w:t xml:space="preserve">4. Decay / Loss Mechanics</w:t>
      </w:r>
    </w:p>
    <w:p>
      <w:pPr>
        <w:spacing w:after="160" w:line="276"/>
      </w:pPr>
      <w:r>
        <w:rPr>
          <w:rFonts w:ascii="Arial" w:cs="Arial" w:eastAsia="Arial" w:hAnsi="Arial"/>
          <w:color w:val="333333"/>
          <w:sz w:val="21"/>
          <w:szCs w:val="21"/>
        </w:rPr>
        <w:t xml:space="preserve">Systems where players lose levels, badges, or status due to inactivity produce anxiety rather than motivation. Once a player earns a milestone, it remains permanently in their profile. A player returning after a break should see their previous achievements waiting for them—a form of endowed progress that motivates re-engagement rather than punishing absence.</w:t>
      </w:r>
    </w:p>
    <w:p>
      <w:pPr>
        <w:spacing w:before="200" w:after="120"/>
      </w:pPr>
      <w:r>
        <w:rPr>
          <w:rFonts w:ascii="Arial" w:cs="Arial" w:eastAsia="Arial" w:hAnsi="Arial"/>
          <w:b/>
          <w:bCs/>
          <w:color w:val="1B3A5C"/>
          <w:sz w:val="22"/>
          <w:szCs w:val="22"/>
        </w:rPr>
        <w:t xml:space="preserve">5. Over-Notification</w:t>
      </w:r>
    </w:p>
    <w:p>
      <w:pPr>
        <w:spacing w:after="160" w:line="276"/>
      </w:pPr>
      <w:r>
        <w:rPr>
          <w:rFonts w:ascii="Arial" w:cs="Arial" w:eastAsia="Arial" w:hAnsi="Arial"/>
          <w:color w:val="333333"/>
          <w:sz w:val="21"/>
          <w:szCs w:val="21"/>
        </w:rPr>
        <w:t xml:space="preserve">Notification frequency must respect the premium positioning. For juniors, parents receive meaningful updates weekly at most. For adults, 1–3 notifications per week maximum. Every notification must pass the test: “Would this message make the recipient glad they received it?” If the answer is uncertain, don’t send it.</w:t>
      </w:r>
    </w:p>
    <w:p>
      <w:pPr>
        <w:spacing w:before="200" w:after="120"/>
      </w:pPr>
      <w:r>
        <w:rPr>
          <w:rFonts w:ascii="Arial" w:cs="Arial" w:eastAsia="Arial" w:hAnsi="Arial"/>
          <w:b/>
          <w:bCs/>
          <w:color w:val="1B3A5C"/>
          <w:sz w:val="22"/>
          <w:szCs w:val="22"/>
        </w:rPr>
        <w:t xml:space="preserve">6. Cheap Materials</w:t>
      </w:r>
    </w:p>
    <w:p>
      <w:pPr>
        <w:spacing w:after="160" w:line="276"/>
      </w:pPr>
      <w:r>
        <w:rPr>
          <w:rFonts w:ascii="Arial" w:cs="Arial" w:eastAsia="Arial" w:hAnsi="Arial"/>
          <w:color w:val="333333"/>
          <w:sz w:val="21"/>
          <w:szCs w:val="21"/>
        </w:rPr>
        <w:t xml:space="preserve">Printed certificates on standard paper, plastic trophies, generic medals, sticker charts—these materials signal that the program is not serious about recognition. Every physical recognition element must meet the Aman Test. Budget $40/player/quarter for recognition materials; this is an investment in retention, not an expense.</w:t>
      </w:r>
    </w:p>
    <w:p>
      <w:pPr>
        <w:spacing w:before="200" w:after="120"/>
      </w:pPr>
      <w:r>
        <w:rPr>
          <w:rFonts w:ascii="Arial" w:cs="Arial" w:eastAsia="Arial" w:hAnsi="Arial"/>
          <w:b/>
          <w:bCs/>
          <w:color w:val="1B3A5C"/>
          <w:sz w:val="22"/>
          <w:szCs w:val="22"/>
        </w:rPr>
        <w:t xml:space="preserve">7. Coach Burden</w:t>
      </w:r>
    </w:p>
    <w:p>
      <w:pPr>
        <w:spacing w:after="160" w:line="276"/>
      </w:pPr>
      <w:r>
        <w:rPr>
          <w:rFonts w:ascii="Arial" w:cs="Arial" w:eastAsia="Arial" w:hAnsi="Arial"/>
          <w:color w:val="333333"/>
          <w:sz w:val="21"/>
          <w:szCs w:val="21"/>
        </w:rPr>
        <w:t xml:space="preserve">Any achievement system element that adds more than 2–3 minutes of work per session per coach will not be consistently executed across a 4-coach operation. Micro-recognition must integrate into natural coaching flow. Data entry must be minimal—ideally a quick rating or checkbox, not narrative documentation.</w:t>
      </w:r>
    </w:p>
    <w:p>
      <w:r>
        <w:br w:type="page"/>
      </w:r>
    </w:p>
    <w:p>
      <w:pPr>
        <w:pBdr>
          <w:bottom w:val="single" w:color="C4963C" w:sz="4" w:space="1"/>
        </w:pBdr>
        <w:spacing w:before="200" w:after="200"/>
      </w:pPr>
    </w:p>
    <w:p>
      <w:pPr>
        <w:pStyle w:val="Heading1"/>
        <w:spacing w:before="360" w:after="200"/>
      </w:pPr>
      <w:r>
        <w:rPr>
          <w:rFonts w:ascii="Arial" w:cs="Arial" w:eastAsia="Arial" w:hAnsi="Arial"/>
          <w:b/>
          <w:bCs/>
          <w:color w:val="1B3A5C"/>
          <w:sz w:val="32"/>
          <w:szCs w:val="32"/>
        </w:rPr>
        <w:t xml:space="preserve">9. Implementation Roadmap</w:t>
      </w:r>
    </w:p>
    <w:p>
      <w:pPr>
        <w:pStyle w:val="Heading2"/>
        <w:spacing w:before="280" w:after="160"/>
      </w:pPr>
      <w:r>
        <w:rPr>
          <w:rFonts w:ascii="Arial" w:cs="Arial" w:eastAsia="Arial" w:hAnsi="Arial"/>
          <w:b/>
          <w:bCs/>
          <w:color w:val="2E8B8B"/>
          <w:sz w:val="26"/>
          <w:szCs w:val="26"/>
        </w:rPr>
        <w:t xml:space="preserve">Phase 1: Foundation (Weeks 1–4)</w:t>
      </w:r>
    </w:p>
    <w:p>
      <w:pPr>
        <w:spacing w:after="160" w:line="276"/>
      </w:pPr>
      <w:r>
        <w:rPr>
          <w:rFonts w:ascii="Arial" w:cs="Arial" w:eastAsia="Arial" w:hAnsi="Arial"/>
          <w:color w:val="333333"/>
          <w:sz w:val="21"/>
          <w:szCs w:val="21"/>
        </w:rPr>
        <w:t xml:space="preserve">Design and produce physical recognition materials (player cards, wristbands, certificate templates) meeting Aman Test standards. Configure Airtable fields to capture achievement data: milestone dates, Skill Compass ratings, fitness benchmarks, attendance streaks. Draft coach training materials for informational (not controlling) recognition language. Cost estimate: $800–$1,200 for initial materials plus design.</w:t>
      </w:r>
    </w:p>
    <w:p>
      <w:pPr>
        <w:pStyle w:val="Heading2"/>
        <w:spacing w:before="280" w:after="160"/>
      </w:pPr>
      <w:r>
        <w:rPr>
          <w:rFonts w:ascii="Arial" w:cs="Arial" w:eastAsia="Arial" w:hAnsi="Arial"/>
          <w:b/>
          <w:bCs/>
          <w:color w:val="2E8B8B"/>
          <w:sz w:val="26"/>
          <w:szCs w:val="26"/>
        </w:rPr>
        <w:t xml:space="preserve">Phase 2: Pilot (Weeks 5–8)</w:t>
      </w:r>
    </w:p>
    <w:p>
      <w:pPr>
        <w:spacing w:after="160" w:line="276"/>
      </w:pPr>
      <w:r>
        <w:rPr>
          <w:rFonts w:ascii="Arial" w:cs="Arial" w:eastAsia="Arial" w:hAnsi="Arial"/>
          <w:color w:val="333333"/>
          <w:sz w:val="21"/>
          <w:szCs w:val="21"/>
        </w:rPr>
        <w:t xml:space="preserve">Launch with 2–3 existing programs representing different age groups (recommended: one 7–10 age group, one 11–14 age group, one adult program). Implement the Endowed Enrollment Experience for all new enrollments in pilot programs. Begin weekly micro-recognition through coach verbal feedback and session notes. Collect parent and player feedback at Week 4 and Week 8.</w:t>
      </w:r>
    </w:p>
    <w:p>
      <w:pPr>
        <w:pStyle w:val="Heading2"/>
        <w:spacing w:before="280" w:after="160"/>
      </w:pPr>
      <w:r>
        <w:rPr>
          <w:rFonts w:ascii="Arial" w:cs="Arial" w:eastAsia="Arial" w:hAnsi="Arial"/>
          <w:b/>
          <w:bCs/>
          <w:color w:val="2E8B8B"/>
          <w:sz w:val="26"/>
          <w:szCs w:val="26"/>
        </w:rPr>
        <w:t xml:space="preserve">Phase 3: Expand (Weeks 9–16)</w:t>
      </w:r>
    </w:p>
    <w:p>
      <w:pPr>
        <w:spacing w:after="160" w:line="276"/>
      </w:pPr>
      <w:r>
        <w:rPr>
          <w:rFonts w:ascii="Arial" w:cs="Arial" w:eastAsia="Arial" w:hAnsi="Arial"/>
          <w:color w:val="333333"/>
          <w:sz w:val="21"/>
          <w:szCs w:val="21"/>
        </w:rPr>
        <w:t xml:space="preserve">Based on pilot feedback, refine recognition language, materials, and milestone spacing. Expand to all programs. Activate the referral engine with achievement-connected incentives. Begin quarterly Milestone Recognition events aligned with Skill Compass assessments (Domain 2) and Movement Days (Domain 1).</w:t>
      </w:r>
    </w:p>
    <w:p>
      <w:pPr>
        <w:pStyle w:val="Heading2"/>
        <w:spacing w:before="280" w:after="160"/>
      </w:pPr>
      <w:r>
        <w:rPr>
          <w:rFonts w:ascii="Arial" w:cs="Arial" w:eastAsia="Arial" w:hAnsi="Arial"/>
          <w:b/>
          <w:bCs/>
          <w:color w:val="2E8B8B"/>
          <w:sz w:val="26"/>
          <w:szCs w:val="26"/>
        </w:rPr>
        <w:t xml:space="preserve">Phase 4: Integrate (Weeks 17–24)</w:t>
      </w:r>
    </w:p>
    <w:p>
      <w:pPr>
        <w:spacing w:after="160" w:line="276"/>
      </w:pPr>
      <w:r>
        <w:rPr>
          <w:rFonts w:ascii="Arial" w:cs="Arial" w:eastAsia="Arial" w:hAnsi="Arial"/>
          <w:color w:val="333333"/>
          <w:sz w:val="21"/>
          <w:szCs w:val="21"/>
        </w:rPr>
        <w:t xml:space="preserve">Connect achievement data to parent communication automation in GoHighLevel. Build end-of-season progress reports that combine fitness (Domain 1), skills (Domain 2), and progression (Domain 3) data into unified achievement narratives. Implement the adult achievement dashboard in the parent portal or future admin platform.</w:t>
      </w:r>
    </w:p>
    <w:p>
      <w:pPr>
        <w:pStyle w:val="Heading2"/>
        <w:spacing w:before="280" w:after="160"/>
      </w:pPr>
      <w:r>
        <w:rPr>
          <w:rFonts w:ascii="Arial" w:cs="Arial" w:eastAsia="Arial" w:hAnsi="Arial"/>
          <w:b/>
          <w:bCs/>
          <w:color w:val="2E8B8B"/>
          <w:sz w:val="26"/>
          <w:szCs w:val="26"/>
        </w:rPr>
        <w:t xml:space="preserve">Phase 5: Optimize (Ongoing)</w:t>
      </w:r>
    </w:p>
    <w:p>
      <w:pPr>
        <w:spacing w:after="160" w:line="276"/>
      </w:pPr>
      <w:r>
        <w:rPr>
          <w:rFonts w:ascii="Arial" w:cs="Arial" w:eastAsia="Arial" w:hAnsi="Arial"/>
          <w:color w:val="333333"/>
          <w:sz w:val="21"/>
          <w:szCs w:val="21"/>
        </w:rPr>
        <w:t xml:space="preserve">Quarterly review of achievement data against retention and revenue KPIs. Adjust milestone spacing based on actual player progression rates. Refine recognition materials based on parent feedback. Annual audit against the Aman Test and SDT alignment framework.</w:t>
      </w:r>
    </w:p>
    <w:p>
      <w:pPr>
        <w:pBdr>
          <w:bottom w:val="single" w:color="C4963C" w:sz="4" w:space="1"/>
        </w:pBdr>
        <w:spacing w:before="200" w:after="200"/>
      </w:pPr>
    </w:p>
    <w:p>
      <w:pPr>
        <w:pStyle w:val="Heading1"/>
        <w:spacing w:before="360" w:after="200"/>
      </w:pPr>
      <w:r>
        <w:rPr>
          <w:rFonts w:ascii="Arial" w:cs="Arial" w:eastAsia="Arial" w:hAnsi="Arial"/>
          <w:b/>
          <w:bCs/>
          <w:color w:val="1B3A5C"/>
          <w:sz w:val="32"/>
          <w:szCs w:val="32"/>
        </w:rPr>
        <w:t xml:space="preserve">10. Key Citations &amp; References</w:t>
      </w:r>
    </w:p>
    <w:p>
      <w:pPr>
        <w:spacing w:after="160" w:line="276"/>
      </w:pPr>
      <w:r>
        <w:rPr>
          <w:rFonts w:ascii="Arial" w:cs="Arial" w:eastAsia="Arial" w:hAnsi="Arial"/>
          <w:color w:val="333333"/>
          <w:sz w:val="21"/>
          <w:szCs w:val="21"/>
        </w:rPr>
        <w:t xml:space="preserve">Deci, E. L., Koestner, R., &amp; Ryan, R. M. (2001). Extrinsic rewards and intrinsic motivation in education: Reconsidered once again. Review of Educational Research, 71(1), 1–27.</w:t>
      </w:r>
    </w:p>
    <w:p>
      <w:pPr>
        <w:spacing w:after="160" w:line="276"/>
      </w:pPr>
      <w:r>
        <w:rPr>
          <w:rFonts w:ascii="Arial" w:cs="Arial" w:eastAsia="Arial" w:hAnsi="Arial"/>
          <w:color w:val="333333"/>
          <w:sz w:val="21"/>
          <w:szCs w:val="21"/>
        </w:rPr>
        <w:t xml:space="preserve">Hanus, M. D., &amp; Fox, J. (2015). Assessing the effects of gamification in the classroom. Computers &amp; Education, 80, 152–161.</w:t>
      </w:r>
    </w:p>
    <w:p>
      <w:pPr>
        <w:spacing w:after="160" w:line="276"/>
      </w:pPr>
      <w:r>
        <w:rPr>
          <w:rFonts w:ascii="Arial" w:cs="Arial" w:eastAsia="Arial" w:hAnsi="Arial"/>
          <w:color w:val="333333"/>
          <w:sz w:val="21"/>
          <w:szCs w:val="21"/>
        </w:rPr>
        <w:t xml:space="preserve">Hull, C. L. (1932). The goal-gradient hypothesis and maze learning. Psychological Review, 39(1), 25–43.</w:t>
      </w:r>
    </w:p>
    <w:p>
      <w:pPr>
        <w:spacing w:after="160" w:line="276"/>
      </w:pPr>
      <w:r>
        <w:rPr>
          <w:rFonts w:ascii="Arial" w:cs="Arial" w:eastAsia="Arial" w:hAnsi="Arial"/>
          <w:color w:val="333333"/>
          <w:sz w:val="21"/>
          <w:szCs w:val="21"/>
        </w:rPr>
        <w:t xml:space="preserve">Kivetz, R., Urminsky, O., &amp; Zheng, Y. (2006). The goal-gradient hypothesis resurrected: Purchase acceleration, illusionary goal progress, and customer retention. Journal of Marketing Research, 43(1), 39–58.</w:t>
      </w:r>
    </w:p>
    <w:p>
      <w:pPr>
        <w:spacing w:after="160" w:line="276"/>
      </w:pPr>
      <w:r>
        <w:rPr>
          <w:rFonts w:ascii="Arial" w:cs="Arial" w:eastAsia="Arial" w:hAnsi="Arial"/>
          <w:color w:val="333333"/>
          <w:sz w:val="21"/>
          <w:szCs w:val="21"/>
        </w:rPr>
        <w:t xml:space="preserve">Landers, R. N. (2019). Gamification misunderstood: How badly executed and rhetorical gamification obscures its transformative potential. Journal of Management Inquiry, 28(2), 137–140.</w:t>
      </w:r>
    </w:p>
    <w:p>
      <w:pPr>
        <w:spacing w:after="160" w:line="276"/>
      </w:pPr>
      <w:r>
        <w:rPr>
          <w:rFonts w:ascii="Arial" w:cs="Arial" w:eastAsia="Arial" w:hAnsi="Arial"/>
          <w:color w:val="333333"/>
          <w:sz w:val="21"/>
          <w:szCs w:val="21"/>
        </w:rPr>
        <w:t xml:space="preserve">Nunes, J. C., &amp; Drezè, X. (2006). The endowed progress effect: How artificial advancement increases effort. Journal of Consumer Research, 32(4), 504–512.</w:t>
      </w:r>
    </w:p>
    <w:p>
      <w:pPr>
        <w:spacing w:after="160" w:line="276"/>
      </w:pPr>
      <w:r>
        <w:rPr>
          <w:rFonts w:ascii="Arial" w:cs="Arial" w:eastAsia="Arial" w:hAnsi="Arial"/>
          <w:color w:val="333333"/>
          <w:sz w:val="21"/>
          <w:szCs w:val="21"/>
        </w:rPr>
        <w:t xml:space="preserve">Ryan, R. M., &amp; Deci, E. L. (2000). Self-determination theory and the facilitation of intrinsic motivation, social development, and well-being. American Psychologist, 55(1), 68–78.</w:t>
      </w:r>
    </w:p>
    <w:p>
      <w:pPr>
        <w:spacing w:after="160" w:line="276"/>
      </w:pPr>
      <w:r>
        <w:rPr>
          <w:rFonts w:ascii="Arial" w:cs="Arial" w:eastAsia="Arial" w:hAnsi="Arial"/>
          <w:color w:val="333333"/>
          <w:sz w:val="21"/>
          <w:szCs w:val="21"/>
        </w:rPr>
        <w:t xml:space="preserve">Ryan, R. M., Rigby, C. S., &amp; Przybylski, A. (2006). The motivational pull of video games: A self-determination theory approach. Motivation and Emotion, 30(4), 344–360.</w:t>
      </w:r>
    </w:p>
    <w:p>
      <w:pPr>
        <w:spacing w:after="160" w:line="276"/>
      </w:pPr>
      <w:r>
        <w:rPr>
          <w:rFonts w:ascii="Arial" w:cs="Arial" w:eastAsia="Arial" w:hAnsi="Arial"/>
          <w:color w:val="333333"/>
          <w:sz w:val="21"/>
          <w:szCs w:val="21"/>
        </w:rPr>
        <w:t xml:space="preserve">USTA (2025). 2025 State of the Industry Report. United States Tennis Association.</w:t>
      </w:r>
    </w:p>
    <w:p>
      <w:pPr>
        <w:spacing w:after="160" w:line="276"/>
      </w:pPr>
      <w:r>
        <w:rPr>
          <w:rFonts w:ascii="Arial" w:cs="Arial" w:eastAsia="Arial" w:hAnsi="Arial"/>
          <w:color w:val="333333"/>
          <w:sz w:val="21"/>
          <w:szCs w:val="21"/>
        </w:rPr>
        <w:t xml:space="preserve">Neely, K. C. (2020). The impact of deselection in youth sport: A systematic review. International Review of Sport and Exercise Psychology.</w:t>
      </w:r>
    </w:p>
    <w:p>
      <w:pPr>
        <w:pBdr>
          <w:bottom w:val="single" w:color="C4963C" w:sz="4" w:space="1"/>
        </w:pBdr>
        <w:spacing w:before="200" w:after="200"/>
      </w:pPr>
    </w:p>
    <w:p>
      <w:pPr>
        <w:spacing w:before="400"/>
        <w:jc w:val="center"/>
      </w:pPr>
      <w:r>
        <w:rPr>
          <w:rFonts w:ascii="Arial" w:cs="Arial" w:eastAsia="Arial" w:hAnsi="Arial"/>
          <w:b/>
          <w:bCs/>
          <w:color w:val="2E8B8B"/>
          <w:spacing w:val="160"/>
          <w:sz w:val="18"/>
          <w:szCs w:val="18"/>
        </w:rPr>
        <w:t xml:space="preserve">LAGUNA BEACH TENNIS ACADEMY</w:t>
      </w:r>
    </w:p>
    <w:p>
      <w:pPr>
        <w:spacing w:after="80"/>
        <w:jc w:val="center"/>
      </w:pPr>
      <w:r>
        <w:rPr>
          <w:rFonts w:ascii="Arial" w:cs="Arial" w:eastAsia="Arial" w:hAnsi="Arial"/>
          <w:i/>
          <w:iCs/>
          <w:color w:val="1B3A5C"/>
          <w:sz w:val="20"/>
          <w:szCs w:val="20"/>
        </w:rPr>
        <w:t xml:space="preserve">Movement. Discipline. Belonging.</w:t>
      </w:r>
    </w:p>
    <w:p>
      <w:pPr>
        <w:jc w:val="center"/>
      </w:pPr>
      <w:r>
        <w:rPr>
          <w:rFonts w:ascii="Arial" w:cs="Arial" w:eastAsia="Arial" w:hAnsi="Arial"/>
          <w:color w:val="C4963C"/>
          <w:sz w:val="18"/>
          <w:szCs w:val="18"/>
        </w:rPr>
        <w:t xml:space="preserve">Tennis, as it should be taught.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B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2026-02-23T05:46:52.756Z</dcterms:created>
  <dcterms:modified xsi:type="dcterms:W3CDTF">2026-02-23T05:46:52.758Z</dcterms:modified>
</cp:coreProperties>
</file>

<file path=docProps/custom.xml><?xml version="1.0" encoding="utf-8"?>
<Properties xmlns="http://schemas.openxmlformats.org/officeDocument/2006/custom-properties" xmlns:vt="http://schemas.openxmlformats.org/officeDocument/2006/docPropsVTypes"/>
</file>