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color w:val="C4A265"/>
          <w:spacing w:val="200"/>
          <w:sz w:val="20"/>
          <w:szCs w:val="20"/>
        </w:rPr>
        <w:t xml:space="preserve">LAGUNA BEACH TENNIS ACADEMY</w:t>
      </w:r>
    </w:p>
    <w:p>
      <w:pPr>
        <w:spacing w:after="80"/>
        <w:jc w:val="center"/>
      </w:pPr>
      <w:r>
        <w:rPr>
          <w:rFonts w:ascii="Arial" w:cs="Arial" w:eastAsia="Arial" w:hAnsi="Arial"/>
          <w:b/>
          <w:bCs/>
          <w:color w:val="1B3A5C"/>
          <w:sz w:val="36"/>
          <w:szCs w:val="36"/>
        </w:rPr>
        <w:t xml:space="preserve">Player Progression System</w:t>
      </w:r>
    </w:p>
    <w:p>
      <w:pPr>
        <w:pBdr>
          <w:bottom w:val="single" w:color="C4A265" w:sz="4" w:space="1"/>
        </w:pBdr>
        <w:spacing w:after="400"/>
        <w:jc w:val="center"/>
      </w:pPr>
      <w:r>
        <w:rPr>
          <w:rFonts w:ascii="Arial" w:cs="Arial" w:eastAsia="Arial" w:hAnsi="Arial"/>
          <w:color w:val="1B3A5C"/>
          <w:sz w:val="28"/>
          <w:szCs w:val="28"/>
        </w:rPr>
        <w:t xml:space="preserve">Domain 5: Luxury &amp; Premium Brand Loyalty Design</w:t>
      </w:r>
    </w:p>
    <w:p>
      <w:pPr>
        <w:spacing w:before="200" w:after="0"/>
      </w:pPr>
    </w:p>
    <w:p>
      <w:pPr>
        <w:spacing w:after="80"/>
        <w:jc w:val="center"/>
      </w:pPr>
      <w:r>
        <w:rPr>
          <w:rFonts w:ascii="Arial" w:cs="Arial" w:eastAsia="Arial" w:hAnsi="Arial"/>
          <w:i/>
          <w:iCs/>
          <w:color w:val="555555"/>
          <w:sz w:val="22"/>
          <w:szCs w:val="22"/>
        </w:rPr>
        <w:t xml:space="preserve">The LBTA Premium Belonging Framework</w:t>
      </w:r>
    </w:p>
    <w:p>
      <w:pPr>
        <w:spacing w:after="80"/>
        <w:jc w:val="center"/>
      </w:pPr>
      <w:r>
        <w:rPr>
          <w:rFonts w:ascii="Arial" w:cs="Arial" w:eastAsia="Arial" w:hAnsi="Arial"/>
          <w:color w:val="555555"/>
          <w:sz w:val="20"/>
          <w:szCs w:val="20"/>
        </w:rPr>
        <w:t xml:space="preserve">February 2026</w:t>
      </w:r>
    </w:p>
    <w:p>
      <w:pPr>
        <w:spacing w:before="400" w:after="0"/>
      </w:pPr>
    </w:p>
    <w:p>
      <w:pPr>
        <w:jc w:val="center"/>
      </w:pPr>
      <w:r>
        <w:rPr>
          <w:rFonts w:ascii="Arial" w:cs="Arial" w:eastAsia="Arial" w:hAnsi="Arial"/>
          <w:i/>
          <w:iCs/>
          <w:color w:val="C4A265"/>
          <w:sz w:val="22"/>
          <w:szCs w:val="22"/>
        </w:rPr>
        <w:t xml:space="preserve">Tennis, as it should be taught.</w:t>
      </w:r>
    </w:p>
    <w:p>
      <w:pPr>
        <w:spacing w:after="80"/>
        <w:jc w:val="center"/>
      </w:pPr>
      <w:r>
        <w:rPr>
          <w:rFonts w:ascii="Arial" w:cs="Arial" w:eastAsia="Arial" w:hAnsi="Arial"/>
          <w:color w:val="555555"/>
          <w:spacing w:val="100"/>
          <w:sz w:val="18"/>
          <w:szCs w:val="18"/>
        </w:rPr>
        <w:t xml:space="preserve">Movement. Discipline. Belonging.</w:t>
      </w:r>
    </w:p>
    <w:p>
      <w:r>
        <w:br w:type="page"/>
      </w:r>
    </w:p>
    <w:p>
      <w:pPr>
        <w:pStyle w:val="Heading1"/>
        <w:spacing w:before="360" w:after="200"/>
      </w:pPr>
      <w:r>
        <w:rPr>
          <w:rFonts w:ascii="Arial" w:cs="Arial" w:eastAsia="Arial" w:hAnsi="Arial"/>
          <w:b/>
          <w:bCs/>
          <w:color w:val="1B3A5C"/>
          <w:sz w:val="32"/>
          <w:szCs w:val="32"/>
        </w:rPr>
        <w:t xml:space="preserve">Research Synthesis: How Premium Brands Create Belonging Without Cheapening the Brand</w:t>
      </w:r>
    </w:p>
    <w:p>
      <w:pPr>
        <w:spacing w:after="160" w:line="276"/>
        <w:jc w:val="left"/>
      </w:pPr>
      <w:r>
        <w:rPr>
          <w:rFonts w:ascii="Arial" w:cs="Arial" w:eastAsia="Arial" w:hAnsi="Arial"/>
          <w:b w:val="false"/>
          <w:bCs w:val="false"/>
          <w:i w:val="false"/>
          <w:iCs w:val="false"/>
          <w:color w:val="2D2D2D"/>
          <w:sz w:val="21"/>
          <w:szCs w:val="21"/>
        </w:rPr>
        <w:t xml:space="preserve">LBTA positions itself as the Aman of tennis coaching. This domain investigates what that positioning actually demands of a progression system—not as metaphor, but as operational architecture. The research examined how the world’s most respected luxury and premium brands create fierce loyalty, earned status, and insider belonging without resorting to points, discounts, or gamified reward mechanics that would destroy the very prestige they cultivate.</w:t>
      </w:r>
    </w:p>
    <w:p>
      <w:pPr>
        <w:spacing w:after="160" w:line="276"/>
        <w:jc w:val="left"/>
      </w:pPr>
      <w:r>
        <w:rPr>
          <w:rFonts w:ascii="Arial" w:cs="Arial" w:eastAsia="Arial" w:hAnsi="Arial"/>
          <w:b w:val="false"/>
          <w:bCs w:val="false"/>
          <w:i w:val="false"/>
          <w:iCs w:val="false"/>
          <w:color w:val="2D2D2D"/>
          <w:sz w:val="21"/>
          <w:szCs w:val="21"/>
        </w:rPr>
        <w:t xml:space="preserve">The findings converge on a single structural insight: premium brands do not reward loyalty—they architect belonging. The mechanics are fundamentally different from retail loyalty programs, and the distinction has direct implications for how LBTA should design every element of its player progression system.</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The Aman Model: Loyalty Without a Loyalty Program</w:t>
      </w:r>
    </w:p>
    <w:p>
      <w:pPr>
        <w:spacing w:after="160" w:line="276"/>
        <w:jc w:val="left"/>
      </w:pPr>
      <w:r>
        <w:rPr>
          <w:rFonts w:ascii="Arial" w:cs="Arial" w:eastAsia="Arial" w:hAnsi="Arial"/>
          <w:b w:val="false"/>
          <w:bCs w:val="false"/>
          <w:i w:val="false"/>
          <w:iCs w:val="false"/>
          <w:color w:val="2D2D2D"/>
          <w:sz w:val="21"/>
          <w:szCs w:val="21"/>
        </w:rPr>
        <w:t xml:space="preserve">Aman Resorts operates no formal loyalty program. No points, no tiers, no app, no cards. Yet the brand generates what is arguably the strongest customer devotion in global hospitality. Guests self-identify as “Aman Junkies”—a term coined by the community itself, not the brand. They plan travel around Aman properties, collect visits like milestones, and introduce themselves to other guests by listing which Amans they’ve been to and which they’re planning next.</w:t>
      </w:r>
    </w:p>
    <w:p>
      <w:pPr>
        <w:spacing w:after="160" w:line="276"/>
      </w:pPr>
      <w:r>
        <w:rPr>
          <w:rFonts w:ascii="Arial" w:cs="Arial" w:eastAsia="Arial" w:hAnsi="Arial"/>
          <w:color w:val="2D2D2D"/>
          <w:sz w:val="21"/>
          <w:szCs w:val="21"/>
        </w:rPr>
        <w:t xml:space="preserve">The mechanics behind this devotion are structural, not promotional. Aman maintains average occupancy around 40%, compared to the luxury industry average of roughly 70%. This is deliberate. The permanent feeling of being </w:t>
      </w:r>
      <w:r>
        <w:rPr>
          <w:rFonts w:ascii="Arial" w:cs="Arial" w:eastAsia="Arial" w:hAnsi="Arial"/>
          <w:i/>
          <w:iCs/>
          <w:color w:val="2D2D2D"/>
          <w:sz w:val="21"/>
          <w:szCs w:val="21"/>
        </w:rPr>
        <w:t xml:space="preserve">the only one there</w:t>
      </w:r>
      <w:r>
        <w:rPr>
          <w:rFonts w:ascii="Arial" w:cs="Arial" w:eastAsia="Arial" w:hAnsi="Arial"/>
          <w:color w:val="2D2D2D"/>
          <w:sz w:val="21"/>
          <w:szCs w:val="21"/>
        </w:rPr>
        <w:t xml:space="preserve"> creates psychological ownership of the experience. When Aman could add 15 more tents at Aman-i-Khas to increase revenue, they choose not to. CMO Jane Mackie has described returning guests as “happy reunions” rather than repeat customers. Owner Vladislav Doronin was himself an Aman guest for over two decades before investing in the company. The brand spends nothing on advertising and maintains no celebrity endorsement deals—celebrities queue alongside regular guests.</w:t>
      </w:r>
    </w:p>
    <w:p>
      <w:pPr>
        <w:spacing w:after="160" w:line="276"/>
        <w:jc w:val="left"/>
      </w:pPr>
      <w:r>
        <w:rPr>
          <w:rFonts w:ascii="Arial" w:cs="Arial" w:eastAsia="Arial" w:hAnsi="Arial"/>
          <w:b w:val="false"/>
          <w:bCs w:val="false"/>
          <w:i w:val="false"/>
          <w:iCs w:val="false"/>
          <w:color w:val="2D2D2D"/>
          <w:sz w:val="21"/>
          <w:szCs w:val="21"/>
        </w:rPr>
        <w:t xml:space="preserve">The LBTA parallel is direct. A tennis academy that keeps class sizes small, remembers every player’s name, and treats every session as a crafted experience—rather than filling courts to maximum capacity—creates the conditions for devotion that no loyalty program could manufacture. The constraint becomes the feature.</w:t>
      </w:r>
    </w:p>
    <w:p>
      <w:pPr>
        <w:spacing w:after="160" w:line="276"/>
      </w:pPr>
      <w:r>
        <w:rPr>
          <w:rFonts w:ascii="Arial" w:cs="Arial" w:eastAsia="Arial" w:hAnsi="Arial"/>
          <w:b/>
          <w:bCs/>
          <w:color w:val="2D2D2D"/>
          <w:sz w:val="21"/>
          <w:szCs w:val="21"/>
        </w:rPr>
        <w:t xml:space="preserve">Key principle: </w:t>
      </w:r>
      <w:r>
        <w:rPr>
          <w:rFonts w:ascii="Arial" w:cs="Arial" w:eastAsia="Arial" w:hAnsi="Arial"/>
          <w:color w:val="2D2D2D"/>
          <w:sz w:val="21"/>
          <w:szCs w:val="21"/>
        </w:rPr>
        <w:t xml:space="preserve">Scarcity creates value that transcends the product. Aman’s 2024 launch of sister brand Janu at 25% lower prices—designed for “rising Aman Junkies”—demonstrates how aspirational pathways can coexist with exclusivity. For LBTA, this maps to the relationship between recreational programs and the High Performance pathway: one is the gateway, the other is the destination.</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Hermès and the Architecture of Earned Access</w:t>
      </w:r>
    </w:p>
    <w:p>
      <w:pPr>
        <w:spacing w:after="160" w:line="276"/>
        <w:jc w:val="left"/>
      </w:pPr>
      <w:r>
        <w:rPr>
          <w:rFonts w:ascii="Arial" w:cs="Arial" w:eastAsia="Arial" w:hAnsi="Arial"/>
          <w:b w:val="false"/>
          <w:bCs w:val="false"/>
          <w:i w:val="false"/>
          <w:iCs w:val="false"/>
          <w:color w:val="2D2D2D"/>
          <w:sz w:val="21"/>
          <w:szCs w:val="21"/>
        </w:rPr>
        <w:t xml:space="preserve">Hermès does not sell Birkin bags. It allocates them. Each bag requires 18–24 hours of single-artisan labor. Roughly 70,000 are produced annually worldwide. The brand deliberately maintains production below demand regardless of market pressure. To be offered the opportunity to purchase one, a customer must establish a purchase history with other Hermès products—scarves, jewelry, shoes, fragrances—and develop a genuine relationship with their boutique sales associate through regular visits. Customers routinely spend $19,000 or more on ancillary products to earn consideration for a $13,000 bag.</w:t>
      </w:r>
    </w:p>
    <w:p>
      <w:pPr>
        <w:spacing w:after="160" w:line="276"/>
        <w:jc w:val="left"/>
      </w:pPr>
      <w:r>
        <w:rPr>
          <w:rFonts w:ascii="Arial" w:cs="Arial" w:eastAsia="Arial" w:hAnsi="Arial"/>
          <w:b w:val="false"/>
          <w:bCs w:val="false"/>
          <w:i w:val="false"/>
          <w:iCs w:val="false"/>
          <w:color w:val="2D2D2D"/>
          <w:sz w:val="21"/>
          <w:szCs w:val="21"/>
        </w:rPr>
        <w:t xml:space="preserve">This allocation system transforms purchasing into achievement and emotional investment into brand loyalty. The bag appreciates like property—some sell at Christie’s at multiples of retail price—making the earned access feel like an investment rather than an expense. CEO Axel Dumas has framed the philosophy simply: their strength is loving craftsmanship while others love industrialism.</w:t>
      </w:r>
    </w:p>
    <w:p>
      <w:pPr>
        <w:spacing w:after="160" w:line="276"/>
      </w:pPr>
      <w:r>
        <w:rPr>
          <w:rFonts w:ascii="Arial" w:cs="Arial" w:eastAsia="Arial" w:hAnsi="Arial"/>
          <w:color w:val="2D2D2D"/>
          <w:sz w:val="21"/>
          <w:szCs w:val="21"/>
        </w:rPr>
        <w:t xml:space="preserve">Hermès spends approximately 4.5% of revenue on what it calls “communication” rather than advertising, with roughly two-thirds directed to events—ballet programs, private exhibitions, invitation-only parties—rather than mass media. The brand maintains minimal visible logos, operating on an </w:t>
      </w:r>
      <w:r>
        <w:rPr>
          <w:rFonts w:ascii="Arial" w:cs="Arial" w:eastAsia="Arial" w:hAnsi="Arial"/>
          <w:i/>
          <w:iCs/>
          <w:color w:val="2D2D2D"/>
          <w:sz w:val="21"/>
          <w:szCs w:val="21"/>
        </w:rPr>
        <w:t xml:space="preserve">IYKYK</w:t>
      </w:r>
      <w:r>
        <w:rPr>
          <w:rFonts w:ascii="Arial" w:cs="Arial" w:eastAsia="Arial" w:hAnsi="Arial"/>
          <w:color w:val="2D2D2D"/>
          <w:sz w:val="21"/>
          <w:szCs w:val="21"/>
        </w:rPr>
        <w:t xml:space="preserve"> (If You Know, You Know) philosophy where recognition comes from other insiders, not from broadcast signaling.</w:t>
      </w:r>
    </w:p>
    <w:p>
      <w:pPr>
        <w:spacing w:after="160" w:line="276"/>
      </w:pPr>
      <w:r>
        <w:rPr>
          <w:rFonts w:ascii="Arial" w:cs="Arial" w:eastAsia="Arial" w:hAnsi="Arial"/>
          <w:b/>
          <w:bCs/>
          <w:color w:val="2D2D2D"/>
          <w:sz w:val="21"/>
          <w:szCs w:val="21"/>
        </w:rPr>
        <w:t xml:space="preserve">Key principle: </w:t>
      </w:r>
      <w:r>
        <w:rPr>
          <w:rFonts w:ascii="Arial" w:cs="Arial" w:eastAsia="Arial" w:hAnsi="Arial"/>
          <w:color w:val="2D2D2D"/>
          <w:sz w:val="21"/>
          <w:szCs w:val="21"/>
        </w:rPr>
        <w:t xml:space="preserve">Making people work for access transforms products into cultural trophies. For LBTA, this means progression milestones and high-performance access should never be purchased—they must be earned through demonstrated commitment, skill development, and community contribution. The journey of earning creates more loyalty than the destination.</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Soho House: Membership as Cultural Fit</w:t>
      </w:r>
    </w:p>
    <w:p>
      <w:pPr>
        <w:spacing w:after="160" w:line="276"/>
        <w:jc w:val="left"/>
      </w:pPr>
      <w:r>
        <w:rPr>
          <w:rFonts w:ascii="Arial" w:cs="Arial" w:eastAsia="Arial" w:hAnsi="Arial"/>
          <w:b w:val="false"/>
          <w:bCs w:val="false"/>
          <w:i w:val="false"/>
          <w:iCs w:val="false"/>
          <w:color w:val="2D2D2D"/>
          <w:sz w:val="21"/>
          <w:szCs w:val="21"/>
        </w:rPr>
        <w:t xml:space="preserve">Soho House operates 40+ locations globally with approximately 194,000 members and a waitlist exceeding 112,000 as of late 2024. Founded in London in 1995 for creative professionals in film, media, fashion, and design, the club’s application process centers on “cultural fit”—seeking people who will “bring something to the party” or who are “working on something interesting.” Applications are vetted by local membership committees who meet quarterly. The process in the UK is described as “notoriously difficult to obtain” with waitlists that can take years.</w:t>
      </w:r>
    </w:p>
    <w:p>
      <w:pPr>
        <w:spacing w:after="160" w:line="276"/>
        <w:jc w:val="left"/>
      </w:pPr>
      <w:r>
        <w:rPr>
          <w:rFonts w:ascii="Arial" w:cs="Arial" w:eastAsia="Arial" w:hAnsi="Arial"/>
          <w:b w:val="false"/>
          <w:bCs w:val="false"/>
          <w:i w:val="false"/>
          <w:iCs w:val="false"/>
          <w:color w:val="2D2D2D"/>
          <w:sz w:val="21"/>
          <w:szCs w:val="21"/>
        </w:rPr>
        <w:t xml:space="preserve">The core operational insight is that Soho House selects for contribution rather than financial or social merit. Committees regularly unearth fraudulent applications. Behavioral control is enforced through genuine threat of membership revocation. In 2024–2025, the club stopped accepting new members in New York, Los Angeles, and London due to overcrowding, and de-emphasized its lower-tier “Soho Friends” membership to protect the core member experience.</w:t>
      </w:r>
    </w:p>
    <w:p>
      <w:pPr>
        <w:spacing w:after="160" w:line="276"/>
      </w:pPr>
      <w:r>
        <w:rPr>
          <w:rFonts w:ascii="Arial" w:cs="Arial" w:eastAsia="Arial" w:hAnsi="Arial"/>
          <w:color w:val="2D2D2D"/>
          <w:sz w:val="21"/>
          <w:szCs w:val="21"/>
        </w:rPr>
        <w:t xml:space="preserve">Membership costs roughly $1,950 per year for a Local House or $4,500 for global access, with reduced rates for members under 27. The tiered structure—Local House, Every House, Under-27, Cities Without Houses—creates natural progression and aspiration. Cultural programming (film screenings, art exhibitions, wellness sessions, workshops) provides the </w:t>
      </w:r>
      <w:r>
        <w:rPr>
          <w:rFonts w:ascii="Arial" w:cs="Arial" w:eastAsia="Arial" w:hAnsi="Arial"/>
          <w:i/>
          <w:iCs/>
          <w:color w:val="2D2D2D"/>
          <w:sz w:val="21"/>
          <w:szCs w:val="21"/>
        </w:rPr>
        <w:t xml:space="preserve">reason to show up</w:t>
      </w:r>
      <w:r>
        <w:rPr>
          <w:rFonts w:ascii="Arial" w:cs="Arial" w:eastAsia="Arial" w:hAnsi="Arial"/>
          <w:color w:val="2D2D2D"/>
          <w:sz w:val="21"/>
          <w:szCs w:val="21"/>
        </w:rPr>
        <w:t xml:space="preserve"> beyond the space itself.</w:t>
      </w:r>
    </w:p>
    <w:p>
      <w:pPr>
        <w:spacing w:after="160" w:line="276"/>
      </w:pPr>
      <w:r>
        <w:rPr>
          <w:rFonts w:ascii="Arial" w:cs="Arial" w:eastAsia="Arial" w:hAnsi="Arial"/>
          <w:b/>
          <w:bCs/>
          <w:color w:val="2D2D2D"/>
          <w:sz w:val="21"/>
          <w:szCs w:val="21"/>
        </w:rPr>
        <w:t xml:space="preserve">Key principle: </w:t>
      </w:r>
      <w:r>
        <w:rPr>
          <w:rFonts w:ascii="Arial" w:cs="Arial" w:eastAsia="Arial" w:hAnsi="Arial"/>
          <w:color w:val="2D2D2D"/>
          <w:sz w:val="21"/>
          <w:szCs w:val="21"/>
        </w:rPr>
        <w:t xml:space="preserve">Exclusivity creates demand; the waitlist itself becomes a status marker. But exclusivity without genuine community value is hollow. Soho House works because the curation creates a density of interesting people in beautiful spaces with reasons to interact. For LBTA, this means the quality of the coaching community—the players, parents, coaches, and culture on court—is the product, not the courts or the schedule.</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Cross-Sector Synthesis: What Premium Loyalty Actually Looks Like</w:t>
      </w:r>
    </w:p>
    <w:p>
      <w:pPr>
        <w:spacing w:after="160" w:line="276"/>
        <w:jc w:val="left"/>
      </w:pPr>
      <w:r>
        <w:rPr>
          <w:rFonts w:ascii="Arial" w:cs="Arial" w:eastAsia="Arial" w:hAnsi="Arial"/>
          <w:b w:val="false"/>
          <w:bCs w:val="false"/>
          <w:i w:val="false"/>
          <w:iCs w:val="false"/>
          <w:color w:val="2D2D2D"/>
          <w:sz w:val="21"/>
          <w:szCs w:val="21"/>
        </w:rPr>
        <w:t xml:space="preserve">Research across American Express, Equinox, Delta SkyMiles, Marriott Bonvoy, Neiman Marcus, Saks Fifth Avenue, Cartier, and Hugo Boss reveals consistent structural principles that separate premium belonging systems from retail rewards programs.</w:t>
      </w:r>
    </w:p>
    <w:p>
      <w:pPr>
        <w:spacing w:before="200" w:after="120"/>
      </w:pPr>
      <w:r>
        <w:rPr>
          <w:rFonts w:ascii="Arial" w:cs="Arial" w:eastAsia="Arial" w:hAnsi="Arial"/>
          <w:b/>
          <w:bCs/>
          <w:color w:val="C4A265"/>
          <w:sz w:val="22"/>
          <w:szCs w:val="22"/>
        </w:rPr>
        <w:t xml:space="preserve">What Works in Premium Loyalty</w:t>
      </w:r>
    </w:p>
    <w:p>
      <w:pPr>
        <w:pStyle w:val="ListParagraph"/>
        <w:numPr>
          <w:ilvl w:val="0"/>
          <w:numId w:val="2"/>
        </w:numPr>
        <w:spacing w:after="100" w:line="276"/>
      </w:pPr>
      <w:r>
        <w:rPr>
          <w:rFonts w:ascii="Arial" w:cs="Arial" w:eastAsia="Arial" w:hAnsi="Arial"/>
          <w:color w:val="2D2D2D"/>
          <w:sz w:val="21"/>
          <w:szCs w:val="21"/>
        </w:rPr>
        <w:t xml:space="preserve">Tier-based progression where the highest tier is exclusive to fewer than 10% of members, creating visible aspiration without mass dilution</w:t>
      </w:r>
    </w:p>
    <w:p>
      <w:pPr>
        <w:pStyle w:val="ListParagraph"/>
        <w:numPr>
          <w:ilvl w:val="0"/>
          <w:numId w:val="2"/>
        </w:numPr>
        <w:spacing w:after="100" w:line="276"/>
      </w:pPr>
      <w:r>
        <w:rPr>
          <w:rFonts w:ascii="Arial" w:cs="Arial" w:eastAsia="Arial" w:hAnsi="Arial"/>
          <w:color w:val="2D2D2D"/>
          <w:sz w:val="21"/>
          <w:szCs w:val="21"/>
        </w:rPr>
        <w:t xml:space="preserve">Experiential rewards over transactional ones—private events, early access, personal consultations, and “money can’t buy” moments rather than discounts or credits</w:t>
      </w:r>
    </w:p>
    <w:p>
      <w:pPr>
        <w:pStyle w:val="ListParagraph"/>
        <w:numPr>
          <w:ilvl w:val="0"/>
          <w:numId w:val="2"/>
        </w:numPr>
        <w:spacing w:after="100" w:line="276"/>
      </w:pPr>
      <w:r>
        <w:rPr>
          <w:rFonts w:ascii="Arial" w:cs="Arial" w:eastAsia="Arial" w:hAnsi="Arial"/>
          <w:color w:val="2D2D2D"/>
          <w:sz w:val="21"/>
          <w:szCs w:val="21"/>
        </w:rPr>
        <w:t xml:space="preserve">Bespoke personalization aligned with individual preferences, delivered through relationships rather than algorithms—hotel staff greeting guests by name, sales associates remembering purchase history</w:t>
      </w:r>
    </w:p>
    <w:p>
      <w:pPr>
        <w:pStyle w:val="ListParagraph"/>
        <w:numPr>
          <w:ilvl w:val="0"/>
          <w:numId w:val="2"/>
        </w:numPr>
        <w:spacing w:after="100" w:line="276"/>
      </w:pPr>
      <w:r>
        <w:rPr>
          <w:rFonts w:ascii="Arial" w:cs="Arial" w:eastAsia="Arial" w:hAnsi="Arial"/>
          <w:color w:val="2D2D2D"/>
          <w:sz w:val="21"/>
          <w:szCs w:val="21"/>
        </w:rPr>
        <w:t xml:space="preserve">Invitation-only or milestone-gated access that makes qualification feel earned rather than purchased</w:t>
      </w:r>
    </w:p>
    <w:p>
      <w:pPr>
        <w:pStyle w:val="ListParagraph"/>
        <w:numPr>
          <w:ilvl w:val="0"/>
          <w:numId w:val="2"/>
        </w:numPr>
        <w:spacing w:after="100" w:line="276"/>
      </w:pPr>
      <w:r>
        <w:rPr>
          <w:rFonts w:ascii="Arial" w:cs="Arial" w:eastAsia="Arial" w:hAnsi="Arial"/>
          <w:color w:val="2D2D2D"/>
          <w:sz w:val="21"/>
          <w:szCs w:val="21"/>
        </w:rPr>
        <w:t xml:space="preserve">Convenience as quiet luxury—free shipping, priority reservations, late checkout, room selection. Removing friction signals that the brand values the customer’s time</w:t>
      </w:r>
    </w:p>
    <w:p>
      <w:pPr>
        <w:pStyle w:val="ListParagraph"/>
        <w:numPr>
          <w:ilvl w:val="0"/>
          <w:numId w:val="2"/>
        </w:numPr>
        <w:spacing w:after="100" w:line="276"/>
      </w:pPr>
      <w:r>
        <w:rPr>
          <w:rFonts w:ascii="Arial" w:cs="Arial" w:eastAsia="Arial" w:hAnsi="Arial"/>
          <w:color w:val="2D2D2D"/>
          <w:sz w:val="21"/>
          <w:szCs w:val="21"/>
        </w:rPr>
        <w:t xml:space="preserve">Emotional connection over point accumulation—recognition, surprise, and visible status markers that create identity, not transaction ledgers</w:t>
      </w:r>
    </w:p>
    <w:p>
      <w:pPr>
        <w:pStyle w:val="ListParagraph"/>
        <w:numPr>
          <w:ilvl w:val="0"/>
          <w:numId w:val="2"/>
        </w:numPr>
        <w:spacing w:after="160" w:line="276"/>
      </w:pPr>
      <w:r>
        <w:rPr>
          <w:rFonts w:ascii="Arial" w:cs="Arial" w:eastAsia="Arial" w:hAnsi="Arial"/>
          <w:color w:val="2D2D2D"/>
          <w:sz w:val="21"/>
          <w:szCs w:val="21"/>
        </w:rPr>
        <w:t xml:space="preserve">Event-based communication (two-thirds of Hermès’ budget) rather than mass media or push notifications</w:t>
      </w:r>
    </w:p>
    <w:p>
      <w:pPr>
        <w:spacing w:before="200" w:after="120"/>
      </w:pPr>
      <w:r>
        <w:rPr>
          <w:rFonts w:ascii="Arial" w:cs="Arial" w:eastAsia="Arial" w:hAnsi="Arial"/>
          <w:b/>
          <w:bCs/>
          <w:color w:val="C4A265"/>
          <w:sz w:val="22"/>
          <w:szCs w:val="22"/>
        </w:rPr>
        <w:t xml:space="preserve">What Destroys Premium Perception</w:t>
      </w:r>
    </w:p>
    <w:p>
      <w:pPr>
        <w:pStyle w:val="ListParagraph"/>
        <w:numPr>
          <w:ilvl w:val="0"/>
          <w:numId w:val="2"/>
        </w:numPr>
        <w:spacing w:after="100" w:line="276"/>
      </w:pPr>
      <w:r>
        <w:rPr>
          <w:rFonts w:ascii="Arial" w:cs="Arial" w:eastAsia="Arial" w:hAnsi="Arial"/>
          <w:color w:val="2D2D2D"/>
          <w:sz w:val="21"/>
          <w:szCs w:val="21"/>
        </w:rPr>
        <w:t xml:space="preserve">Discounts and couponing of any kind—immediately cheapens the perceived value of the offering</w:t>
      </w:r>
    </w:p>
    <w:p>
      <w:pPr>
        <w:pStyle w:val="ListParagraph"/>
        <w:numPr>
          <w:ilvl w:val="0"/>
          <w:numId w:val="2"/>
        </w:numPr>
        <w:spacing w:after="100" w:line="276"/>
      </w:pPr>
      <w:r>
        <w:rPr>
          <w:rFonts w:ascii="Arial" w:cs="Arial" w:eastAsia="Arial" w:hAnsi="Arial"/>
          <w:color w:val="2D2D2D"/>
          <w:sz w:val="21"/>
          <w:szCs w:val="21"/>
        </w:rPr>
        <w:t xml:space="preserve">Generic point-based “earn and burn” mechanics—transforms the relationship from emotional to transactional</w:t>
      </w:r>
    </w:p>
    <w:p>
      <w:pPr>
        <w:pStyle w:val="ListParagraph"/>
        <w:numPr>
          <w:ilvl w:val="0"/>
          <w:numId w:val="2"/>
        </w:numPr>
        <w:spacing w:after="100" w:line="276"/>
      </w:pPr>
      <w:r>
        <w:rPr>
          <w:rFonts w:ascii="Arial" w:cs="Arial" w:eastAsia="Arial" w:hAnsi="Arial"/>
          <w:color w:val="2D2D2D"/>
          <w:sz w:val="21"/>
          <w:szCs w:val="21"/>
        </w:rPr>
        <w:t xml:space="preserve">Participation trophy dynamics—when everyone reaches every level, no level means anything</w:t>
      </w:r>
    </w:p>
    <w:p>
      <w:pPr>
        <w:pStyle w:val="ListParagraph"/>
        <w:numPr>
          <w:ilvl w:val="0"/>
          <w:numId w:val="2"/>
        </w:numPr>
        <w:spacing w:after="100" w:line="276"/>
      </w:pPr>
      <w:r>
        <w:rPr>
          <w:rFonts w:ascii="Arial" w:cs="Arial" w:eastAsia="Arial" w:hAnsi="Arial"/>
          <w:color w:val="2D2D2D"/>
          <w:sz w:val="21"/>
          <w:szCs w:val="21"/>
        </w:rPr>
        <w:t xml:space="preserve">Public leaderboards and comparison displays—creates anxiety rather than aspiration</w:t>
      </w:r>
    </w:p>
    <w:p>
      <w:pPr>
        <w:pStyle w:val="ListParagraph"/>
        <w:numPr>
          <w:ilvl w:val="0"/>
          <w:numId w:val="2"/>
        </w:numPr>
        <w:spacing w:after="100" w:line="276"/>
      </w:pPr>
      <w:r>
        <w:rPr>
          <w:rFonts w:ascii="Arial" w:cs="Arial" w:eastAsia="Arial" w:hAnsi="Arial"/>
          <w:color w:val="2D2D2D"/>
          <w:sz w:val="21"/>
          <w:szCs w:val="21"/>
        </w:rPr>
        <w:t xml:space="preserve">Celebrity endorsements or influencer marketing—Aman lets celebrities queue like regular guests; the product speaks for itself</w:t>
      </w:r>
    </w:p>
    <w:p>
      <w:pPr>
        <w:pStyle w:val="ListParagraph"/>
        <w:numPr>
          <w:ilvl w:val="0"/>
          <w:numId w:val="2"/>
        </w:numPr>
        <w:spacing w:after="100" w:line="276"/>
      </w:pPr>
      <w:r>
        <w:rPr>
          <w:rFonts w:ascii="Arial" w:cs="Arial" w:eastAsia="Arial" w:hAnsi="Arial"/>
          <w:color w:val="2D2D2D"/>
          <w:sz w:val="21"/>
          <w:szCs w:val="21"/>
        </w:rPr>
        <w:t xml:space="preserve">Loud branding or logo-heavy materials—quiet luxury operates on insider recognition, not broadcast signaling</w:t>
      </w:r>
    </w:p>
    <w:p>
      <w:pPr>
        <w:pStyle w:val="ListParagraph"/>
        <w:numPr>
          <w:ilvl w:val="0"/>
          <w:numId w:val="2"/>
        </w:numPr>
        <w:spacing w:after="160" w:line="276"/>
      </w:pPr>
      <w:r>
        <w:rPr>
          <w:rFonts w:ascii="Arial" w:cs="Arial" w:eastAsia="Arial" w:hAnsi="Arial"/>
          <w:color w:val="2D2D2D"/>
          <w:sz w:val="21"/>
          <w:szCs w:val="21"/>
        </w:rPr>
        <w:t xml:space="preserve">Notification bombardment—high-frequency push communication signals desperation, not exclusivity</w:t>
      </w:r>
    </w:p>
    <w:p>
      <w:pPr>
        <w:spacing w:before="200" w:after="120"/>
      </w:pPr>
      <w:r>
        <w:rPr>
          <w:rFonts w:ascii="Arial" w:cs="Arial" w:eastAsia="Arial" w:hAnsi="Arial"/>
          <w:b/>
          <w:bCs/>
          <w:color w:val="C4A265"/>
          <w:sz w:val="22"/>
          <w:szCs w:val="22"/>
        </w:rPr>
        <w:t xml:space="preserve">The Numbers Behind Premium Loyalty</w:t>
      </w:r>
    </w:p>
    <w:p>
      <w:pPr>
        <w:spacing w:after="160" w:line="276"/>
        <w:jc w:val="left"/>
      </w:pPr>
      <w:r>
        <w:rPr>
          <w:rFonts w:ascii="Arial" w:cs="Arial" w:eastAsia="Arial" w:hAnsi="Arial"/>
          <w:b w:val="false"/>
          <w:bCs w:val="false"/>
          <w:i w:val="false"/>
          <w:iCs w:val="false"/>
          <w:color w:val="2D2D2D"/>
          <w:sz w:val="21"/>
          <w:szCs w:val="21"/>
        </w:rPr>
        <w:t xml:space="preserve">Research-backed data points relevant to LBTA’s scale: loyalty program members are 60% more likely to recommend a brand (word-of-mouth amplification). Tiered programs with targeted rewards increase customer spend by 10–15%. Loyalty members spend up to 220% more annually than non-members. The top customer segment is typically already loyal—with staff knowing them by name—but there is little structured incentive to retain first-time buyers. One in five luxury retailers is increasing technology spending by 50% or more to deliver personalization at scale.</w:t>
      </w:r>
    </w:p>
    <w:p>
      <w:pPr>
        <w:spacing w:after="160" w:line="276"/>
        <w:jc w:val="left"/>
      </w:pPr>
      <w:r>
        <w:rPr>
          <w:rFonts w:ascii="Arial" w:cs="Arial" w:eastAsia="Arial" w:hAnsi="Arial"/>
          <w:b w:val="false"/>
          <w:bCs w:val="false"/>
          <w:i w:val="false"/>
          <w:iCs w:val="false"/>
          <w:color w:val="2D2D2D"/>
          <w:sz w:val="21"/>
          <w:szCs w:val="21"/>
        </w:rPr>
        <w:t xml:space="preserve">For LBTA at 340 active families, even modest improvements in these metrics produce material revenue impact. A 10% spend increase across the student base at $2,500 average annual revenue represents $85,000 in incremental annual revenue.</w:t>
      </w:r>
    </w:p>
    <w:p>
      <w:r>
        <w:br w:type="page"/>
      </w:r>
    </w:p>
    <w:p>
      <w:pPr>
        <w:pStyle w:val="Heading1"/>
        <w:spacing w:before="360" w:after="200"/>
      </w:pPr>
      <w:r>
        <w:rPr>
          <w:rFonts w:ascii="Arial" w:cs="Arial" w:eastAsia="Arial" w:hAnsi="Arial"/>
          <w:b/>
          <w:bCs/>
          <w:color w:val="1B3A5C"/>
          <w:sz w:val="32"/>
          <w:szCs w:val="32"/>
        </w:rPr>
        <w:t xml:space="preserve">Design Recommendations: The LBTA Premium Belonging Framework</w:t>
      </w:r>
    </w:p>
    <w:p>
      <w:pPr>
        <w:spacing w:after="160" w:line="276"/>
        <w:jc w:val="left"/>
      </w:pPr>
      <w:r>
        <w:rPr>
          <w:rFonts w:ascii="Arial" w:cs="Arial" w:eastAsia="Arial" w:hAnsi="Arial"/>
          <w:b w:val="false"/>
          <w:bCs w:val="false"/>
          <w:i w:val="false"/>
          <w:iCs w:val="false"/>
          <w:color w:val="2D2D2D"/>
          <w:sz w:val="21"/>
          <w:szCs w:val="21"/>
        </w:rPr>
        <w:t xml:space="preserve">The following recommendations translate luxury brand principles into operational architecture for a boutique tennis academy. Each recommendation maps to LBTA’s existing structure and respects the constraint that this is a 4-coach operation serving a community, not a corporate enterprise.</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1. Replace “Loyalty Program” Thinking with “Belonging Architecture”</w:t>
      </w:r>
    </w:p>
    <w:p>
      <w:pPr>
        <w:spacing w:before="200" w:after="120"/>
      </w:pPr>
      <w:r>
        <w:rPr>
          <w:rFonts w:ascii="Arial" w:cs="Arial" w:eastAsia="Arial" w:hAnsi="Arial"/>
          <w:b/>
          <w:bCs/>
          <w:color w:val="C4A265"/>
          <w:sz w:val="22"/>
          <w:szCs w:val="22"/>
        </w:rPr>
        <w:t xml:space="preserve">What It Is</w:t>
      </w:r>
    </w:p>
    <w:p>
      <w:pPr>
        <w:spacing w:after="160" w:line="276"/>
        <w:jc w:val="left"/>
      </w:pPr>
      <w:r>
        <w:rPr>
          <w:rFonts w:ascii="Arial" w:cs="Arial" w:eastAsia="Arial" w:hAnsi="Arial"/>
          <w:b w:val="false"/>
          <w:bCs w:val="false"/>
          <w:i w:val="false"/>
          <w:iCs w:val="false"/>
          <w:color w:val="2D2D2D"/>
          <w:sz w:val="21"/>
          <w:szCs w:val="21"/>
        </w:rPr>
        <w:t xml:space="preserve">A fundamental reframe of how LBTA approaches player progression and retention. Instead of designing a system that rewards behavior (attend X sessions, earn Y status), design a system that deepens belonging. The progression system is not a loyalty program. It is the cultural infrastructure of the academy.</w:t>
      </w:r>
    </w:p>
    <w:p>
      <w:pPr>
        <w:spacing w:before="200" w:after="120"/>
      </w:pPr>
      <w:r>
        <w:rPr>
          <w:rFonts w:ascii="Arial" w:cs="Arial" w:eastAsia="Arial" w:hAnsi="Arial"/>
          <w:b/>
          <w:bCs/>
          <w:color w:val="C4A265"/>
          <w:sz w:val="22"/>
          <w:szCs w:val="22"/>
        </w:rPr>
        <w:t xml:space="preserve">Why It Works</w:t>
      </w:r>
    </w:p>
    <w:p>
      <w:pPr>
        <w:spacing w:after="160" w:line="276"/>
        <w:jc w:val="left"/>
      </w:pPr>
      <w:r>
        <w:rPr>
          <w:rFonts w:ascii="Arial" w:cs="Arial" w:eastAsia="Arial" w:hAnsi="Arial"/>
          <w:b w:val="false"/>
          <w:bCs w:val="false"/>
          <w:i w:val="false"/>
          <w:iCs w:val="false"/>
          <w:color w:val="2D2D2D"/>
          <w:sz w:val="21"/>
          <w:szCs w:val="21"/>
        </w:rPr>
        <w:t xml:space="preserve">Aman does not reward repeat visits—it creates an experience so distinctive that guests become evangelists. Hermès does not offer discounts for loyalty—it offers access that can only be earned through relationship. The psychological mechanism is identity integration: when a person begins to see themselves as “an LBTA player” rather than “someone who takes tennis lessons at LBTA,” retention shifts from transactional to existential. Research on Self-Determination Theory confirms that feelings of relatedness and belonging are among the strongest predictors of continued participation in any activity.</w:t>
      </w:r>
    </w:p>
    <w:p>
      <w:pPr>
        <w:spacing w:before="200" w:after="120"/>
      </w:pPr>
      <w:r>
        <w:rPr>
          <w:rFonts w:ascii="Arial" w:cs="Arial" w:eastAsia="Arial" w:hAnsi="Arial"/>
          <w:b/>
          <w:bCs/>
          <w:color w:val="C4A265"/>
          <w:sz w:val="22"/>
          <w:szCs w:val="22"/>
        </w:rPr>
        <w:t xml:space="preserve">How It Maps to LBTA</w:t>
      </w:r>
    </w:p>
    <w:p>
      <w:pPr>
        <w:spacing w:after="160" w:line="276"/>
        <w:jc w:val="left"/>
      </w:pPr>
      <w:r>
        <w:rPr>
          <w:rFonts w:ascii="Arial" w:cs="Arial" w:eastAsia="Arial" w:hAnsi="Arial"/>
          <w:b w:val="false"/>
          <w:bCs w:val="false"/>
          <w:i w:val="false"/>
          <w:iCs w:val="false"/>
          <w:color w:val="2D2D2D"/>
          <w:sz w:val="21"/>
          <w:szCs w:val="21"/>
        </w:rPr>
        <w:t xml:space="preserve">This is a design philosophy, not a feature. It governs naming (no “points,” no “rewards,” no “perks”), language (progression language is about growth and craft, not earning and redeeming), and every physical touchpoint (materials feel like they belong at Aman, not at a gym chain). It requires coaching staff to think of themselves as hosts and mentors, not service providers.</w:t>
      </w:r>
    </w:p>
    <w:p>
      <w:pPr>
        <w:spacing w:before="200" w:after="120"/>
      </w:pPr>
      <w:r>
        <w:rPr>
          <w:rFonts w:ascii="Arial" w:cs="Arial" w:eastAsia="Arial" w:hAnsi="Arial"/>
          <w:b/>
          <w:bCs/>
          <w:color w:val="C4A265"/>
          <w:sz w:val="22"/>
          <w:szCs w:val="22"/>
        </w:rPr>
        <w:t xml:space="preserve">Business Impact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Retention Impact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5/5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Identity-based belonging is the strongest retention force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Frequency Impact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3/5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Belonging encourages more sessions but indirectly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Referral Impact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5/5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Insiders naturally recruit—Aman Junkies bring friends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Premium Pricing Justification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5/5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Unique differentiator impossible to copy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Upsell/Cross-sell Catalyst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4/5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Deeper belonging creates appetite for more programs</w:t>
            </w:r>
          </w:p>
        </w:tc>
      </w:tr>
    </w:tbl>
    <w:p>
      <w:pPr>
        <w:spacing w:after="160" w:line="276"/>
        <w:jc w:val="left"/>
      </w:pPr>
      <w:r>
        <w:rPr>
          <w:rFonts w:ascii="Arial" w:cs="Arial" w:eastAsia="Arial" w:hAnsi="Arial"/>
          <w:b/>
          <w:bCs/>
          <w:i w:val="false"/>
          <w:iCs w:val="false"/>
          <w:color w:val="2D2D2D"/>
          <w:sz w:val="21"/>
          <w:szCs w:val="21"/>
        </w:rPr>
        <w:t xml:space="preserve">Composite Score: 22/25 — Phase 1 Priority</w:t>
      </w:r>
    </w:p>
    <w:p>
      <w:pPr>
        <w:spacing w:before="200" w:after="120"/>
      </w:pPr>
      <w:r>
        <w:rPr>
          <w:rFonts w:ascii="Arial" w:cs="Arial" w:eastAsia="Arial" w:hAnsi="Arial"/>
          <w:b/>
          <w:bCs/>
          <w:color w:val="C4A265"/>
          <w:sz w:val="22"/>
          <w:szCs w:val="22"/>
        </w:rPr>
        <w:t xml:space="preserve">Flywheel Test</w:t>
      </w:r>
    </w:p>
    <w:p>
      <w:pPr>
        <w:pStyle w:val="ListParagraph"/>
        <w:numPr>
          <w:ilvl w:val="0"/>
          <w:numId w:val="2"/>
        </w:numPr>
        <w:spacing w:after="80" w:line="276"/>
      </w:pPr>
      <w:r>
        <w:rPr>
          <w:rFonts w:ascii="Arial" w:cs="Arial" w:eastAsia="Arial" w:hAnsi="Arial"/>
          <w:color w:val="2D2D2D"/>
          <w:sz w:val="21"/>
          <w:szCs w:val="21"/>
        </w:rPr>
        <w:t xml:space="preserve">Makes the player want to come back? Yes—belonging is the primary driver of return</w:t>
      </w:r>
    </w:p>
    <w:p>
      <w:pPr>
        <w:pStyle w:val="ListParagraph"/>
        <w:numPr>
          <w:ilvl w:val="0"/>
          <w:numId w:val="2"/>
        </w:numPr>
        <w:spacing w:after="80" w:line="276"/>
      </w:pPr>
      <w:r>
        <w:rPr>
          <w:rFonts w:ascii="Arial" w:cs="Arial" w:eastAsia="Arial" w:hAnsi="Arial"/>
          <w:color w:val="2D2D2D"/>
          <w:sz w:val="21"/>
          <w:szCs w:val="21"/>
        </w:rPr>
        <w:t xml:space="preserve">Gives the family something to talk about? Yes—“it feels different here” is the Aman effect</w:t>
      </w:r>
    </w:p>
    <w:p>
      <w:pPr>
        <w:pStyle w:val="ListParagraph"/>
        <w:numPr>
          <w:ilvl w:val="0"/>
          <w:numId w:val="2"/>
        </w:numPr>
        <w:spacing w:after="80" w:line="276"/>
      </w:pPr>
      <w:r>
        <w:rPr>
          <w:rFonts w:ascii="Arial" w:cs="Arial" w:eastAsia="Arial" w:hAnsi="Arial"/>
          <w:color w:val="2D2D2D"/>
          <w:sz w:val="21"/>
          <w:szCs w:val="21"/>
        </w:rPr>
        <w:t xml:space="preserve">Creates a reason to do more? Yes—deeper belonging opens curiosity about additional programs</w:t>
      </w:r>
    </w:p>
    <w:p>
      <w:pPr>
        <w:pStyle w:val="ListParagraph"/>
        <w:numPr>
          <w:ilvl w:val="0"/>
          <w:numId w:val="2"/>
        </w:numPr>
        <w:spacing w:after="80" w:line="276"/>
      </w:pPr>
      <w:r>
        <w:rPr>
          <w:rFonts w:ascii="Arial" w:cs="Arial" w:eastAsia="Arial" w:hAnsi="Arial"/>
          <w:color w:val="2D2D2D"/>
          <w:sz w:val="21"/>
          <w:szCs w:val="21"/>
        </w:rPr>
        <w:t xml:space="preserve">Generates data LBTA can use? Indirectly—belonging manifests in attendance, retention, referral data</w:t>
      </w:r>
    </w:p>
    <w:p>
      <w:pPr>
        <w:pStyle w:val="ListParagraph"/>
        <w:numPr>
          <w:ilvl w:val="0"/>
          <w:numId w:val="2"/>
        </w:numPr>
        <w:spacing w:after="160" w:line="276"/>
      </w:pPr>
      <w:r>
        <w:rPr>
          <w:rFonts w:ascii="Arial" w:cs="Arial" w:eastAsia="Arial" w:hAnsi="Arial"/>
          <w:color w:val="2D2D2D"/>
          <w:sz w:val="21"/>
          <w:szCs w:val="21"/>
        </w:rPr>
        <w:t xml:space="preserve">Strengthens the community? Yes—this is the community</w:t>
      </w:r>
    </w:p>
    <w:p>
      <w:pPr>
        <w:spacing w:after="160" w:line="276"/>
        <w:jc w:val="left"/>
      </w:pPr>
      <w:r>
        <w:rPr>
          <w:rFonts w:ascii="Arial" w:cs="Arial" w:eastAsia="Arial" w:hAnsi="Arial"/>
          <w:b w:val="false"/>
          <w:bCs w:val="false"/>
          <w:i w:val="false"/>
          <w:iCs w:val="false"/>
          <w:color w:val="2D2D2D"/>
          <w:sz w:val="21"/>
          <w:szCs w:val="21"/>
        </w:rPr>
        <w:t xml:space="preserve">Flywheel Score: 5/5</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2. The Earned Access Architecture</w:t>
      </w:r>
    </w:p>
    <w:p>
      <w:pPr>
        <w:spacing w:before="200" w:after="120"/>
      </w:pPr>
      <w:r>
        <w:rPr>
          <w:rFonts w:ascii="Arial" w:cs="Arial" w:eastAsia="Arial" w:hAnsi="Arial"/>
          <w:b/>
          <w:bCs/>
          <w:color w:val="C4A265"/>
          <w:sz w:val="22"/>
          <w:szCs w:val="22"/>
        </w:rPr>
        <w:t xml:space="preserve">What It Is</w:t>
      </w:r>
    </w:p>
    <w:p>
      <w:pPr>
        <w:spacing w:after="160" w:line="276"/>
        <w:jc w:val="left"/>
      </w:pPr>
      <w:r>
        <w:rPr>
          <w:rFonts w:ascii="Arial" w:cs="Arial" w:eastAsia="Arial" w:hAnsi="Arial"/>
          <w:b w:val="false"/>
          <w:bCs w:val="false"/>
          <w:i w:val="false"/>
          <w:iCs w:val="false"/>
          <w:color w:val="2D2D2D"/>
          <w:sz w:val="21"/>
          <w:szCs w:val="21"/>
        </w:rPr>
        <w:t xml:space="preserve">LBTA’s highest-tier offerings—High Performance training, ATP coach sessions with Savriyan, select tournament travel, and advanced competitive programming—should operate on an allocation model rather than open enrollment. Access is earned through demonstrated commitment: consistent attendance, skill progression milestones, coach recommendation, and behavioral standards. This is the Hermès Birkin applied to tennis development.</w:t>
      </w:r>
    </w:p>
    <w:p>
      <w:pPr>
        <w:spacing w:before="200" w:after="120"/>
      </w:pPr>
      <w:r>
        <w:rPr>
          <w:rFonts w:ascii="Arial" w:cs="Arial" w:eastAsia="Arial" w:hAnsi="Arial"/>
          <w:b/>
          <w:bCs/>
          <w:color w:val="C4A265"/>
          <w:sz w:val="22"/>
          <w:szCs w:val="22"/>
        </w:rPr>
        <w:t xml:space="preserve">Why It Works</w:t>
      </w:r>
    </w:p>
    <w:p>
      <w:pPr>
        <w:spacing w:after="160" w:line="276"/>
        <w:jc w:val="left"/>
      </w:pPr>
      <w:r>
        <w:rPr>
          <w:rFonts w:ascii="Arial" w:cs="Arial" w:eastAsia="Arial" w:hAnsi="Arial"/>
          <w:b w:val="false"/>
          <w:bCs w:val="false"/>
          <w:i w:val="false"/>
          <w:iCs w:val="false"/>
          <w:color w:val="2D2D2D"/>
          <w:sz w:val="21"/>
          <w:szCs w:val="21"/>
        </w:rPr>
        <w:t xml:space="preserve">When access must be earned, three psychological forces activate simultaneously. First, the journey of qualifying creates deeper engagement with the broader program (Hermès customers explore the entire product line while building toward Birkin eligibility). Second, earned access carries emotional weight that purchased access never achieves—the accomplishment becomes part of the player’s identity. Third, visible but fair gatekeeping creates aspiration among those who haven’t yet qualified, driving engagement across the entire pyramid.</w:t>
      </w:r>
    </w:p>
    <w:p>
      <w:pPr>
        <w:spacing w:before="200" w:after="120"/>
      </w:pPr>
      <w:r>
        <w:rPr>
          <w:rFonts w:ascii="Arial" w:cs="Arial" w:eastAsia="Arial" w:hAnsi="Arial"/>
          <w:b/>
          <w:bCs/>
          <w:color w:val="C4A265"/>
          <w:sz w:val="22"/>
          <w:szCs w:val="22"/>
        </w:rPr>
        <w:t xml:space="preserve">How It Maps to LBTA</w:t>
      </w:r>
    </w:p>
    <w:p>
      <w:pPr>
        <w:pStyle w:val="ListParagraph"/>
        <w:numPr>
          <w:ilvl w:val="0"/>
          <w:numId w:val="2"/>
        </w:numPr>
        <w:spacing w:after="100" w:line="276"/>
      </w:pPr>
      <w:r>
        <w:rPr>
          <w:rFonts w:ascii="Arial" w:cs="Arial" w:eastAsia="Arial" w:hAnsi="Arial"/>
          <w:color w:val="2D2D2D"/>
          <w:sz w:val="21"/>
          <w:szCs w:val="21"/>
        </w:rPr>
        <w:t xml:space="preserve">High Performance pathway requires coach nomination plus minimum attendance threshold in Junior Development—you cannot purchase your way in</w:t>
      </w:r>
    </w:p>
    <w:p>
      <w:pPr>
        <w:pStyle w:val="ListParagraph"/>
        <w:numPr>
          <w:ilvl w:val="0"/>
          <w:numId w:val="2"/>
        </w:numPr>
        <w:spacing w:after="100" w:line="276"/>
      </w:pPr>
      <w:r>
        <w:rPr>
          <w:rFonts w:ascii="Arial" w:cs="Arial" w:eastAsia="Arial" w:hAnsi="Arial"/>
          <w:color w:val="2D2D2D"/>
          <w:sz w:val="21"/>
          <w:szCs w:val="21"/>
        </w:rPr>
        <w:t xml:space="preserve">ATP-level sessions with Savriyan Danilov are offered to qualified players on a selective basis, not as an open booking</w:t>
      </w:r>
    </w:p>
    <w:p>
      <w:pPr>
        <w:pStyle w:val="ListParagraph"/>
        <w:numPr>
          <w:ilvl w:val="0"/>
          <w:numId w:val="2"/>
        </w:numPr>
        <w:spacing w:after="100" w:line="276"/>
      </w:pPr>
      <w:r>
        <w:rPr>
          <w:rFonts w:ascii="Arial" w:cs="Arial" w:eastAsia="Arial" w:hAnsi="Arial"/>
          <w:color w:val="2D2D2D"/>
          <w:sz w:val="21"/>
          <w:szCs w:val="21"/>
        </w:rPr>
        <w:t xml:space="preserve">JTT competitive roster spots require demonstrated practice commitment and behavioral standards, not just skill</w:t>
      </w:r>
    </w:p>
    <w:p>
      <w:pPr>
        <w:pStyle w:val="ListParagraph"/>
        <w:numPr>
          <w:ilvl w:val="0"/>
          <w:numId w:val="2"/>
        </w:numPr>
        <w:spacing w:after="160" w:line="276"/>
      </w:pPr>
      <w:r>
        <w:rPr>
          <w:rFonts w:ascii="Arial" w:cs="Arial" w:eastAsia="Arial" w:hAnsi="Arial"/>
          <w:color w:val="2D2D2D"/>
          <w:sz w:val="21"/>
          <w:szCs w:val="21"/>
        </w:rPr>
        <w:t xml:space="preserve">Criteria are transparent and communicated clearly—this is aspiration, not mystery. Players know exactly what it takes</w:t>
      </w:r>
    </w:p>
    <w:p>
      <w:pPr>
        <w:spacing w:before="200" w:after="120"/>
      </w:pPr>
      <w:r>
        <w:rPr>
          <w:rFonts w:ascii="Arial" w:cs="Arial" w:eastAsia="Arial" w:hAnsi="Arial"/>
          <w:b/>
          <w:bCs/>
          <w:color w:val="C4A265"/>
          <w:sz w:val="22"/>
          <w:szCs w:val="22"/>
        </w:rPr>
        <w:t xml:space="preserve">Cost and Complexity</w:t>
      </w:r>
    </w:p>
    <w:p>
      <w:pPr>
        <w:spacing w:after="160" w:line="276"/>
        <w:jc w:val="left"/>
      </w:pPr>
      <w:r>
        <w:rPr>
          <w:rFonts w:ascii="Arial" w:cs="Arial" w:eastAsia="Arial" w:hAnsi="Arial"/>
          <w:b w:val="false"/>
          <w:bCs w:val="false"/>
          <w:i w:val="false"/>
          <w:iCs w:val="false"/>
          <w:color w:val="2D2D2D"/>
          <w:sz w:val="21"/>
          <w:szCs w:val="21"/>
        </w:rPr>
        <w:t xml:space="preserve">Low implementation cost. Requires clear documentation of progression criteria, coach training on evaluation standards (cross-references Domain 2: Skills Assessment &amp; Coach Calibration), and parent communication explaining the philosophy. The primary cost is the discipline to maintain standards when families push back.</w:t>
      </w:r>
    </w:p>
    <w:p>
      <w:pPr>
        <w:spacing w:before="200" w:after="120"/>
      </w:pPr>
      <w:r>
        <w:rPr>
          <w:rFonts w:ascii="Arial" w:cs="Arial" w:eastAsia="Arial" w:hAnsi="Arial"/>
          <w:b/>
          <w:bCs/>
          <w:color w:val="C4A265"/>
          <w:sz w:val="22"/>
          <w:szCs w:val="22"/>
        </w:rPr>
        <w:t xml:space="preserve">What to Watch Out For</w:t>
      </w:r>
    </w:p>
    <w:p>
      <w:pPr>
        <w:spacing w:after="160" w:line="276"/>
        <w:jc w:val="left"/>
      </w:pPr>
      <w:r>
        <w:rPr>
          <w:rFonts w:ascii="Arial" w:cs="Arial" w:eastAsia="Arial" w:hAnsi="Arial"/>
          <w:b w:val="false"/>
          <w:bCs w:val="false"/>
          <w:i w:val="false"/>
          <w:iCs w:val="false"/>
          <w:color w:val="2D2D2D"/>
          <w:sz w:val="21"/>
          <w:szCs w:val="21"/>
        </w:rPr>
        <w:t xml:space="preserve">The earned access model must never feel arbitrary or nepotistic. Criteria must be published, consistently applied, and evaluated through the calibration protocols established in Domain 2. If a family feels their child was excluded for reasons unrelated to the stated criteria, the entire system loses credibility. Hermès currently faces antitrust litigation alleging their allocation system constitutes illegal “tying”—a reminder that even sophisticated earned-access systems face scrutiny when they feel unfair.</w:t>
      </w:r>
    </w:p>
    <w:p>
      <w:pPr>
        <w:spacing w:after="160" w:line="276"/>
        <w:jc w:val="left"/>
      </w:pPr>
      <w:r>
        <w:rPr>
          <w:rFonts w:ascii="Arial" w:cs="Arial" w:eastAsia="Arial" w:hAnsi="Arial"/>
          <w:b/>
          <w:bCs/>
          <w:i w:val="false"/>
          <w:iCs w:val="false"/>
          <w:color w:val="2D2D2D"/>
          <w:sz w:val="21"/>
          <w:szCs w:val="21"/>
        </w:rPr>
        <w:t xml:space="preserve">Business Impact Score: 21/25 — Phase 1 Priority</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3. The LBTA Insider Language System</w:t>
      </w:r>
    </w:p>
    <w:p>
      <w:pPr>
        <w:spacing w:before="200" w:after="120"/>
      </w:pPr>
      <w:r>
        <w:rPr>
          <w:rFonts w:ascii="Arial" w:cs="Arial" w:eastAsia="Arial" w:hAnsi="Arial"/>
          <w:b/>
          <w:bCs/>
          <w:color w:val="C4A265"/>
          <w:sz w:val="22"/>
          <w:szCs w:val="22"/>
        </w:rPr>
        <w:t xml:space="preserve">What It Is</w:t>
      </w:r>
    </w:p>
    <w:p>
      <w:pPr>
        <w:spacing w:after="160" w:line="276"/>
        <w:jc w:val="left"/>
      </w:pPr>
      <w:r>
        <w:rPr>
          <w:rFonts w:ascii="Arial" w:cs="Arial" w:eastAsia="Arial" w:hAnsi="Arial"/>
          <w:b w:val="false"/>
          <w:bCs w:val="false"/>
          <w:i w:val="false"/>
          <w:iCs w:val="false"/>
          <w:color w:val="2D2D2D"/>
          <w:sz w:val="21"/>
          <w:szCs w:val="21"/>
        </w:rPr>
        <w:t xml:space="preserve">A proprietary vocabulary for LBTA’s progression system that creates insider identity without generic gamification language. No “points,” “badges,” “levels,” “XP,” “tiers,” or “rewards.” Instead, language drawn from tennis craft, ocean and coastal culture (specific to Laguna Beach), and the quiet confidence of the brand.</w:t>
      </w:r>
    </w:p>
    <w:p>
      <w:pPr>
        <w:spacing w:before="200" w:after="120"/>
      </w:pPr>
      <w:r>
        <w:rPr>
          <w:rFonts w:ascii="Arial" w:cs="Arial" w:eastAsia="Arial" w:hAnsi="Arial"/>
          <w:b/>
          <w:bCs/>
          <w:color w:val="C4A265"/>
          <w:sz w:val="22"/>
          <w:szCs w:val="22"/>
        </w:rPr>
        <w:t xml:space="preserve">Why It Works</w:t>
      </w:r>
    </w:p>
    <w:p>
      <w:pPr>
        <w:spacing w:after="160" w:line="276"/>
        <w:jc w:val="left"/>
      </w:pPr>
      <w:r>
        <w:rPr>
          <w:rFonts w:ascii="Arial" w:cs="Arial" w:eastAsia="Arial" w:hAnsi="Arial"/>
          <w:b w:val="false"/>
          <w:bCs w:val="false"/>
          <w:i w:val="false"/>
          <w:iCs w:val="false"/>
          <w:color w:val="2D2D2D"/>
          <w:sz w:val="21"/>
          <w:szCs w:val="21"/>
        </w:rPr>
        <w:t xml:space="preserve">Soho House members don’t earn points—they gain access. Aman Junkies don’t redeem rewards—they belong. The language a system uses shapes the psychology of participation. When LBTA uses language that could come from any gym franchise, it erases the brand’s distinctiveness. When the language feels proprietary—when it could only exist at this academy in this community—it becomes part of the insider identity.</w:t>
      </w:r>
    </w:p>
    <w:p>
      <w:pPr>
        <w:spacing w:before="200" w:after="120"/>
      </w:pPr>
      <w:r>
        <w:rPr>
          <w:rFonts w:ascii="Arial" w:cs="Arial" w:eastAsia="Arial" w:hAnsi="Arial"/>
          <w:b/>
          <w:bCs/>
          <w:color w:val="C4A265"/>
          <w:sz w:val="22"/>
          <w:szCs w:val="22"/>
        </w:rPr>
        <w:t xml:space="preserve">Proposed Language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Generic Term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LBTA Alternative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Inspiration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Levels / Tiers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Stages of the Craft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Artisan progression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Badges / Achievements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Marks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Stonemason’s marks on cathedrals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Milestones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Passages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Maritime navigation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Assessment Day</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The Session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Understated, like Aman naming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Level Up Ceremony</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Recognition Gathering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Intimate, not performative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Fitness Testing</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Baseline Check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Clinical precision, not competition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Coach Report Card</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Player Portrait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Holistic, personal, crafted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Progress Dashboard</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Your Court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Personal, owned space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Attendance Streak</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Rhythm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Musical consistency, not gamified chain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Top Performer</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B3A5C"/>
                <w:sz w:val="18"/>
                <w:szCs w:val="18"/>
              </w:rPr>
              <w:t xml:space="preserve">Standard Bearer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Earned responsibility, not rank</w:t>
            </w:r>
          </w:p>
        </w:tc>
      </w:tr>
    </w:tbl>
    <w:p>
      <w:pPr>
        <w:spacing w:before="120" w:after="0"/>
      </w:pPr>
    </w:p>
    <w:p>
      <w:pPr>
        <w:spacing w:after="160" w:line="276"/>
        <w:jc w:val="left"/>
      </w:pPr>
      <w:r>
        <w:rPr>
          <w:rFonts w:ascii="Arial" w:cs="Arial" w:eastAsia="Arial" w:hAnsi="Arial"/>
          <w:b w:val="false"/>
          <w:bCs w:val="false"/>
          <w:i w:val="false"/>
          <w:iCs w:val="false"/>
          <w:color w:val="2D2D2D"/>
          <w:sz w:val="21"/>
          <w:szCs w:val="21"/>
        </w:rPr>
        <w:t xml:space="preserve">These names are proposals for further refinement with Andrew and the coaching team. The principle is non-negotiable: the vocabulary must be LBTA’s own, not borrowed from gaming or corporate wellness.</w:t>
      </w:r>
    </w:p>
    <w:p>
      <w:pPr>
        <w:spacing w:after="160" w:line="276"/>
        <w:jc w:val="left"/>
      </w:pPr>
      <w:r>
        <w:rPr>
          <w:rFonts w:ascii="Arial" w:cs="Arial" w:eastAsia="Arial" w:hAnsi="Arial"/>
          <w:b/>
          <w:bCs/>
          <w:i w:val="false"/>
          <w:iCs w:val="false"/>
          <w:color w:val="2D2D2D"/>
          <w:sz w:val="21"/>
          <w:szCs w:val="21"/>
        </w:rPr>
        <w:t xml:space="preserve">Business Impact Score: 19/25 — Phase 1 Priority</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4. Recognition Rituals: Making Progression Feel Like Aman, Not Chuck E. Cheese</w:t>
      </w:r>
    </w:p>
    <w:p>
      <w:pPr>
        <w:spacing w:before="200" w:after="120"/>
      </w:pPr>
      <w:r>
        <w:rPr>
          <w:rFonts w:ascii="Arial" w:cs="Arial" w:eastAsia="Arial" w:hAnsi="Arial"/>
          <w:b/>
          <w:bCs/>
          <w:color w:val="C4A265"/>
          <w:sz w:val="22"/>
          <w:szCs w:val="22"/>
        </w:rPr>
        <w:t xml:space="preserve">What It Is</w:t>
      </w:r>
    </w:p>
    <w:p>
      <w:pPr>
        <w:spacing w:after="160" w:line="276"/>
        <w:jc w:val="left"/>
      </w:pPr>
      <w:r>
        <w:rPr>
          <w:rFonts w:ascii="Arial" w:cs="Arial" w:eastAsia="Arial" w:hAnsi="Arial"/>
          <w:b w:val="false"/>
          <w:bCs w:val="false"/>
          <w:i w:val="false"/>
          <w:iCs w:val="false"/>
          <w:color w:val="2D2D2D"/>
          <w:sz w:val="21"/>
          <w:szCs w:val="21"/>
        </w:rPr>
        <w:t xml:space="preserve">A set of designed moments that mark player progression with the restraint and emotional significance of luxury recognition. Every recognition touchpoint must pass the Aman Test: would it feel at home in a place known for quiet sophistication?</w:t>
      </w:r>
    </w:p>
    <w:p>
      <w:pPr>
        <w:spacing w:before="200" w:after="120"/>
      </w:pPr>
      <w:r>
        <w:rPr>
          <w:rFonts w:ascii="Arial" w:cs="Arial" w:eastAsia="Arial" w:hAnsi="Arial"/>
          <w:b/>
          <w:bCs/>
          <w:color w:val="C4A265"/>
          <w:sz w:val="22"/>
          <w:szCs w:val="22"/>
        </w:rPr>
        <w:t xml:space="preserve">Recognition Design Principles</w:t>
      </w:r>
    </w:p>
    <w:p>
      <w:pPr>
        <w:pStyle w:val="ListParagraph"/>
        <w:numPr>
          <w:ilvl w:val="0"/>
          <w:numId w:val="3"/>
        </w:numPr>
        <w:spacing w:after="100" w:line="276"/>
      </w:pPr>
      <w:r>
        <w:rPr>
          <w:rFonts w:ascii="Arial" w:cs="Arial" w:eastAsia="Arial" w:hAnsi="Arial"/>
          <w:b/>
          <w:bCs/>
          <w:color w:val="2D2D2D"/>
          <w:sz w:val="21"/>
          <w:szCs w:val="21"/>
        </w:rPr>
        <w:t xml:space="preserve">Private before public. </w:t>
      </w:r>
      <w:r>
        <w:rPr>
          <w:rFonts w:ascii="Arial" w:cs="Arial" w:eastAsia="Arial" w:hAnsi="Arial"/>
          <w:color w:val="2D2D2D"/>
          <w:sz w:val="21"/>
          <w:szCs w:val="21"/>
        </w:rPr>
        <w:t xml:space="preserve">The player and family learn about a progression milestone in a personal conversation with their coach before any group acknowledgment. This mirrors Aman’s hospitality: the guest feels recognized, not showcased.</w:t>
      </w:r>
    </w:p>
    <w:p>
      <w:pPr>
        <w:pStyle w:val="ListParagraph"/>
        <w:numPr>
          <w:ilvl w:val="0"/>
          <w:numId w:val="3"/>
        </w:numPr>
        <w:spacing w:after="100" w:line="276"/>
      </w:pPr>
      <w:r>
        <w:rPr>
          <w:rFonts w:ascii="Arial" w:cs="Arial" w:eastAsia="Arial" w:hAnsi="Arial"/>
          <w:b/>
          <w:bCs/>
          <w:color w:val="2D2D2D"/>
          <w:sz w:val="21"/>
          <w:szCs w:val="21"/>
        </w:rPr>
        <w:t xml:space="preserve">Materials match the brand. </w:t>
      </w:r>
      <w:r>
        <w:rPr>
          <w:rFonts w:ascii="Arial" w:cs="Arial" w:eastAsia="Arial" w:hAnsi="Arial"/>
          <w:color w:val="2D2D2D"/>
          <w:sz w:val="21"/>
          <w:szCs w:val="21"/>
        </w:rPr>
        <w:t xml:space="preserve">No laminated certificates. No clip-art trophies. If LBTA produces a physical marker of progression, it should feel like something you’d keep—heavyweight card stock, letterpress or embossed printing, the LBTA mark, and the player’s name. Think Hermès packaging, not office supplies.</w:t>
      </w:r>
    </w:p>
    <w:p>
      <w:pPr>
        <w:pStyle w:val="ListParagraph"/>
        <w:numPr>
          <w:ilvl w:val="0"/>
          <w:numId w:val="3"/>
        </w:numPr>
        <w:spacing w:after="100" w:line="276"/>
      </w:pPr>
      <w:r>
        <w:rPr>
          <w:rFonts w:ascii="Arial" w:cs="Arial" w:eastAsia="Arial" w:hAnsi="Arial"/>
          <w:b/>
          <w:bCs/>
          <w:color w:val="2D2D2D"/>
          <w:sz w:val="21"/>
          <w:szCs w:val="21"/>
        </w:rPr>
        <w:t xml:space="preserve">Less is more. </w:t>
      </w:r>
      <w:r>
        <w:rPr>
          <w:rFonts w:ascii="Arial" w:cs="Arial" w:eastAsia="Arial" w:hAnsi="Arial"/>
          <w:color w:val="2D2D2D"/>
          <w:sz w:val="21"/>
          <w:szCs w:val="21"/>
        </w:rPr>
        <w:t xml:space="preserve">If everything is celebrated, nothing is. Reserve formal recognition for genuine stage transitions and seasonal milestones. Weekly participation acknowledgment happens through coach behavior (greeting by name, remembering last session details), not through systems.</w:t>
      </w:r>
    </w:p>
    <w:p>
      <w:pPr>
        <w:pStyle w:val="ListParagraph"/>
        <w:numPr>
          <w:ilvl w:val="0"/>
          <w:numId w:val="3"/>
        </w:numPr>
        <w:spacing w:after="100" w:line="276"/>
      </w:pPr>
      <w:r>
        <w:rPr>
          <w:rFonts w:ascii="Arial" w:cs="Arial" w:eastAsia="Arial" w:hAnsi="Arial"/>
          <w:b/>
          <w:bCs/>
          <w:color w:val="2D2D2D"/>
          <w:sz w:val="21"/>
          <w:szCs w:val="21"/>
        </w:rPr>
        <w:t xml:space="preserve">Earned items can never be bought. </w:t>
      </w:r>
      <w:r>
        <w:rPr>
          <w:rFonts w:ascii="Arial" w:cs="Arial" w:eastAsia="Arial" w:hAnsi="Arial"/>
          <w:color w:val="2D2D2D"/>
          <w:sz w:val="21"/>
          <w:szCs w:val="21"/>
        </w:rPr>
        <w:t xml:space="preserve">If LBTA creates branded items (a training shirt, a bag tag, a cap) associated with a progression stage, these items are exclusively available to those who have reached that stage. This is the Birkin principle applied to tennis gear—scarcity through merit, not price.</w:t>
      </w:r>
    </w:p>
    <w:p>
      <w:pPr>
        <w:pStyle w:val="ListParagraph"/>
        <w:numPr>
          <w:ilvl w:val="0"/>
          <w:numId w:val="3"/>
        </w:numPr>
        <w:spacing w:after="160" w:line="276"/>
      </w:pPr>
      <w:r>
        <w:rPr>
          <w:rFonts w:ascii="Arial" w:cs="Arial" w:eastAsia="Arial" w:hAnsi="Arial"/>
          <w:b/>
          <w:bCs/>
          <w:color w:val="2D2D2D"/>
          <w:sz w:val="21"/>
          <w:szCs w:val="21"/>
        </w:rPr>
        <w:t xml:space="preserve">Seasonal rhythm, not constant noise. </w:t>
      </w:r>
      <w:r>
        <w:rPr>
          <w:rFonts w:ascii="Arial" w:cs="Arial" w:eastAsia="Arial" w:hAnsi="Arial"/>
          <w:color w:val="2D2D2D"/>
          <w:sz w:val="21"/>
          <w:szCs w:val="21"/>
        </w:rPr>
        <w:t xml:space="preserve">Formal recognition events happen twice per year—end of Winter and end of Summer seasons. These are intimate gatherings (not awards ceremonies) where the community comes together. Coaches share Player Portraits with families in brief private conversations. The vibe is a gallery opening, not a school assembly.</w:t>
      </w:r>
    </w:p>
    <w:p>
      <w:pPr>
        <w:spacing w:before="200" w:after="120"/>
      </w:pPr>
      <w:r>
        <w:rPr>
          <w:rFonts w:ascii="Arial" w:cs="Arial" w:eastAsia="Arial" w:hAnsi="Arial"/>
          <w:b/>
          <w:bCs/>
          <w:color w:val="C4A265"/>
          <w:sz w:val="22"/>
          <w:szCs w:val="22"/>
        </w:rPr>
        <w:t xml:space="preserve">Cost Considerations</w:t>
      </w:r>
    </w:p>
    <w:p>
      <w:pPr>
        <w:spacing w:after="160" w:line="276"/>
        <w:jc w:val="left"/>
      </w:pPr>
      <w:r>
        <w:rPr>
          <w:rFonts w:ascii="Arial" w:cs="Arial" w:eastAsia="Arial" w:hAnsi="Arial"/>
          <w:b w:val="false"/>
          <w:bCs w:val="false"/>
          <w:i w:val="false"/>
          <w:iCs w:val="false"/>
          <w:color w:val="2D2D2D"/>
          <w:sz w:val="21"/>
          <w:szCs w:val="21"/>
        </w:rPr>
        <w:t xml:space="preserve">Estimated $15–25 per student per year for high-quality physical materials (letterpress progression cards, earned items at stage transitions). At 340 families, total annual budget of $5,100–$8,500. Seasonal gathering costs are minimal—LBTA already has venue access. The ROI threshold: if these rituals prevent even 3–5 families from churning ($7,500–$17,500 in retained annual revenue), they pay for themselves multiple times over.</w:t>
      </w:r>
    </w:p>
    <w:p>
      <w:pPr>
        <w:spacing w:after="160" w:line="276"/>
        <w:jc w:val="left"/>
      </w:pPr>
      <w:r>
        <w:rPr>
          <w:rFonts w:ascii="Arial" w:cs="Arial" w:eastAsia="Arial" w:hAnsi="Arial"/>
          <w:b/>
          <w:bCs/>
          <w:i w:val="false"/>
          <w:iCs w:val="false"/>
          <w:color w:val="2D2D2D"/>
          <w:sz w:val="21"/>
          <w:szCs w:val="21"/>
        </w:rPr>
        <w:t xml:space="preserve">Business Impact Score: 20/25 — Phase 1 Priority</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5. The Coach-as-Concierge Model</w:t>
      </w:r>
    </w:p>
    <w:p>
      <w:pPr>
        <w:spacing w:before="200" w:after="120"/>
      </w:pPr>
      <w:r>
        <w:rPr>
          <w:rFonts w:ascii="Arial" w:cs="Arial" w:eastAsia="Arial" w:hAnsi="Arial"/>
          <w:b/>
          <w:bCs/>
          <w:color w:val="C4A265"/>
          <w:sz w:val="22"/>
          <w:szCs w:val="22"/>
        </w:rPr>
        <w:t xml:space="preserve">What It Is</w:t>
      </w:r>
    </w:p>
    <w:p>
      <w:pPr>
        <w:spacing w:after="160" w:line="276"/>
        <w:jc w:val="left"/>
      </w:pPr>
      <w:r>
        <w:rPr>
          <w:rFonts w:ascii="Arial" w:cs="Arial" w:eastAsia="Arial" w:hAnsi="Arial"/>
          <w:b w:val="false"/>
          <w:bCs w:val="false"/>
          <w:i w:val="false"/>
          <w:iCs w:val="false"/>
          <w:color w:val="2D2D2D"/>
          <w:sz w:val="21"/>
          <w:szCs w:val="21"/>
        </w:rPr>
        <w:t xml:space="preserve">Reframe the coach’s role in the progression system from assessor to relationship owner. In luxury hospitality, the concierge doesn’t evaluate guests—they anticipate needs, remember preferences, and create seamless experiences. LBTA coaches should know every player’s story, not just their backhand mechanics.</w:t>
      </w:r>
    </w:p>
    <w:p>
      <w:pPr>
        <w:spacing w:before="200" w:after="120"/>
      </w:pPr>
      <w:r>
        <w:rPr>
          <w:rFonts w:ascii="Arial" w:cs="Arial" w:eastAsia="Arial" w:hAnsi="Arial"/>
          <w:b/>
          <w:bCs/>
          <w:color w:val="C4A265"/>
          <w:sz w:val="22"/>
          <w:szCs w:val="22"/>
        </w:rPr>
        <w:t xml:space="preserve">Why It Works</w:t>
      </w:r>
    </w:p>
    <w:p>
      <w:pPr>
        <w:spacing w:after="160" w:line="276"/>
        <w:jc w:val="left"/>
      </w:pPr>
      <w:r>
        <w:rPr>
          <w:rFonts w:ascii="Arial" w:cs="Arial" w:eastAsia="Arial" w:hAnsi="Arial"/>
          <w:b w:val="false"/>
          <w:bCs w:val="false"/>
          <w:i w:val="false"/>
          <w:iCs w:val="false"/>
          <w:color w:val="2D2D2D"/>
          <w:sz w:val="21"/>
          <w:szCs w:val="21"/>
        </w:rPr>
        <w:t xml:space="preserve">Marriott Bonvoy and Hilton Honors invest heavily in personalized recognition—greeting guests by name, remembering room preferences, anticipating needs based on stay history. Research shows these moments of personal recognition are more powerful loyalty drivers than points or status. Aman trains staff as “compassionate hosts” who act like property owners rather than employees. The relationship between a player and their coach is LBTA’s equivalent of the hotel-guest relationship: it is the primary point of emotional connection to the brand.</w:t>
      </w:r>
    </w:p>
    <w:p>
      <w:pPr>
        <w:spacing w:before="200" w:after="120"/>
      </w:pPr>
      <w:r>
        <w:rPr>
          <w:rFonts w:ascii="Arial" w:cs="Arial" w:eastAsia="Arial" w:hAnsi="Arial"/>
          <w:b/>
          <w:bCs/>
          <w:color w:val="C4A265"/>
          <w:sz w:val="22"/>
          <w:szCs w:val="22"/>
        </w:rPr>
        <w:t xml:space="preserve">How It Maps to LBTA</w:t>
      </w:r>
    </w:p>
    <w:p>
      <w:pPr>
        <w:pStyle w:val="ListParagraph"/>
        <w:numPr>
          <w:ilvl w:val="0"/>
          <w:numId w:val="2"/>
        </w:numPr>
        <w:spacing w:after="100" w:line="276"/>
      </w:pPr>
      <w:r>
        <w:rPr>
          <w:rFonts w:ascii="Arial" w:cs="Arial" w:eastAsia="Arial" w:hAnsi="Arial"/>
          <w:color w:val="2D2D2D"/>
          <w:sz w:val="21"/>
          <w:szCs w:val="21"/>
        </w:rPr>
        <w:t xml:space="preserve">Each player has a primary coach relationship (their “lead coach”) who owns the holistic view of that player’s development, family dynamics, and engagement patterns</w:t>
      </w:r>
    </w:p>
    <w:p>
      <w:pPr>
        <w:pStyle w:val="ListParagraph"/>
        <w:numPr>
          <w:ilvl w:val="0"/>
          <w:numId w:val="2"/>
        </w:numPr>
        <w:spacing w:after="100" w:line="276"/>
      </w:pPr>
      <w:r>
        <w:rPr>
          <w:rFonts w:ascii="Arial" w:cs="Arial" w:eastAsia="Arial" w:hAnsi="Arial"/>
          <w:color w:val="2D2D2D"/>
          <w:sz w:val="21"/>
          <w:szCs w:val="21"/>
        </w:rPr>
        <w:t xml:space="preserve">Coaches maintain brief notes after meaningful interactions (not bureaucratic forms—three bullet points maximum per session in Airtable)</w:t>
      </w:r>
    </w:p>
    <w:p>
      <w:pPr>
        <w:pStyle w:val="ListParagraph"/>
        <w:numPr>
          <w:ilvl w:val="0"/>
          <w:numId w:val="2"/>
        </w:numPr>
        <w:spacing w:after="100" w:line="276"/>
      </w:pPr>
      <w:r>
        <w:rPr>
          <w:rFonts w:ascii="Arial" w:cs="Arial" w:eastAsia="Arial" w:hAnsi="Arial"/>
          <w:color w:val="2D2D2D"/>
          <w:sz w:val="21"/>
          <w:szCs w:val="21"/>
        </w:rPr>
        <w:t xml:space="preserve">The Player Portrait (progress report) is written by the lead coach as a personal narrative, not generated from a rubric</w:t>
      </w:r>
    </w:p>
    <w:p>
      <w:pPr>
        <w:pStyle w:val="ListParagraph"/>
        <w:numPr>
          <w:ilvl w:val="0"/>
          <w:numId w:val="2"/>
        </w:numPr>
        <w:spacing w:after="160" w:line="276"/>
      </w:pPr>
      <w:r>
        <w:rPr>
          <w:rFonts w:ascii="Arial" w:cs="Arial" w:eastAsia="Arial" w:hAnsi="Arial"/>
          <w:color w:val="2D2D2D"/>
          <w:sz w:val="21"/>
          <w:szCs w:val="21"/>
        </w:rPr>
        <w:t xml:space="preserve">Coach training includes hospitality principles—greeting by name, asking about school or activities, remembering context from the last session. This is the Aman standard applied to on-court interaction</w:t>
      </w:r>
    </w:p>
    <w:p>
      <w:pPr>
        <w:spacing w:after="160" w:line="276"/>
        <w:jc w:val="left"/>
      </w:pPr>
      <w:r>
        <w:rPr>
          <w:rFonts w:ascii="Arial" w:cs="Arial" w:eastAsia="Arial" w:hAnsi="Arial"/>
          <w:b/>
          <w:bCs/>
          <w:i w:val="false"/>
          <w:iCs w:val="false"/>
          <w:color w:val="2D2D2D"/>
          <w:sz w:val="21"/>
          <w:szCs w:val="21"/>
        </w:rPr>
        <w:t xml:space="preserve">Business Impact Score: 19/25 — Phase 1 Priority</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6. The Founding Family Designation</w:t>
      </w:r>
    </w:p>
    <w:p>
      <w:pPr>
        <w:spacing w:before="200" w:after="120"/>
      </w:pPr>
      <w:r>
        <w:rPr>
          <w:rFonts w:ascii="Arial" w:cs="Arial" w:eastAsia="Arial" w:hAnsi="Arial"/>
          <w:b/>
          <w:bCs/>
          <w:color w:val="C4A265"/>
          <w:sz w:val="22"/>
          <w:szCs w:val="22"/>
        </w:rPr>
        <w:t xml:space="preserve">What It Is</w:t>
      </w:r>
    </w:p>
    <w:p>
      <w:pPr>
        <w:spacing w:after="160" w:line="276"/>
        <w:jc w:val="left"/>
      </w:pPr>
      <w:r>
        <w:rPr>
          <w:rFonts w:ascii="Arial" w:cs="Arial" w:eastAsia="Arial" w:hAnsi="Arial"/>
          <w:b w:val="false"/>
          <w:bCs w:val="false"/>
          <w:i w:val="false"/>
          <w:iCs w:val="false"/>
          <w:color w:val="2D2D2D"/>
          <w:sz w:val="21"/>
          <w:szCs w:val="21"/>
        </w:rPr>
        <w:t xml:space="preserve">A permanent recognition for families who have been part of LBTA from the earliest seasons—and for families who join during the current founding period of the formalized progression system. This creates the “founding member” dynamic that Soho House leverages, where early adopters receive permanent recognition and subtle preferential access.</w:t>
      </w:r>
    </w:p>
    <w:p>
      <w:pPr>
        <w:spacing w:before="200" w:after="120"/>
      </w:pPr>
      <w:r>
        <w:rPr>
          <w:rFonts w:ascii="Arial" w:cs="Arial" w:eastAsia="Arial" w:hAnsi="Arial"/>
          <w:b/>
          <w:bCs/>
          <w:color w:val="C4A265"/>
          <w:sz w:val="22"/>
          <w:szCs w:val="22"/>
        </w:rPr>
        <w:t xml:space="preserve">Why It Works</w:t>
      </w:r>
    </w:p>
    <w:p>
      <w:pPr>
        <w:spacing w:after="160" w:line="276"/>
        <w:jc w:val="left"/>
      </w:pPr>
      <w:r>
        <w:rPr>
          <w:rFonts w:ascii="Arial" w:cs="Arial" w:eastAsia="Arial" w:hAnsi="Arial"/>
          <w:b w:val="false"/>
          <w:bCs w:val="false"/>
          <w:i w:val="false"/>
          <w:iCs w:val="false"/>
          <w:color w:val="2D2D2D"/>
          <w:sz w:val="21"/>
          <w:szCs w:val="21"/>
        </w:rPr>
        <w:t xml:space="preserve">Early-access psychology is one of the most powerful forces in community building. Soho House founding members pay reduced rates permanently. AmEx Centurion cardholders receive benefits that newer applicants cannot access. The principle: people who commit early and help build the culture should be recognized for that contribution in perpetuity.</w:t>
      </w:r>
    </w:p>
    <w:p>
      <w:pPr>
        <w:spacing w:before="200" w:after="120"/>
      </w:pPr>
      <w:r>
        <w:rPr>
          <w:rFonts w:ascii="Arial" w:cs="Arial" w:eastAsia="Arial" w:hAnsi="Arial"/>
          <w:b/>
          <w:bCs/>
          <w:color w:val="C4A265"/>
          <w:sz w:val="22"/>
          <w:szCs w:val="22"/>
        </w:rPr>
        <w:t xml:space="preserve">How It Maps to LBTA</w:t>
      </w:r>
    </w:p>
    <w:p>
      <w:pPr>
        <w:pStyle w:val="ListParagraph"/>
        <w:numPr>
          <w:ilvl w:val="0"/>
          <w:numId w:val="2"/>
        </w:numPr>
        <w:spacing w:after="100" w:line="276"/>
      </w:pPr>
      <w:r>
        <w:rPr>
          <w:rFonts w:ascii="Arial" w:cs="Arial" w:eastAsia="Arial" w:hAnsi="Arial"/>
          <w:color w:val="2D2D2D"/>
          <w:sz w:val="21"/>
          <w:szCs w:val="21"/>
        </w:rPr>
        <w:t xml:space="preserve">Families enrolled before the formal progression system launch receive “Founding Family” designation</w:t>
      </w:r>
    </w:p>
    <w:p>
      <w:pPr>
        <w:pStyle w:val="ListParagraph"/>
        <w:numPr>
          <w:ilvl w:val="0"/>
          <w:numId w:val="2"/>
        </w:numPr>
        <w:spacing w:after="100" w:line="276"/>
      </w:pPr>
      <w:r>
        <w:rPr>
          <w:rFonts w:ascii="Arial" w:cs="Arial" w:eastAsia="Arial" w:hAnsi="Arial"/>
          <w:color w:val="2D2D2D"/>
          <w:sz w:val="21"/>
          <w:szCs w:val="21"/>
        </w:rPr>
        <w:t xml:space="preserve">This designation carries subtle benefits: first access to new programs, reserved spots in high-demand clinics, invitation to the annual Founding Family gathering</w:t>
      </w:r>
    </w:p>
    <w:p>
      <w:pPr>
        <w:pStyle w:val="ListParagraph"/>
        <w:numPr>
          <w:ilvl w:val="0"/>
          <w:numId w:val="2"/>
        </w:numPr>
        <w:spacing w:after="100" w:line="276"/>
      </w:pPr>
      <w:r>
        <w:rPr>
          <w:rFonts w:ascii="Arial" w:cs="Arial" w:eastAsia="Arial" w:hAnsi="Arial"/>
          <w:color w:val="2D2D2D"/>
          <w:sz w:val="21"/>
          <w:szCs w:val="21"/>
        </w:rPr>
        <w:t xml:space="preserve">No financial discount ever—this is recognition, not a coupon. The value is access, not price reduction</w:t>
      </w:r>
    </w:p>
    <w:p>
      <w:pPr>
        <w:pStyle w:val="ListParagraph"/>
        <w:numPr>
          <w:ilvl w:val="0"/>
          <w:numId w:val="2"/>
        </w:numPr>
        <w:spacing w:after="160" w:line="276"/>
      </w:pPr>
      <w:r>
        <w:rPr>
          <w:rFonts w:ascii="Arial" w:cs="Arial" w:eastAsia="Arial" w:hAnsi="Arial"/>
          <w:color w:val="2D2D2D"/>
          <w:sz w:val="21"/>
          <w:szCs w:val="21"/>
        </w:rPr>
        <w:t xml:space="preserve">The designation is permanent regardless of enrollment gaps—once a Founding Family, always a Founding Family</w:t>
      </w:r>
    </w:p>
    <w:p>
      <w:pPr>
        <w:spacing w:after="160" w:line="276"/>
        <w:jc w:val="left"/>
      </w:pPr>
      <w:r>
        <w:rPr>
          <w:rFonts w:ascii="Arial" w:cs="Arial" w:eastAsia="Arial" w:hAnsi="Arial"/>
          <w:b/>
          <w:bCs/>
          <w:i w:val="false"/>
          <w:iCs w:val="false"/>
          <w:color w:val="2D2D2D"/>
          <w:sz w:val="21"/>
          <w:szCs w:val="21"/>
        </w:rPr>
        <w:t xml:space="preserve">Business Impact Score: 18/25 — Phase 1 Priority</w:t>
      </w:r>
    </w:p>
    <w:p>
      <w:r>
        <w:br w:type="page"/>
      </w:r>
    </w:p>
    <w:p>
      <w:pPr>
        <w:pStyle w:val="Heading1"/>
        <w:spacing w:before="360" w:after="200"/>
      </w:pPr>
      <w:r>
        <w:rPr>
          <w:rFonts w:ascii="Arial" w:cs="Arial" w:eastAsia="Arial" w:hAnsi="Arial"/>
          <w:b/>
          <w:bCs/>
          <w:color w:val="1B3A5C"/>
          <w:sz w:val="32"/>
          <w:szCs w:val="32"/>
        </w:rPr>
        <w:t xml:space="preserve">Implementation Priority</w:t>
      </w:r>
    </w:p>
    <w:p>
      <w:pPr>
        <w:pStyle w:val="Heading2"/>
        <w:spacing w:before="280" w:after="160"/>
      </w:pPr>
      <w:r>
        <w:rPr>
          <w:rFonts w:ascii="Arial" w:cs="Arial" w:eastAsia="Arial" w:hAnsi="Arial"/>
          <w:b/>
          <w:bCs/>
          <w:color w:val="1B3A5C"/>
          <w:sz w:val="26"/>
          <w:szCs w:val="26"/>
        </w:rPr>
        <w:t xml:space="preserve">Phase 1: Now (Within 30 Days)</w:t>
      </w:r>
    </w:p>
    <w:p>
      <w:pPr>
        <w:pStyle w:val="ListParagraph"/>
        <w:numPr>
          <w:ilvl w:val="0"/>
          <w:numId w:val="2"/>
        </w:numPr>
        <w:spacing w:after="100" w:line="276"/>
      </w:pPr>
      <w:r>
        <w:rPr>
          <w:rFonts w:ascii="Arial" w:cs="Arial" w:eastAsia="Arial" w:hAnsi="Arial"/>
          <w:color w:val="2D2D2D"/>
          <w:sz w:val="21"/>
          <w:szCs w:val="21"/>
        </w:rPr>
        <w:t xml:space="preserve">Adopt the belonging architecture philosophy across all internal planning and communication—eliminate loyalty/rewards language from all materials</w:t>
      </w:r>
    </w:p>
    <w:p>
      <w:pPr>
        <w:pStyle w:val="ListParagraph"/>
        <w:numPr>
          <w:ilvl w:val="0"/>
          <w:numId w:val="2"/>
        </w:numPr>
        <w:spacing w:after="100" w:line="276"/>
      </w:pPr>
      <w:r>
        <w:rPr>
          <w:rFonts w:ascii="Arial" w:cs="Arial" w:eastAsia="Arial" w:hAnsi="Arial"/>
          <w:color w:val="2D2D2D"/>
          <w:sz w:val="21"/>
          <w:szCs w:val="21"/>
        </w:rPr>
        <w:t xml:space="preserve">Finalize the LBTA Insider Language System with coaching team input—ratify naming conventions before any progression materials are produced</w:t>
      </w:r>
    </w:p>
    <w:p>
      <w:pPr>
        <w:pStyle w:val="ListParagraph"/>
        <w:numPr>
          <w:ilvl w:val="0"/>
          <w:numId w:val="2"/>
        </w:numPr>
        <w:spacing w:after="100" w:line="276"/>
      </w:pPr>
      <w:r>
        <w:rPr>
          <w:rFonts w:ascii="Arial" w:cs="Arial" w:eastAsia="Arial" w:hAnsi="Arial"/>
          <w:color w:val="2D2D2D"/>
          <w:sz w:val="21"/>
          <w:szCs w:val="21"/>
        </w:rPr>
        <w:t xml:space="preserve">Document earned access criteria for High Performance pathway and communicate transparently to all Junior Development families</w:t>
      </w:r>
    </w:p>
    <w:p>
      <w:pPr>
        <w:pStyle w:val="ListParagraph"/>
        <w:numPr>
          <w:ilvl w:val="0"/>
          <w:numId w:val="2"/>
        </w:numPr>
        <w:spacing w:after="100" w:line="276"/>
      </w:pPr>
      <w:r>
        <w:rPr>
          <w:rFonts w:ascii="Arial" w:cs="Arial" w:eastAsia="Arial" w:hAnsi="Arial"/>
          <w:color w:val="2D2D2D"/>
          <w:sz w:val="21"/>
          <w:szCs w:val="21"/>
        </w:rPr>
        <w:t xml:space="preserve">Implement coach-as-concierge training: brief session covering name-based greeting, contextual memory, and the three-bullet post-session note protocol</w:t>
      </w:r>
    </w:p>
    <w:p>
      <w:pPr>
        <w:pStyle w:val="ListParagraph"/>
        <w:numPr>
          <w:ilvl w:val="0"/>
          <w:numId w:val="2"/>
        </w:numPr>
        <w:spacing w:after="160" w:line="276"/>
      </w:pPr>
      <w:r>
        <w:rPr>
          <w:rFonts w:ascii="Arial" w:cs="Arial" w:eastAsia="Arial" w:hAnsi="Arial"/>
          <w:color w:val="2D2D2D"/>
          <w:sz w:val="21"/>
          <w:szCs w:val="21"/>
        </w:rPr>
        <w:t xml:space="preserve">Identify and designate Founding Families—begin compiling the list from enrollment history</w:t>
      </w:r>
    </w:p>
    <w:p>
      <w:pPr>
        <w:pStyle w:val="Heading2"/>
        <w:spacing w:before="280" w:after="160"/>
      </w:pPr>
      <w:r>
        <w:rPr>
          <w:rFonts w:ascii="Arial" w:cs="Arial" w:eastAsia="Arial" w:hAnsi="Arial"/>
          <w:b/>
          <w:bCs/>
          <w:color w:val="1B3A5C"/>
          <w:sz w:val="26"/>
          <w:szCs w:val="26"/>
        </w:rPr>
        <w:t xml:space="preserve">Phase 2: Next Quarter</w:t>
      </w:r>
    </w:p>
    <w:p>
      <w:pPr>
        <w:pStyle w:val="ListParagraph"/>
        <w:numPr>
          <w:ilvl w:val="0"/>
          <w:numId w:val="2"/>
        </w:numPr>
        <w:spacing w:after="100" w:line="276"/>
      </w:pPr>
      <w:r>
        <w:rPr>
          <w:rFonts w:ascii="Arial" w:cs="Arial" w:eastAsia="Arial" w:hAnsi="Arial"/>
          <w:color w:val="2D2D2D"/>
          <w:sz w:val="21"/>
          <w:szCs w:val="21"/>
        </w:rPr>
        <w:t xml:space="preserve">Design and produce physical recognition materials (letterpress progression cards, earned items for stage transitions)—source local Laguna Beach print/design vendors</w:t>
      </w:r>
    </w:p>
    <w:p>
      <w:pPr>
        <w:pStyle w:val="ListParagraph"/>
        <w:numPr>
          <w:ilvl w:val="0"/>
          <w:numId w:val="2"/>
        </w:numPr>
        <w:spacing w:after="100" w:line="276"/>
      </w:pPr>
      <w:r>
        <w:rPr>
          <w:rFonts w:ascii="Arial" w:cs="Arial" w:eastAsia="Arial" w:hAnsi="Arial"/>
          <w:color w:val="2D2D2D"/>
          <w:sz w:val="21"/>
          <w:szCs w:val="21"/>
        </w:rPr>
        <w:t xml:space="preserve">Plan and execute first seasonal Recognition Gathering (end of Winter 2026 season)</w:t>
      </w:r>
    </w:p>
    <w:p>
      <w:pPr>
        <w:pStyle w:val="ListParagraph"/>
        <w:numPr>
          <w:ilvl w:val="0"/>
          <w:numId w:val="2"/>
        </w:numPr>
        <w:spacing w:after="100" w:line="276"/>
      </w:pPr>
      <w:r>
        <w:rPr>
          <w:rFonts w:ascii="Arial" w:cs="Arial" w:eastAsia="Arial" w:hAnsi="Arial"/>
          <w:color w:val="2D2D2D"/>
          <w:sz w:val="21"/>
          <w:szCs w:val="21"/>
        </w:rPr>
        <w:t xml:space="preserve">Build the Player Portrait template in Airtable—coach-authored narrative with data support from Domains 1–3</w:t>
      </w:r>
    </w:p>
    <w:p>
      <w:pPr>
        <w:pStyle w:val="ListParagraph"/>
        <w:numPr>
          <w:ilvl w:val="0"/>
          <w:numId w:val="2"/>
        </w:numPr>
        <w:spacing w:after="160" w:line="276"/>
      </w:pPr>
      <w:r>
        <w:rPr>
          <w:rFonts w:ascii="Arial" w:cs="Arial" w:eastAsia="Arial" w:hAnsi="Arial"/>
          <w:color w:val="2D2D2D"/>
          <w:sz w:val="21"/>
          <w:szCs w:val="21"/>
        </w:rPr>
        <w:t xml:space="preserve">Launch Founding Family designation with personal communication from Andrew to each qualifying family</w:t>
      </w:r>
    </w:p>
    <w:p>
      <w:pPr>
        <w:pStyle w:val="Heading2"/>
        <w:spacing w:before="280" w:after="160"/>
      </w:pPr>
      <w:r>
        <w:rPr>
          <w:rFonts w:ascii="Arial" w:cs="Arial" w:eastAsia="Arial" w:hAnsi="Arial"/>
          <w:b/>
          <w:bCs/>
          <w:color w:val="1B3A5C"/>
          <w:sz w:val="26"/>
          <w:szCs w:val="26"/>
        </w:rPr>
        <w:t xml:space="preserve">Phase 3: Future (Requires Custom Development)</w:t>
      </w:r>
    </w:p>
    <w:p>
      <w:pPr>
        <w:pStyle w:val="ListParagraph"/>
        <w:numPr>
          <w:ilvl w:val="0"/>
          <w:numId w:val="2"/>
        </w:numPr>
        <w:spacing w:after="100" w:line="276"/>
      </w:pPr>
      <w:r>
        <w:rPr>
          <w:rFonts w:ascii="Arial" w:cs="Arial" w:eastAsia="Arial" w:hAnsi="Arial"/>
          <w:color w:val="2D2D2D"/>
          <w:sz w:val="21"/>
          <w:szCs w:val="21"/>
        </w:rPr>
        <w:t xml:space="preserve">Build the “Your Court” parent-facing digital experience—mobile-first personal dashboard (connects to Domain 6: Data &amp; Visualization)</w:t>
      </w:r>
    </w:p>
    <w:p>
      <w:pPr>
        <w:pStyle w:val="ListParagraph"/>
        <w:numPr>
          <w:ilvl w:val="0"/>
          <w:numId w:val="2"/>
        </w:numPr>
        <w:spacing w:after="100" w:line="276"/>
      </w:pPr>
      <w:r>
        <w:rPr>
          <w:rFonts w:ascii="Arial" w:cs="Arial" w:eastAsia="Arial" w:hAnsi="Arial"/>
          <w:color w:val="2D2D2D"/>
          <w:sz w:val="21"/>
          <w:szCs w:val="21"/>
        </w:rPr>
        <w:t xml:space="preserve">Design earned merchandise program—LBTA-branded items that can only be obtained through progression milestones (connects to Domain 12: Prize &amp; Reward Architecture)</w:t>
      </w:r>
    </w:p>
    <w:p>
      <w:pPr>
        <w:pStyle w:val="ListParagraph"/>
        <w:numPr>
          <w:ilvl w:val="0"/>
          <w:numId w:val="2"/>
        </w:numPr>
        <w:spacing w:after="100" w:line="276"/>
      </w:pPr>
      <w:r>
        <w:rPr>
          <w:rFonts w:ascii="Arial" w:cs="Arial" w:eastAsia="Arial" w:hAnsi="Arial"/>
          <w:color w:val="2D2D2D"/>
          <w:sz w:val="21"/>
          <w:szCs w:val="21"/>
        </w:rPr>
        <w:t xml:space="preserve">Develop alumni/legacy recognition system for long-tenured families and graduated players</w:t>
      </w:r>
    </w:p>
    <w:p>
      <w:pPr>
        <w:pStyle w:val="ListParagraph"/>
        <w:numPr>
          <w:ilvl w:val="0"/>
          <w:numId w:val="2"/>
        </w:numPr>
        <w:spacing w:after="160" w:line="276"/>
      </w:pPr>
      <w:r>
        <w:rPr>
          <w:rFonts w:ascii="Arial" w:cs="Arial" w:eastAsia="Arial" w:hAnsi="Arial"/>
          <w:color w:val="2D2D2D"/>
          <w:sz w:val="21"/>
          <w:szCs w:val="21"/>
        </w:rPr>
        <w:t xml:space="preserve">Create an “LBTA Method” certification for players who complete the full developmental journey—the ultimate earned credential</w:t>
      </w:r>
    </w:p>
    <w:p>
      <w:r>
        <w:br w:type="page"/>
      </w:r>
    </w:p>
    <w:p>
      <w:pPr>
        <w:pStyle w:val="Heading1"/>
        <w:spacing w:before="360" w:after="200"/>
      </w:pPr>
      <w:r>
        <w:rPr>
          <w:rFonts w:ascii="Arial" w:cs="Arial" w:eastAsia="Arial" w:hAnsi="Arial"/>
          <w:b/>
          <w:bCs/>
          <w:color w:val="1B3A5C"/>
          <w:sz w:val="32"/>
          <w:szCs w:val="32"/>
        </w:rPr>
        <w:t xml:space="preserve">Aman Test Checkpoint</w:t>
      </w:r>
    </w:p>
    <w:p>
      <w:pPr>
        <w:spacing w:after="160" w:line="276"/>
        <w:jc w:val="left"/>
      </w:pPr>
      <w:r>
        <w:rPr>
          <w:rFonts w:ascii="Arial" w:cs="Arial" w:eastAsia="Arial" w:hAnsi="Arial"/>
          <w:b w:val="false"/>
          <w:bCs w:val="false"/>
          <w:i w:val="false"/>
          <w:iCs w:val="false"/>
          <w:color w:val="2D2D2D"/>
          <w:sz w:val="21"/>
          <w:szCs w:val="21"/>
        </w:rPr>
        <w:t xml:space="preserve">Every recommendation in this document has been evaluated against the Aman Test: Would this feel at home in a place known for quiet sophistication, earned belonging, and craftsmanship—or does it feel like a corporate wellness program, a kids’ pizza party, or a mobile game?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Aman Test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Business Impact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Belonging Architecture (not loyalty program)</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22/25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Earned Access Architecture</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21/25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LBTA Insider Language System</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19/25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Recognition Rituals</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20/25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Coach-as-Concierge Model</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19/25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Founding Family Designation</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3A5C"/>
                <w:sz w:val="18"/>
                <w:szCs w:val="18"/>
              </w:rPr>
              <w:t xml:space="preserve">18/25</w:t>
            </w:r>
          </w:p>
        </w:tc>
      </w:tr>
    </w:tbl>
    <w:p>
      <w:pPr>
        <w:spacing w:before="120" w:after="0"/>
      </w:pPr>
    </w:p>
    <w:p>
      <w:pPr>
        <w:spacing w:after="160" w:line="276"/>
      </w:pPr>
      <w:r>
        <w:rPr>
          <w:rFonts w:ascii="Arial" w:cs="Arial" w:eastAsia="Arial" w:hAnsi="Arial"/>
          <w:b/>
          <w:bCs/>
          <w:color w:val="2D2D2D"/>
          <w:sz w:val="21"/>
          <w:szCs w:val="21"/>
        </w:rPr>
        <w:t xml:space="preserve">Items explicitly rejected by Aman Test: </w:t>
      </w:r>
      <w:r>
        <w:rPr>
          <w:rFonts w:ascii="Arial" w:cs="Arial" w:eastAsia="Arial" w:hAnsi="Arial"/>
          <w:color w:val="2D2D2D"/>
          <w:sz w:val="21"/>
          <w:szCs w:val="21"/>
        </w:rPr>
        <w:t xml:space="preserve">Digital leaderboards, point-based reward systems, public ranking displays, generic certificates, participation trophies, discount-based retention offers, push notification campaigns, badge/achievement walls, gamified streaks with loss penalties, and any language borrowed from gaming or corporate loyalty programs.</w:t>
      </w:r>
    </w:p>
    <w:p>
      <w:r>
        <w:br w:type="page"/>
      </w:r>
    </w:p>
    <w:p>
      <w:pPr>
        <w:pStyle w:val="Heading1"/>
        <w:spacing w:before="360" w:after="200"/>
      </w:pPr>
      <w:r>
        <w:rPr>
          <w:rFonts w:ascii="Arial" w:cs="Arial" w:eastAsia="Arial" w:hAnsi="Arial"/>
          <w:b/>
          <w:bCs/>
          <w:color w:val="1B3A5C"/>
          <w:sz w:val="32"/>
          <w:szCs w:val="32"/>
        </w:rPr>
        <w:t xml:space="preserve">Key Sources</w:t>
      </w:r>
    </w:p>
    <w:p>
      <w:pPr>
        <w:spacing w:before="200" w:after="120"/>
      </w:pPr>
      <w:r>
        <w:rPr>
          <w:rFonts w:ascii="Arial" w:cs="Arial" w:eastAsia="Arial" w:hAnsi="Arial"/>
          <w:b/>
          <w:bCs/>
          <w:color w:val="C4A265"/>
          <w:sz w:val="22"/>
          <w:szCs w:val="22"/>
        </w:rPr>
        <w:t xml:space="preserve">Aman Resorts</w:t>
      </w:r>
    </w:p>
    <w:p>
      <w:pPr>
        <w:pStyle w:val="ListParagraph"/>
        <w:numPr>
          <w:ilvl w:val="0"/>
          <w:numId w:val="2"/>
        </w:numPr>
        <w:spacing w:after="60" w:line="260"/>
      </w:pPr>
      <w:r>
        <w:rPr>
          <w:rFonts w:ascii="Arial" w:cs="Arial" w:eastAsia="Arial" w:hAnsi="Arial"/>
          <w:color w:val="555555"/>
          <w:sz w:val="19"/>
          <w:szCs w:val="19"/>
        </w:rPr>
        <w:t xml:space="preserve">Martin Roll — Aman brand philosophy and insider community analysis (martinroll.com)</w:t>
      </w:r>
    </w:p>
    <w:p>
      <w:pPr>
        <w:pStyle w:val="ListParagraph"/>
        <w:numPr>
          <w:ilvl w:val="0"/>
          <w:numId w:val="2"/>
        </w:numPr>
        <w:spacing w:after="60" w:line="260"/>
      </w:pPr>
      <w:r>
        <w:rPr>
          <w:rFonts w:ascii="Arial" w:cs="Arial" w:eastAsia="Arial" w:hAnsi="Arial"/>
          <w:color w:val="555555"/>
          <w:sz w:val="19"/>
          <w:szCs w:val="19"/>
        </w:rPr>
        <w:t xml:space="preserve">EHL Hospitality Insights — Aman’s non-advertising strategy and guest devotion (ehl.edu)</w:t>
      </w:r>
    </w:p>
    <w:p>
      <w:pPr>
        <w:pStyle w:val="ListParagraph"/>
        <w:numPr>
          <w:ilvl w:val="0"/>
          <w:numId w:val="2"/>
        </w:numPr>
        <w:spacing w:after="60" w:line="260"/>
      </w:pPr>
      <w:r>
        <w:rPr>
          <w:rFonts w:ascii="Arial" w:cs="Arial" w:eastAsia="Arial" w:hAnsi="Arial"/>
          <w:color w:val="555555"/>
          <w:sz w:val="19"/>
          <w:szCs w:val="19"/>
        </w:rPr>
        <w:t xml:space="preserve">Luxe Digital — “Aman Junkies” phenomenon and brand community formation (luxe.digital)</w:t>
      </w:r>
    </w:p>
    <w:p>
      <w:pPr>
        <w:pStyle w:val="ListParagraph"/>
        <w:numPr>
          <w:ilvl w:val="0"/>
          <w:numId w:val="2"/>
        </w:numPr>
        <w:spacing w:after="120" w:line="260"/>
      </w:pPr>
      <w:r>
        <w:rPr>
          <w:rFonts w:ascii="Arial" w:cs="Arial" w:eastAsia="Arial" w:hAnsi="Arial"/>
          <w:color w:val="555555"/>
          <w:sz w:val="19"/>
          <w:szCs w:val="19"/>
        </w:rPr>
        <w:t xml:space="preserve">World Tourism Forum — Vladislav Doronin interview on Aman philosophy (worldtourismforum.net)</w:t>
      </w:r>
    </w:p>
    <w:p>
      <w:pPr>
        <w:spacing w:before="200" w:after="120"/>
      </w:pPr>
      <w:r>
        <w:rPr>
          <w:rFonts w:ascii="Arial" w:cs="Arial" w:eastAsia="Arial" w:hAnsi="Arial"/>
          <w:b/>
          <w:bCs/>
          <w:color w:val="C4A265"/>
          <w:sz w:val="22"/>
          <w:szCs w:val="22"/>
        </w:rPr>
        <w:t xml:space="preserve">Hermès &amp; Earned Access</w:t>
      </w:r>
    </w:p>
    <w:p>
      <w:pPr>
        <w:pStyle w:val="ListParagraph"/>
        <w:numPr>
          <w:ilvl w:val="0"/>
          <w:numId w:val="2"/>
        </w:numPr>
        <w:spacing w:after="60" w:line="260"/>
      </w:pPr>
      <w:r>
        <w:rPr>
          <w:rFonts w:ascii="Arial" w:cs="Arial" w:eastAsia="Arial" w:hAnsi="Arial"/>
          <w:color w:val="555555"/>
          <w:sz w:val="19"/>
          <w:szCs w:val="19"/>
        </w:rPr>
        <w:t xml:space="preserve">Loyalty &amp; Reward Co — Hermès as the ultimate luxury loyalty program that isn’t a program (loyaltyrewardco.com)</w:t>
      </w:r>
    </w:p>
    <w:p>
      <w:pPr>
        <w:pStyle w:val="ListParagraph"/>
        <w:numPr>
          <w:ilvl w:val="0"/>
          <w:numId w:val="2"/>
        </w:numPr>
        <w:spacing w:after="60" w:line="260"/>
      </w:pPr>
      <w:r>
        <w:rPr>
          <w:rFonts w:ascii="Arial" w:cs="Arial" w:eastAsia="Arial" w:hAnsi="Arial"/>
          <w:color w:val="555555"/>
          <w:sz w:val="19"/>
          <w:szCs w:val="19"/>
        </w:rPr>
        <w:t xml:space="preserve">Colliers Knowledge Leader — Exclusivity economics from Birkin bags to Class A leases (colliers.com)</w:t>
      </w:r>
    </w:p>
    <w:p>
      <w:pPr>
        <w:pStyle w:val="ListParagraph"/>
        <w:numPr>
          <w:ilvl w:val="0"/>
          <w:numId w:val="2"/>
        </w:numPr>
        <w:spacing w:after="60" w:line="260"/>
      </w:pPr>
      <w:r>
        <w:rPr>
          <w:rFonts w:ascii="Arial" w:cs="Arial" w:eastAsia="Arial" w:hAnsi="Arial"/>
          <w:color w:val="555555"/>
          <w:sz w:val="19"/>
          <w:szCs w:val="19"/>
        </w:rPr>
        <w:t xml:space="preserve">Robb Report — Birkin allocation strategy analysis (robbreport.com)</w:t>
      </w:r>
    </w:p>
    <w:p>
      <w:pPr>
        <w:pStyle w:val="ListParagraph"/>
        <w:numPr>
          <w:ilvl w:val="0"/>
          <w:numId w:val="2"/>
        </w:numPr>
        <w:spacing w:after="120" w:line="260"/>
      </w:pPr>
      <w:r>
        <w:rPr>
          <w:rFonts w:ascii="Arial" w:cs="Arial" w:eastAsia="Arial" w:hAnsi="Arial"/>
          <w:color w:val="555555"/>
          <w:sz w:val="19"/>
          <w:szCs w:val="19"/>
        </w:rPr>
        <w:t xml:space="preserve">The Fashion Law — Hermès antitrust litigation on allocation practices (thefashionlaw.com)</w:t>
      </w:r>
    </w:p>
    <w:p>
      <w:pPr>
        <w:spacing w:before="200" w:after="120"/>
      </w:pPr>
      <w:r>
        <w:rPr>
          <w:rFonts w:ascii="Arial" w:cs="Arial" w:eastAsia="Arial" w:hAnsi="Arial"/>
          <w:b/>
          <w:bCs/>
          <w:color w:val="C4A265"/>
          <w:sz w:val="22"/>
          <w:szCs w:val="22"/>
        </w:rPr>
        <w:t xml:space="preserve">Soho House &amp; Membership Design</w:t>
      </w:r>
    </w:p>
    <w:p>
      <w:pPr>
        <w:pStyle w:val="ListParagraph"/>
        <w:numPr>
          <w:ilvl w:val="0"/>
          <w:numId w:val="2"/>
        </w:numPr>
        <w:spacing w:after="60" w:line="260"/>
      </w:pPr>
      <w:r>
        <w:rPr>
          <w:rFonts w:ascii="Arial" w:cs="Arial" w:eastAsia="Arial" w:hAnsi="Arial"/>
          <w:color w:val="555555"/>
          <w:sz w:val="19"/>
          <w:szCs w:val="19"/>
        </w:rPr>
        <w:t xml:space="preserve">Soho House Insider — Membership process and cultural fit criteria (sohohouse.co)</w:t>
      </w:r>
    </w:p>
    <w:p>
      <w:pPr>
        <w:pStyle w:val="ListParagraph"/>
        <w:numPr>
          <w:ilvl w:val="0"/>
          <w:numId w:val="2"/>
        </w:numPr>
        <w:spacing w:after="60" w:line="260"/>
      </w:pPr>
      <w:r>
        <w:rPr>
          <w:rFonts w:ascii="Arial" w:cs="Arial" w:eastAsia="Arial" w:hAnsi="Arial"/>
          <w:color w:val="555555"/>
          <w:sz w:val="19"/>
          <w:szCs w:val="19"/>
        </w:rPr>
        <w:t xml:space="preserve">Willamette Week — “Are You Soho House Material?” investigative piece (wweek.com)</w:t>
      </w:r>
    </w:p>
    <w:p>
      <w:pPr>
        <w:pStyle w:val="ListParagraph"/>
        <w:numPr>
          <w:ilvl w:val="0"/>
          <w:numId w:val="2"/>
        </w:numPr>
        <w:spacing w:after="60" w:line="260"/>
      </w:pPr>
      <w:r>
        <w:rPr>
          <w:rFonts w:ascii="Arial" w:cs="Arial" w:eastAsia="Arial" w:hAnsi="Arial"/>
          <w:color w:val="555555"/>
          <w:sz w:val="19"/>
          <w:szCs w:val="19"/>
        </w:rPr>
        <w:t xml:space="preserve">Canvas Business Model — Soho House target market and membership dynamics (canvasbusinessmodel.com)</w:t>
      </w:r>
    </w:p>
    <w:p>
      <w:pPr>
        <w:pStyle w:val="ListParagraph"/>
        <w:numPr>
          <w:ilvl w:val="0"/>
          <w:numId w:val="2"/>
        </w:numPr>
        <w:spacing w:after="120" w:line="260"/>
      </w:pPr>
      <w:r>
        <w:rPr>
          <w:rFonts w:ascii="Arial" w:cs="Arial" w:eastAsia="Arial" w:hAnsi="Arial"/>
          <w:color w:val="555555"/>
          <w:sz w:val="19"/>
          <w:szCs w:val="19"/>
        </w:rPr>
        <w:t xml:space="preserve">LOCALS Insider — Soho House membership tiers explained (localsinsider.com)</w:t>
      </w:r>
    </w:p>
    <w:p>
      <w:pPr>
        <w:spacing w:before="200" w:after="120"/>
      </w:pPr>
      <w:r>
        <w:rPr>
          <w:rFonts w:ascii="Arial" w:cs="Arial" w:eastAsia="Arial" w:hAnsi="Arial"/>
          <w:b/>
          <w:bCs/>
          <w:color w:val="C4A265"/>
          <w:sz w:val="22"/>
          <w:szCs w:val="22"/>
        </w:rPr>
        <w:t xml:space="preserve">Luxury Loyalty Program Design</w:t>
      </w:r>
    </w:p>
    <w:p>
      <w:pPr>
        <w:pStyle w:val="ListParagraph"/>
        <w:numPr>
          <w:ilvl w:val="0"/>
          <w:numId w:val="2"/>
        </w:numPr>
        <w:spacing w:after="60" w:line="260"/>
      </w:pPr>
      <w:r>
        <w:rPr>
          <w:rFonts w:ascii="Arial" w:cs="Arial" w:eastAsia="Arial" w:hAnsi="Arial"/>
          <w:color w:val="555555"/>
          <w:sz w:val="19"/>
          <w:szCs w:val="19"/>
        </w:rPr>
        <w:t xml:space="preserve">Mastercard Services — The luxury retail marketer’s guide to customer loyalty (mastercardservices.com)</w:t>
      </w:r>
    </w:p>
    <w:p>
      <w:pPr>
        <w:pStyle w:val="ListParagraph"/>
        <w:numPr>
          <w:ilvl w:val="0"/>
          <w:numId w:val="2"/>
        </w:numPr>
        <w:spacing w:after="60" w:line="260"/>
      </w:pPr>
      <w:r>
        <w:rPr>
          <w:rFonts w:ascii="Arial" w:cs="Arial" w:eastAsia="Arial" w:hAnsi="Arial"/>
          <w:color w:val="555555"/>
          <w:sz w:val="19"/>
          <w:szCs w:val="19"/>
        </w:rPr>
        <w:t xml:space="preserve">Oracle Marketing Cloud — 7 Steps to Building a World-Class Luxury Loyalty Program (oracle.com)</w:t>
      </w:r>
    </w:p>
    <w:p>
      <w:pPr>
        <w:pStyle w:val="ListParagraph"/>
        <w:numPr>
          <w:ilvl w:val="0"/>
          <w:numId w:val="2"/>
        </w:numPr>
        <w:spacing w:after="60" w:line="260"/>
      </w:pPr>
      <w:r>
        <w:rPr>
          <w:rFonts w:ascii="Arial" w:cs="Arial" w:eastAsia="Arial" w:hAnsi="Arial"/>
          <w:color w:val="555555"/>
          <w:sz w:val="19"/>
          <w:szCs w:val="19"/>
        </w:rPr>
        <w:t xml:space="preserve">Antavo — Luxury Fashion Loyalty Programs: A Complete Guide (antavo.com)</w:t>
      </w:r>
    </w:p>
    <w:p>
      <w:pPr>
        <w:pStyle w:val="ListParagraph"/>
        <w:numPr>
          <w:ilvl w:val="0"/>
          <w:numId w:val="2"/>
        </w:numPr>
        <w:spacing w:after="60" w:line="260"/>
      </w:pPr>
      <w:r>
        <w:rPr>
          <w:rFonts w:ascii="Arial" w:cs="Arial" w:eastAsia="Arial" w:hAnsi="Arial"/>
          <w:color w:val="555555"/>
          <w:sz w:val="19"/>
          <w:szCs w:val="19"/>
        </w:rPr>
        <w:t xml:space="preserve">LoyaltyLion — Why Luxury Brands Have Embraced Loyalty Programs (loyaltylion.com)</w:t>
      </w:r>
    </w:p>
    <w:p>
      <w:pPr>
        <w:pStyle w:val="ListParagraph"/>
        <w:numPr>
          <w:ilvl w:val="0"/>
          <w:numId w:val="2"/>
        </w:numPr>
        <w:spacing w:after="60" w:line="260"/>
      </w:pPr>
      <w:r>
        <w:rPr>
          <w:rFonts w:ascii="Arial" w:cs="Arial" w:eastAsia="Arial" w:hAnsi="Arial"/>
          <w:color w:val="555555"/>
          <w:sz w:val="19"/>
          <w:szCs w:val="19"/>
        </w:rPr>
        <w:t xml:space="preserve">OptCulture — Deep Dive into Luxury Loyalty Program Design (optculture.com)</w:t>
      </w:r>
    </w:p>
    <w:p>
      <w:pPr>
        <w:pStyle w:val="ListParagraph"/>
        <w:numPr>
          <w:ilvl w:val="0"/>
          <w:numId w:val="2"/>
        </w:numPr>
        <w:spacing w:after="60" w:line="260"/>
      </w:pPr>
      <w:r>
        <w:rPr>
          <w:rFonts w:ascii="Arial" w:cs="Arial" w:eastAsia="Arial" w:hAnsi="Arial"/>
          <w:color w:val="555555"/>
          <w:sz w:val="19"/>
          <w:szCs w:val="19"/>
        </w:rPr>
        <w:t xml:space="preserve">Joy.so — 8 Inspiring Loyalty Programs from Luxury Brands (joy.so)</w:t>
      </w:r>
    </w:p>
    <w:p>
      <w:pPr>
        <w:pStyle w:val="ListParagraph"/>
        <w:numPr>
          <w:ilvl w:val="0"/>
          <w:numId w:val="2"/>
        </w:numPr>
        <w:spacing w:after="60" w:line="260"/>
      </w:pPr>
      <w:r>
        <w:rPr>
          <w:rFonts w:ascii="Arial" w:cs="Arial" w:eastAsia="Arial" w:hAnsi="Arial"/>
          <w:color w:val="555555"/>
          <w:sz w:val="19"/>
          <w:szCs w:val="19"/>
        </w:rPr>
        <w:t xml:space="preserve">White Label Loyalty — Why Luxury Brands Need Loyalty Programs (whitelabel-loyalty.com)</w:t>
      </w:r>
    </w:p>
    <w:p>
      <w:pPr>
        <w:pStyle w:val="ListParagraph"/>
        <w:numPr>
          <w:ilvl w:val="0"/>
          <w:numId w:val="2"/>
        </w:numPr>
        <w:spacing w:after="120" w:line="260"/>
      </w:pPr>
      <w:r>
        <w:rPr>
          <w:rFonts w:ascii="Arial" w:cs="Arial" w:eastAsia="Arial" w:hAnsi="Arial"/>
          <w:color w:val="555555"/>
          <w:sz w:val="19"/>
          <w:szCs w:val="19"/>
        </w:rPr>
        <w:t xml:space="preserve">History of Luxury — Building Loyalty Programs for Luxury Brand Customers (historyofluxury.com)</w:t>
      </w:r>
    </w:p>
    <w:p>
      <w:pPr>
        <w:spacing w:before="200" w:after="120"/>
      </w:pPr>
      <w:r>
        <w:rPr>
          <w:rFonts w:ascii="Arial" w:cs="Arial" w:eastAsia="Arial" w:hAnsi="Arial"/>
          <w:b/>
          <w:bCs/>
          <w:color w:val="C4A265"/>
          <w:sz w:val="22"/>
          <w:szCs w:val="22"/>
        </w:rPr>
        <w:t xml:space="preserve">Premium Brand Case Studies</w:t>
      </w:r>
    </w:p>
    <w:p>
      <w:pPr>
        <w:pStyle w:val="ListParagraph"/>
        <w:numPr>
          <w:ilvl w:val="0"/>
          <w:numId w:val="2"/>
        </w:numPr>
        <w:spacing w:after="60" w:line="260"/>
      </w:pPr>
      <w:r>
        <w:rPr>
          <w:rFonts w:ascii="Arial" w:cs="Arial" w:eastAsia="Arial" w:hAnsi="Arial"/>
          <w:color w:val="555555"/>
          <w:sz w:val="19"/>
          <w:szCs w:val="19"/>
        </w:rPr>
        <w:t xml:space="preserve">American Express — Tier progression psychology, Green through Centurion (thepointsguy.com, nerdwallet.com)</w:t>
      </w:r>
    </w:p>
    <w:p>
      <w:pPr>
        <w:pStyle w:val="ListParagraph"/>
        <w:numPr>
          <w:ilvl w:val="0"/>
          <w:numId w:val="2"/>
        </w:numPr>
        <w:spacing w:after="60" w:line="260"/>
      </w:pPr>
      <w:r>
        <w:rPr>
          <w:rFonts w:ascii="Arial" w:cs="Arial" w:eastAsia="Arial" w:hAnsi="Arial"/>
          <w:color w:val="555555"/>
          <w:sz w:val="19"/>
          <w:szCs w:val="19"/>
        </w:rPr>
        <w:t xml:space="preserve">Delta SkyMiles Medallion — Status aspiration mechanics (delta.com, simpleflying.com)</w:t>
      </w:r>
    </w:p>
    <w:p>
      <w:pPr>
        <w:pStyle w:val="ListParagraph"/>
        <w:numPr>
          <w:ilvl w:val="0"/>
          <w:numId w:val="2"/>
        </w:numPr>
        <w:spacing w:after="60" w:line="260"/>
      </w:pPr>
      <w:r>
        <w:rPr>
          <w:rFonts w:ascii="Arial" w:cs="Arial" w:eastAsia="Arial" w:hAnsi="Arial"/>
          <w:color w:val="555555"/>
          <w:sz w:val="19"/>
          <w:szCs w:val="19"/>
        </w:rPr>
        <w:t xml:space="preserve">Marriott Bonvoy / Hilton Honors — Personalized recognition and emotional loyalty (onemileatatime.com, hitec.org)</w:t>
      </w:r>
    </w:p>
    <w:p>
      <w:pPr>
        <w:pStyle w:val="ListParagraph"/>
        <w:numPr>
          <w:ilvl w:val="0"/>
          <w:numId w:val="2"/>
        </w:numPr>
        <w:spacing w:after="60" w:line="260"/>
      </w:pPr>
      <w:r>
        <w:rPr>
          <w:rFonts w:ascii="Arial" w:cs="Arial" w:eastAsia="Arial" w:hAnsi="Arial"/>
          <w:color w:val="555555"/>
          <w:sz w:val="19"/>
          <w:szCs w:val="19"/>
        </w:rPr>
        <w:t xml:space="preserve">Equinox / E by Equinox — $40K premium wellness positioning (bu.edu, cnbc.com)</w:t>
      </w:r>
    </w:p>
    <w:p>
      <w:pPr>
        <w:pStyle w:val="ListParagraph"/>
        <w:numPr>
          <w:ilvl w:val="0"/>
          <w:numId w:val="2"/>
        </w:numPr>
        <w:spacing w:after="60" w:line="260"/>
      </w:pPr>
      <w:r>
        <w:rPr>
          <w:rFonts w:ascii="Arial" w:cs="Arial" w:eastAsia="Arial" w:hAnsi="Arial"/>
          <w:color w:val="555555"/>
          <w:sz w:val="19"/>
          <w:szCs w:val="19"/>
        </w:rPr>
        <w:t xml:space="preserve">Saks Fifth Avenue SaksFirst — Five-tier luxury loyalty with invitation-only top tier (oracle.com)</w:t>
      </w:r>
    </w:p>
    <w:p>
      <w:pPr>
        <w:pStyle w:val="ListParagraph"/>
        <w:numPr>
          <w:ilvl w:val="0"/>
          <w:numId w:val="2"/>
        </w:numPr>
        <w:spacing w:after="60" w:line="260"/>
      </w:pPr>
      <w:r>
        <w:rPr>
          <w:rFonts w:ascii="Arial" w:cs="Arial" w:eastAsia="Arial" w:hAnsi="Arial"/>
          <w:color w:val="555555"/>
          <w:sz w:val="19"/>
          <w:szCs w:val="19"/>
        </w:rPr>
        <w:t xml:space="preserve">Cartier Privé — Premier client initiative celebrating century-long relationships (optculture.com)</w:t>
      </w:r>
    </w:p>
    <w:p>
      <w:pPr>
        <w:pStyle w:val="ListParagraph"/>
        <w:numPr>
          <w:ilvl w:val="0"/>
          <w:numId w:val="2"/>
        </w:numPr>
        <w:spacing w:after="60" w:line="260"/>
      </w:pPr>
      <w:r>
        <w:rPr>
          <w:rFonts w:ascii="Arial" w:cs="Arial" w:eastAsia="Arial" w:hAnsi="Arial"/>
          <w:color w:val="555555"/>
          <w:sz w:val="19"/>
          <w:szCs w:val="19"/>
        </w:rPr>
        <w:t xml:space="preserve">Hugo Boss Experience — Removal of points/levels in favor of instant universal access (optculture.com)</w:t>
      </w:r>
    </w:p>
    <w:p>
      <w:pPr>
        <w:pStyle w:val="ListParagraph"/>
        <w:numPr>
          <w:ilvl w:val="0"/>
          <w:numId w:val="2"/>
        </w:numPr>
        <w:spacing w:after="60" w:line="260"/>
      </w:pPr>
      <w:r>
        <w:rPr>
          <w:rFonts w:ascii="Arial" w:cs="Arial" w:eastAsia="Arial" w:hAnsi="Arial"/>
          <w:color w:val="555555"/>
          <w:sz w:val="19"/>
          <w:szCs w:val="19"/>
        </w:rPr>
        <w:t xml:space="preserve">Bain &amp; Company — Global luxury market retention economics (bain.com)</w:t>
      </w:r>
    </w:p>
    <w:p>
      <w:pPr>
        <w:spacing w:before="200" w:after="0"/>
      </w:pPr>
    </w:p>
    <w:p>
      <w:pPr>
        <w:pBdr>
          <w:bottom w:val="single" w:color="C4A265" w:sz="4" w:space="1"/>
        </w:pBdr>
        <w:spacing w:before="200" w:after="200"/>
      </w:pPr>
    </w:p>
    <w:p>
      <w:pPr>
        <w:spacing w:before="80" w:after="0"/>
      </w:pPr>
    </w:p>
    <w:p>
      <w:pPr>
        <w:jc w:val="center"/>
      </w:pPr>
      <w:r>
        <w:rPr>
          <w:rFonts w:ascii="Arial" w:cs="Arial" w:eastAsia="Arial" w:hAnsi="Arial"/>
          <w:color w:val="555555"/>
          <w:sz w:val="18"/>
          <w:szCs w:val="18"/>
        </w:rPr>
        <w:t xml:space="preserve">Laguna Beach Tennis Academy — Domain 5 Research Document</w:t>
      </w:r>
    </w:p>
    <w:p>
      <w:pPr>
        <w:spacing w:after="40"/>
        <w:jc w:val="center"/>
      </w:pPr>
      <w:r>
        <w:rPr>
          <w:rFonts w:ascii="Arial" w:cs="Arial" w:eastAsia="Arial" w:hAnsi="Arial"/>
          <w:i/>
          <w:iCs/>
          <w:color w:val="555555"/>
          <w:sz w:val="16"/>
          <w:szCs w:val="16"/>
        </w:rPr>
        <w:t xml:space="preserve">Part of the LBTA Player Progression System — 14-Domain Research Architecture</w:t>
      </w:r>
    </w:p>
    <w:p>
      <w:pPr>
        <w:jc w:val="center"/>
      </w:pPr>
      <w:r>
        <w:rPr>
          <w:rFonts w:ascii="Arial" w:cs="Arial" w:eastAsia="Arial" w:hAnsi="Arial"/>
          <w:color w:val="C4A265"/>
          <w:sz w:val="16"/>
          <w:szCs w:val="16"/>
        </w:rPr>
        <w:t xml:space="preserve">www.lagunabeachtennisacademy.com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2026-02-23T08:06:05.876Z</dcterms:created>
  <dcterms:modified xsi:type="dcterms:W3CDTF">2026-02-23T08:06:05.877Z</dcterms:modified>
</cp:coreProperties>
</file>

<file path=docProps/custom.xml><?xml version="1.0" encoding="utf-8"?>
<Properties xmlns="http://schemas.openxmlformats.org/officeDocument/2006/custom-properties" xmlns:vt="http://schemas.openxmlformats.org/officeDocument/2006/docPropsVTypes"/>
</file>