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36"/>
          <w:szCs w:val="36"/>
        </w:rPr>
        <w:t xml:space="preserve">LAGUNA BEACH TENNIS ACADEMY</w:t>
      </w:r>
    </w:p>
    <w:p>
      <w:pPr>
        <w:spacing w:before="200"/>
        <w:jc w:val="center"/>
      </w:pPr>
      <w:r>
        <w:rPr>
          <w:rFonts w:ascii="Arial" w:cs="Arial" w:eastAsia="Arial" w:hAnsi="Arial"/>
          <w:color w:val="2E75B6"/>
          <w:sz w:val="28"/>
          <w:szCs w:val="28"/>
        </w:rPr>
        <w:t xml:space="preserve">Player Progression System</w:t>
      </w:r>
    </w:p>
    <w:p>
      <w:pPr>
        <w:spacing w:before="400"/>
        <w:jc w:val="center"/>
      </w:pPr>
      <w:r>
        <w:rPr>
          <w:rFonts w:ascii="Arial" w:cs="Arial" w:eastAsia="Arial" w:hAnsi="Arial"/>
          <w:b/>
          <w:bCs/>
          <w:color w:val="1B3A5C"/>
          <w:sz w:val="30"/>
          <w:szCs w:val="30"/>
        </w:rPr>
        <w:t xml:space="preserve">Domain 8: Retention, Psychology &amp; Community Building</w:t>
      </w:r>
    </w:p>
    <w:p>
      <w:pPr>
        <w:spacing w:before="200"/>
        <w:jc w:val="center"/>
      </w:pPr>
      <w:r>
        <w:rPr>
          <w:rFonts w:ascii="Arial" w:cs="Arial" w:eastAsia="Arial" w:hAnsi="Arial"/>
          <w:sz w:val="24"/>
          <w:szCs w:val="24"/>
        </w:rPr>
        <w:t xml:space="preserve">Research Synthesis &amp; Design Recommendations</w:t>
      </w:r>
    </w:p>
    <w:p>
      <w:pPr>
        <w:spacing w:before="200"/>
        <w:jc w:val="center"/>
      </w:pPr>
      <w:r>
        <w:rPr>
          <w:rFonts w:ascii="Arial" w:cs="Arial" w:eastAsia="Arial" w:hAnsi="Arial"/>
          <w:sz w:val="22"/>
          <w:szCs w:val="22"/>
        </w:rPr>
        <w:t xml:space="preserve">February 2026</w:t>
      </w:r>
    </w:p>
    <w:p>
      <w:pPr>
        <w:spacing w:before="600"/>
        <w:jc w:val="center"/>
      </w:pPr>
      <w:r>
        <w:rPr>
          <w:rFonts w:ascii="Arial" w:cs="Arial" w:eastAsia="Arial" w:hAnsi="Arial"/>
          <w:b/>
          <w:bCs/>
          <w:color w:val="CC0000"/>
          <w:sz w:val="20"/>
          <w:szCs w:val="20"/>
        </w:rPr>
        <w:t xml:space="preserve">CONFIDENTIAL — INTERNAL USE ONLY</w:t>
      </w:r>
    </w:p>
    <w:p>
      <w:r>
        <w:br w:type="page"/>
      </w:r>
    </w:p>
    <w:p>
      <w:pPr>
        <w:pStyle w:val="Heading1"/>
      </w:pPr>
      <w:r>
        <w:rPr>
          <w:b/>
          <w:bCs/>
        </w:rPr>
        <w:t xml:space="preserve">Executive Summary</w:t>
      </w:r>
    </w:p>
    <w:p>
      <w:pPr>
        <w:spacing w:after="120"/>
      </w:pPr>
      <w:r>
        <w:rPr>
          <w:rFonts w:ascii="Arial" w:cs="Arial" w:eastAsia="Arial" w:hAnsi="Arial"/>
          <w:sz w:val="22"/>
          <w:szCs w:val="22"/>
        </w:rPr>
        <w:t xml:space="preserve">This document synthesizes research from Self-Determination Theory, youth sport persistence studies, fitness industry retention economics, community psychology, and ceremony design to establish the psychological and structural infrastructure that keeps LBTA families engaged across years rather than months. The central finding is unambiguous: retention is not a feature to be added but the emergent property of an environment that continuously satisfies three basic psychological needs—autonomy, competence, and relatedness.</w:t>
      </w:r>
    </w:p>
    <w:p>
      <w:pPr>
        <w:spacing w:after="120"/>
      </w:pPr>
      <w:r>
        <w:rPr>
          <w:rFonts w:ascii="Arial" w:cs="Arial" w:eastAsia="Arial" w:hAnsi="Arial"/>
          <w:sz w:val="22"/>
          <w:szCs w:val="22"/>
        </w:rPr>
        <w:t xml:space="preserve">The economics are decisive. Acquiring a new LBTA family costs 5–10x more than retaining an existing one. A 5% retention improvement generates 25–95% profit increase (Bain &amp; Company). With 695 active students and average per-student revenue of ~$415/year, moving retention from 72% to 82% would add approximately $28,000–$49,000 in annual revenue before accounting for the referral multiplier that community-retained families generate. Fitness industry data shows the critical churn window sits at 3–6 months: 15% of members leave within 90 days, 35% by six months, and 57% never rejoin after their first year. LBTA’s seasonal structure (quarterly enrollment, summer disruption) creates natural exit points at exactly these intervals.</w:t>
      </w:r>
    </w:p>
    <w:p>
      <w:pPr>
        <w:spacing w:after="120"/>
      </w:pPr>
      <w:r>
        <w:rPr>
          <w:rFonts w:ascii="Arial" w:cs="Arial" w:eastAsia="Arial" w:hAnsi="Arial"/>
          <w:sz w:val="22"/>
          <w:szCs w:val="22"/>
        </w:rPr>
        <w:t xml:space="preserve">The research identifies four design primitives that separate sustainable retention architectures from disposable loyalty programs: (1) continuous SDT need satisfaction through coaching behaviors and program structure, (2) visible progress systems that make competence growth concrete and shareable, (3) community infrastructure that creates peer relationships independent of the service transaction, and (4) milestone celebrations that mark progression with emotional weight proportional to difficulty. These four primitives compose into a retention flywheel: satisfied needs produce perceived competence, which generates visible progress, which attracts community recognition, which deepens belonging, which sustains enrollment through natural exit points.</w:t>
      </w:r>
    </w:p>
    <w:p>
      <w:r>
        <w:br w:type="page"/>
      </w:r>
    </w:p>
    <w:p>
      <w:pPr>
        <w:pStyle w:val="Heading1"/>
      </w:pPr>
      <w:r>
        <w:rPr>
          <w:b/>
          <w:bCs/>
        </w:rPr>
        <w:t xml:space="preserve">1. Self-Determination Theory as Retention Architecture</w:t>
      </w:r>
    </w:p>
    <w:p>
      <w:pPr>
        <w:pStyle w:val="Heading2"/>
      </w:pPr>
      <w:r>
        <w:rPr>
          <w:b/>
          <w:bCs/>
        </w:rPr>
        <w:t xml:space="preserve">1.1 The Three Basic Needs</w:t>
      </w:r>
    </w:p>
    <w:p>
      <w:pPr>
        <w:spacing w:after="120"/>
      </w:pPr>
      <w:r>
        <w:rPr>
          <w:rFonts w:ascii="Arial" w:cs="Arial" w:eastAsia="Arial" w:hAnsi="Arial"/>
          <w:sz w:val="22"/>
          <w:szCs w:val="22"/>
        </w:rPr>
        <w:t xml:space="preserve">Self-Determination Theory (Ryan &amp; Deci, 2017) identifies three innate psychological needs whose satisfaction determines whether participation persists or collapses. These are not preferences—they are requirements. When all three are met, athletes maintain self-determined motivation and remain in sport. When any one is chronically frustrated, dropout becomes probabilistic rather than possible.</w:t>
      </w:r>
    </w:p>
    <w:p>
      <w:pPr>
        <w:spacing w:after="120"/>
      </w:pPr>
      <w:r>
        <w:rPr>
          <w:rFonts w:ascii="Arial" w:cs="Arial" w:eastAsia="Arial" w:hAnsi="Arial"/>
          <w:b/>
          <w:bCs/>
          <w:sz w:val="22"/>
          <w:szCs w:val="22"/>
        </w:rPr>
        <w:t xml:space="preserve">Autonomy: </w:t>
      </w:r>
      <w:r>
        <w:rPr>
          <w:rFonts w:ascii="Arial" w:cs="Arial" w:eastAsia="Arial" w:hAnsi="Arial"/>
          <w:sz w:val="22"/>
          <w:szCs w:val="22"/>
        </w:rPr>
        <w:t xml:space="preserve">The need to experience actions as self-endorsed and volitional. In tennis, this means players choose to practice, compete, and pursue goals because the activity feels self-directed. A meta-analysis by Mossman et al. (2022) found autonomy-supportive coaching positively associated with all three need satisfactions, while controlling coaching behaviors correlated only with need frustration. The implication for LBTA: coaching style is not a personality trait—it is a retention variable.</w:t>
      </w:r>
    </w:p>
    <w:p>
      <w:pPr>
        <w:spacing w:after="120"/>
      </w:pPr>
      <w:r>
        <w:rPr>
          <w:rFonts w:ascii="Arial" w:cs="Arial" w:eastAsia="Arial" w:hAnsi="Arial"/>
          <w:b/>
          <w:bCs/>
          <w:sz w:val="22"/>
          <w:szCs w:val="22"/>
        </w:rPr>
        <w:t xml:space="preserve">Competence: </w:t>
      </w:r>
      <w:r>
        <w:rPr>
          <w:rFonts w:ascii="Arial" w:cs="Arial" w:eastAsia="Arial" w:hAnsi="Arial"/>
          <w:sz w:val="22"/>
          <w:szCs w:val="22"/>
        </w:rPr>
        <w:t xml:space="preserve">The need to feel effective and experience mastery. This is the strongest single psychological predictor of youth sport persistence. Children with higher perceived athletic competence report greater satisfaction, enjoyment, and emotional well-being, and are significantly less likely to drop out than those with lower perceived competence (Balish et al., 2014). Perceived competence also correlates strongly with perceived and actual social acceptance (r = .41–.47)—competent players are better connected players.</w:t>
      </w:r>
    </w:p>
    <w:p>
      <w:pPr>
        <w:spacing w:after="120"/>
      </w:pPr>
      <w:r>
        <w:rPr>
          <w:rFonts w:ascii="Arial" w:cs="Arial" w:eastAsia="Arial" w:hAnsi="Arial"/>
          <w:b/>
          <w:bCs/>
          <w:sz w:val="22"/>
          <w:szCs w:val="22"/>
        </w:rPr>
        <w:t xml:space="preserve">Relatedness: </w:t>
      </w:r>
      <w:r>
        <w:rPr>
          <w:rFonts w:ascii="Arial" w:cs="Arial" w:eastAsia="Arial" w:hAnsi="Arial"/>
          <w:sz w:val="22"/>
          <w:szCs w:val="22"/>
        </w:rPr>
        <w:t xml:space="preserve">The need to feel socially connected, cared for, and significant to others. This maps directly to LBTA’s “Belonging” pillar. A study of 1,137 athletes found individual sport athletes (including tennis) score higher in autonomy satisfaction but lower in relatedness satisfaction compared to team sport athletes (Van Yperen, 2025). Tennis academies must engineer relatedness deliberately—it does not emerge from the sport’s structure the way it does in team sports.</w:t>
      </w:r>
    </w:p>
    <w:p>
      <w:pPr>
        <w:pStyle w:val="Heading2"/>
      </w:pPr>
      <w:r>
        <w:rPr>
          <w:b/>
          <w:bCs/>
        </w:rPr>
        <w:t xml:space="preserve">1.2 Need Satisfaction Decay and the Continuous Support Requirement</w:t>
      </w:r>
    </w:p>
    <w:p>
      <w:pPr>
        <w:spacing w:after="120"/>
      </w:pPr>
      <w:r>
        <w:rPr>
          <w:rFonts w:ascii="Arial" w:cs="Arial" w:eastAsia="Arial" w:hAnsi="Arial"/>
          <w:sz w:val="22"/>
          <w:szCs w:val="22"/>
        </w:rPr>
        <w:t xml:space="preserve">A critical finding from the Mossman et al. meta-analysis: the positive effects of autonomy support on need satisfaction decay over time. Time-lag analysis showed that autonomy satisfaction decreased (b = −0.032), competence satisfaction decreased (b = −0.039), and relatedness satisfaction decreased (b = −0.024) as months increased between autonomy-supportive coaching and measurement. The rate of decay for competence was steepest—the feeling of mastery erodes fastest without reinforcement.</w:t>
      </w:r>
    </w:p>
    <w:p>
      <w:pPr>
        <w:spacing w:after="120"/>
      </w:pPr>
      <w:r>
        <w:rPr>
          <w:rFonts w:ascii="Arial" w:cs="Arial" w:eastAsia="Arial" w:hAnsi="Arial"/>
          <w:sz w:val="22"/>
          <w:szCs w:val="22"/>
        </w:rPr>
        <w:t xml:space="preserve">This has profound structural implications. Retention is not a problem solved by a single intervention (an onboarding sequence, a welcome gift, a first-month check-in). It requires continuous need support across the entire tenure of enrollment. Every session, every communication, every interaction either deposits into or withdraws from three psychological accounts. LBTA’s retention system must be ambient—woven into daily operations—not episodic.</w:t>
      </w:r>
    </w:p>
    <w:p>
      <w:pPr>
        <w:pStyle w:val="Heading2"/>
      </w:pPr>
      <w:r>
        <w:rPr>
          <w:b/>
          <w:bCs/>
        </w:rPr>
        <w:t xml:space="preserve">1.3 Individual vs. Team Sport SDT Dynamics</w:t>
      </w:r>
    </w:p>
    <w:p>
      <w:pPr>
        <w:spacing w:after="120"/>
      </w:pPr>
      <w:r>
        <w:rPr>
          <w:rFonts w:ascii="Arial" w:cs="Arial" w:eastAsia="Arial" w:hAnsi="Arial"/>
          <w:sz w:val="22"/>
          <w:szCs w:val="22"/>
        </w:rPr>
        <w:t xml:space="preserve">Van Yperen’s cross-sport comparison (N = 1,137) reveals a structural challenge specific to tennis academies. Individual sport athletes derive motivation primarily through autonomy and competence—they feel ownership of their development and satisfaction from personal mastery. Team sport athletes derive motivation primarily through relatedness—belonging, shared identity, collective purpose. Both pathways produce equivalent total autonomous motivation, but the sources differ fundamentally.</w:t>
      </w:r>
    </w:p>
    <w:p>
      <w:pPr>
        <w:spacing w:after="120"/>
      </w:pPr>
      <w:r>
        <w:rPr>
          <w:rFonts w:ascii="Arial" w:cs="Arial" w:eastAsia="Arial" w:hAnsi="Arial"/>
          <w:sz w:val="22"/>
          <w:szCs w:val="22"/>
        </w:rPr>
        <w:t xml:space="preserve">LBTA operates at the intersection. Junior Team Tennis and group classes create team-sport dynamics. Private lessons and individual competition create individual-sport dynamics. The retention architecture must support both pathways simultaneously, which means LBTA cannot rely on community alone (it will frustrate autonomy-oriented players) or individual progress alone (it will starve relatedness-oriented players). The system must offer both and let families self-select.</w:t>
      </w:r>
    </w:p>
    <w:p>
      <w:pPr>
        <w:pStyle w:val="Heading2"/>
      </w:pPr>
      <w:r>
        <w:rPr>
          <w:b/>
          <w:bCs/>
        </w:rPr>
        <w:t xml:space="preserve">1.4 The Dropout Mechanism</w:t>
      </w:r>
    </w:p>
    <w:p>
      <w:pPr>
        <w:spacing w:after="120"/>
      </w:pPr>
      <w:r>
        <w:rPr>
          <w:rFonts w:ascii="Arial" w:cs="Arial" w:eastAsia="Arial" w:hAnsi="Arial"/>
          <w:sz w:val="22"/>
          <w:szCs w:val="22"/>
        </w:rPr>
        <w:t xml:space="preserve">A study of 492 soccer players aged 13–17 (Calvo et al., 2010) established the dropout mechanism with clarity: athletes who left sport showed higher amotivation, external regulation, and introjected regulation, combined with lower satisfaction of relatedness and autonomy needs. Competence satisfaction alone was insufficient to prevent dropout—all three needs must be met.</w:t>
      </w:r>
    </w:p>
    <w:p>
      <w:pPr>
        <w:spacing w:after="120"/>
      </w:pPr>
      <w:r>
        <w:rPr>
          <w:rFonts w:ascii="Arial" w:cs="Arial" w:eastAsia="Arial" w:hAnsi="Arial"/>
          <w:sz w:val="22"/>
          <w:szCs w:val="22"/>
        </w:rPr>
        <w:t xml:space="preserve">A longitudinal mediation model (N = 252 youth soccer, three measurement waves) confirmed the causal pathway: coach autonomy support leads to need satisfaction, which leads to engagement, through a mediated pathway. Critically, the study found a positive reciprocal association between need satisfaction and engagement over time—a compounding effect where satisfied needs produce engagement, which produces further need satisfaction. This is the retention flywheel: once spinning, it accelerates. The design challenge is getting it spinning in the first place.</w:t>
      </w:r>
    </w:p>
    <w:p>
      <w:r>
        <w:br w:type="page"/>
      </w:r>
    </w:p>
    <w:p>
      <w:pPr>
        <w:pStyle w:val="Heading1"/>
      </w:pPr>
      <w:r>
        <w:rPr>
          <w:b/>
          <w:bCs/>
        </w:rPr>
        <w:t xml:space="preserve">2. Perceived Competence as the Primary Retention Lever</w:t>
      </w:r>
    </w:p>
    <w:p>
      <w:pPr>
        <w:pStyle w:val="Heading2"/>
      </w:pPr>
      <w:r>
        <w:rPr>
          <w:b/>
          <w:bCs/>
        </w:rPr>
        <w:t xml:space="preserve">2.1 The Competence–Retention Link</w:t>
      </w:r>
    </w:p>
    <w:p>
      <w:pPr>
        <w:spacing w:after="120"/>
      </w:pPr>
      <w:r>
        <w:rPr>
          <w:rFonts w:ascii="Arial" w:cs="Arial" w:eastAsia="Arial" w:hAnsi="Arial"/>
          <w:sz w:val="22"/>
          <w:szCs w:val="22"/>
        </w:rPr>
        <w:t xml:space="preserve">Across the research literature, perceived competence emerges as the single most actionable retention variable for a tennis academy. A study comparing persistent versus dropout athletes (Sarrazin et al., 2002) found persistent players perceived themselves as significantly more competent, autonomous, and related than dropout players. A two-year longitudinal study of adolescents found that students with more encouragement, higher perceived competence, and higher motives spent more time in organized sports after one year—and these relationships remained stable during the first years of secondary education.</w:t>
      </w:r>
    </w:p>
    <w:p>
      <w:pPr>
        <w:spacing w:after="120"/>
      </w:pPr>
      <w:r>
        <w:rPr>
          <w:rFonts w:ascii="Arial" w:cs="Arial" w:eastAsia="Arial" w:hAnsi="Arial"/>
          <w:sz w:val="22"/>
          <w:szCs w:val="22"/>
        </w:rPr>
        <w:t xml:space="preserve">The design implication: LBTA must make competence growth visible, concrete, and frequent. A player who cannot see their own improvement will eventually lose the perception of competence regardless of actual skill development. The gap between actual and perceived competence is where retention is lost.</w:t>
      </w:r>
    </w:p>
    <w:p>
      <w:pPr>
        <w:pStyle w:val="Heading2"/>
      </w:pPr>
      <w:r>
        <w:rPr>
          <w:b/>
          <w:bCs/>
        </w:rPr>
        <w:t xml:space="preserve">2.2 The Quality Sport Experience Framework</w:t>
      </w:r>
    </w:p>
    <w:p>
      <w:pPr>
        <w:spacing w:after="120"/>
      </w:pPr>
      <w:r>
        <w:rPr>
          <w:rFonts w:ascii="Arial" w:cs="Arial" w:eastAsia="Arial" w:hAnsi="Arial"/>
          <w:sz w:val="22"/>
          <w:szCs w:val="22"/>
        </w:rPr>
        <w:t xml:space="preserve">A qualitative study of 53 athletes and stakeholders (2023) identified four themes constituting a quality sport experience: (1) fun and enjoyment as the primary motivator, (2) opportunity for sport skill development and visible progress, (3) social support and sense of belonging, and (4) open and effective communication. Coaches were identified as the primary social agent for structuring this environment.</w:t>
      </w:r>
    </w:p>
    <w:p>
      <w:pPr>
        <w:spacing w:after="120"/>
      </w:pPr>
      <w:r>
        <w:rPr>
          <w:rFonts w:ascii="Arial" w:cs="Arial" w:eastAsia="Arial" w:hAnsi="Arial"/>
          <w:sz w:val="22"/>
          <w:szCs w:val="22"/>
        </w:rPr>
        <w:t xml:space="preserve">Critically, fun was found to be interdependent with the other domains—not independent of them. Enjoyment is not a separate ingredient added alongside skill development and belonging. It emerges from programming tailored to skill levels (incremental challenges), social elements (peer connection), and communication quality (feeling heard). Fun is the output of a well-designed system, not an input to be injected. LBTA should never design “fun activities” divorced from skill development—the research says that’s backwards.</w:t>
      </w:r>
    </w:p>
    <w:p>
      <w:pPr>
        <w:pStyle w:val="Heading2"/>
      </w:pPr>
      <w:r>
        <w:rPr>
          <w:b/>
          <w:bCs/>
        </w:rPr>
        <w:t xml:space="preserve">2.3 Making Progress Visible: System Design</w:t>
      </w:r>
    </w:p>
    <w:p>
      <w:pPr>
        <w:spacing w:after="120"/>
      </w:pPr>
      <w:r>
        <w:rPr>
          <w:rFonts w:ascii="Arial" w:cs="Arial" w:eastAsia="Arial" w:hAnsi="Arial"/>
          <w:sz w:val="22"/>
          <w:szCs w:val="22"/>
        </w:rPr>
        <w:t xml:space="preserve">The research converges on specific mechanisms for translating actual competence growth into perceived competence: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LBTA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Before/After 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proof of skill change over time; shareable, concrete, undeniable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skill snapshots: forehand, serve, rally. 30-second comparison clips sent to parents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 Dashboards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Quantified progress on dimensions that matter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Rally count, serve speed, UTR movement, fitness test scores displayed in parent portal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Level Advancement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Discrete progression markers with clear criteria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ball progression, program tier advancement, achievement wristband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Coach Feedback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Expert attribution of growth to specific behaviors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notes highlighting what improved and why; quarterly progress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Comparison (Careful)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Seeing similar-ability peers succeed signals possibility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JTT team context, group skill stations, age-appropriate challenges—never public rankings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Records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bests create intrinsic competition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 speed PR board (opt-in), rally length records, fitness test improvements</w:t>
            </w:r>
          </w:p>
        </w:tc>
      </w:tr>
    </w:tbl>
    <w:p>
      <w:pPr>
        <w:spacing w:after="120"/>
      </w:pPr>
      <w:r>
        <w:rPr>
          <w:rFonts w:ascii="Arial" w:cs="Arial" w:eastAsia="Arial" w:hAnsi="Arial"/>
          <w:sz w:val="22"/>
          <w:szCs w:val="22"/>
        </w:rPr>
        <w:t xml:space="preserve"/>
      </w:r>
    </w:p>
    <w:p>
      <w:pPr>
        <w:pStyle w:val="Heading2"/>
      </w:pPr>
      <w:r>
        <w:rPr>
          <w:b/>
          <w:bCs/>
        </w:rPr>
        <w:t xml:space="preserve">2.4 Enjoyment as Variance Driver</w:t>
      </w:r>
    </w:p>
    <w:p>
      <w:pPr>
        <w:spacing w:after="120"/>
      </w:pPr>
      <w:r>
        <w:rPr>
          <w:rFonts w:ascii="Arial" w:cs="Arial" w:eastAsia="Arial" w:hAnsi="Arial"/>
          <w:sz w:val="22"/>
          <w:szCs w:val="22"/>
        </w:rPr>
        <w:t xml:space="preserve">Research on sport commitment predictors in youth athletes found that enjoyment accounts for 43% of variance in sport commitment—more than any other factor including parental encouragement, friendship quality, or perceived physical ability. This single finding should discipline all LBTA programming decisions: if a session design, policy change, or communication practice reduces enjoyment, it must carry an extraordinary justification to survive review.</w:t>
      </w:r>
    </w:p>
    <w:p>
      <w:r>
        <w:br w:type="page"/>
      </w:r>
    </w:p>
    <w:p>
      <w:pPr>
        <w:pStyle w:val="Heading1"/>
      </w:pPr>
      <w:r>
        <w:rPr>
          <w:b/>
          <w:bCs/>
        </w:rPr>
        <w:t xml:space="preserve">3. Retention Economics: The Financial Case</w:t>
      </w:r>
    </w:p>
    <w:p>
      <w:pPr>
        <w:pStyle w:val="Heading2"/>
      </w:pPr>
      <w:r>
        <w:rPr>
          <w:b/>
          <w:bCs/>
        </w:rPr>
        <w:t xml:space="preserve">3.1 Acquisition vs. Retention Cost Structure</w:t>
      </w:r>
    </w:p>
    <w:p>
      <w:pPr>
        <w:spacing w:after="120"/>
      </w:pPr>
      <w:r>
        <w:rPr>
          <w:rFonts w:ascii="Arial" w:cs="Arial" w:eastAsia="Arial" w:hAnsi="Arial"/>
          <w:sz w:val="22"/>
          <w:szCs w:val="22"/>
        </w:rPr>
        <w:t xml:space="preserve">The foundational retention economics established by Bain &amp; Company and validated across the fitness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60"/>
        <w:gridCol w:w="280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customer acquisition cost vs. retention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5–10x more expensive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Bain &amp; Company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Retention rate improvement → profit impact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increase → 25–95% profit increase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Harvard Business Review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Selling to existing customer success 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Invesp</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Selling to new prospect success rate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health club annual attrition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IHRSA</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trainer annual client turnover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IHRSA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Members staying 12+ months with personalized engagement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HFA Show 2025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LTV increase with retention focus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Hapana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from referrals by engaged members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Hapana</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Retention improvement with personalized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average</w:t>
            </w:r>
          </w:p>
        </w:tc>
      </w:tr>
    </w:tbl>
    <w:p>
      <w:pPr>
        <w:spacing w:after="120"/>
      </w:pPr>
      <w:r>
        <w:rPr>
          <w:rFonts w:ascii="Arial" w:cs="Arial" w:eastAsia="Arial" w:hAnsi="Arial"/>
          <w:sz w:val="22"/>
          <w:szCs w:val="22"/>
        </w:rPr>
        <w:t xml:space="preserve"/>
      </w:r>
    </w:p>
    <w:p>
      <w:pPr>
        <w:pStyle w:val="Heading2"/>
      </w:pPr>
      <w:r>
        <w:rPr>
          <w:b/>
          <w:bCs/>
        </w:rPr>
        <w:t xml:space="preserve">3.2 The Churn Timeline</w:t>
      </w:r>
    </w:p>
    <w:p>
      <w:pPr>
        <w:spacing w:after="120"/>
      </w:pPr>
      <w:r>
        <w:rPr>
          <w:rFonts w:ascii="Arial" w:cs="Arial" w:eastAsia="Arial" w:hAnsi="Arial"/>
          <w:sz w:val="22"/>
          <w:szCs w:val="22"/>
        </w:rPr>
        <w:t xml:space="preserve">Data from HFA Show 2025 establishes the critical churn windows that LBTA’s retention system must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Churn Rate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LBTA Equivalent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Intervention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leave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quarter of enrollment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sequence, coach relationship, first visible progress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 months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cumulative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 of first season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Re-enrollment trigger, progress report, community integration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cumulative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 season completion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review, achievement celebration, family deepening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months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57% don’t rejoin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Year-over-year retention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Identity integration, leadership roles, multi-program engagement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LBTA’s seasonal structure (quarterly enrollment, summer schedule changes) creates exit points that align precisely with these churn windows. The 3-month mark coincides with end-of-quarter. The 6-month mark coincides with season transitions. Summer disruption hits at the 9–12 month window. Every natural transition point is a retention risk point.</w:t>
      </w:r>
    </w:p>
    <w:p>
      <w:pPr>
        <w:pStyle w:val="Heading2"/>
      </w:pPr>
      <w:r>
        <w:rPr>
          <w:b/>
          <w:bCs/>
        </w:rPr>
        <w:t xml:space="preserve">3.3 LBTA-Specific Retention Revenue Model</w:t>
      </w:r>
    </w:p>
    <w:p>
      <w:pPr>
        <w:spacing w:after="120"/>
      </w:pPr>
      <w:r>
        <w:rPr>
          <w:rFonts w:ascii="Arial" w:cs="Arial" w:eastAsia="Arial" w:hAnsi="Arial"/>
          <w:sz w:val="22"/>
          <w:szCs w:val="22"/>
        </w:rPr>
        <w:t xml:space="preserve">Current state: 695 students, ~$415 average annual revenue per student, estimated 72% annual retention (industry-adjusted for youth sport). Revenue at risk from churn: ~$82,000/year. Revenue recoverable through 10-point retention improvement: ~$28,000–$49,000/year. This does not include: increased per-student revenue from program advancement (30–100% uplift per tier), referral revenue from retained families (90% of consumers trust friend recommendations), reduced marketing spend from lower acquisition dependency, or family lifetime value extension across siblings and multi-year enrollment.</w:t>
      </w:r>
    </w:p>
    <w:p>
      <w:r>
        <w:br w:type="page"/>
      </w:r>
    </w:p>
    <w:p>
      <w:pPr>
        <w:pStyle w:val="Heading1"/>
      </w:pPr>
      <w:r>
        <w:rPr>
          <w:b/>
          <w:bCs/>
        </w:rPr>
        <w:t xml:space="preserve">4. Community Infrastructure Design</w:t>
      </w:r>
    </w:p>
    <w:p>
      <w:pPr>
        <w:pStyle w:val="Heading2"/>
      </w:pPr>
      <w:r>
        <w:rPr>
          <w:b/>
          <w:bCs/>
        </w:rPr>
        <w:t xml:space="preserve">4.1 Community-Based vs. Transactional Retention</w:t>
      </w:r>
    </w:p>
    <w:p>
      <w:pPr>
        <w:spacing w:after="120"/>
      </w:pPr>
      <w:r>
        <w:rPr>
          <w:rFonts w:ascii="Arial" w:cs="Arial" w:eastAsia="Arial" w:hAnsi="Arial"/>
          <w:sz w:val="22"/>
          <w:szCs w:val="22"/>
        </w:rPr>
        <w:t xml:space="preserve">The research distinguishes two fundamentally different retention models. Transactional retention operates through switching costs, contracts, and inertia—the relationship is limited to service exchange and churn occurs when a better deal appears. Community-based retention operates through social bonds, shared identity, and belonging—members stay because the community itself has become part of their life, independent of the service.</w:t>
      </w:r>
    </w:p>
    <w:p>
      <w:pPr>
        <w:spacing w:after="120"/>
      </w:pPr>
      <w:r>
        <w:rPr>
          <w:rFonts w:ascii="Arial" w:cs="Arial" w:eastAsia="Arial" w:hAnsi="Arial"/>
          <w:sz w:val="22"/>
          <w:szCs w:val="22"/>
        </w:rPr>
        <w:t xml:space="preserve">Community-based retention produces: more stability during economic downturns, higher lifetime value per customer, lower price sensitivity, organic referral generation, and self-reinforcing growth (community attracts like-minded members). The CrossFit “box culture” is the clearest fitness-industry exemplar—members identify as CrossFitters, share language, rituals, and inside references, and recruit friends to join the community rather than the gym.</w:t>
      </w:r>
    </w:p>
    <w:p>
      <w:pPr>
        <w:spacing w:after="120"/>
      </w:pPr>
      <w:r>
        <w:rPr>
          <w:rFonts w:ascii="Arial" w:cs="Arial" w:eastAsia="Arial" w:hAnsi="Arial"/>
          <w:sz w:val="22"/>
          <w:szCs w:val="22"/>
        </w:rPr>
        <w:t xml:space="preserve">LBTA’s Laguna Beach positioning and “Belonging” pillar are structural advantages for community-based retention. The academy is not a franchise gym competing on price—it is a place-based institution with a specific identity. The design challenge is operationalizing that identity into repeatable community infrastructure.</w:t>
      </w:r>
    </w:p>
    <w:p>
      <w:pPr>
        <w:pStyle w:val="Heading2"/>
      </w:pPr>
      <w:r>
        <w:rPr>
          <w:b/>
          <w:bCs/>
        </w:rPr>
        <w:t xml:space="preserve">4.2 SDT-Aligned Community Primitives</w:t>
      </w:r>
    </w:p>
    <w:p>
      <w:pPr>
        <w:spacing w:after="120"/>
      </w:pPr>
      <w:r>
        <w:rPr>
          <w:rFonts w:ascii="Arial" w:cs="Arial" w:eastAsia="Arial" w:hAnsi="Arial"/>
          <w:sz w:val="22"/>
          <w:szCs w:val="22"/>
        </w:rPr>
        <w:t xml:space="preserve">The research literature identifies specific autonomy, competence, and relatedness supports that coaches and programs should provide. These are not suggestions—they are the behavioral infrastructure of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Coach/Program Behavior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LBTA Implementation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choice within boundaries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Players choose warm-up drill, practice focus area, or challenge level within session structure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Autonomy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Seek athlete input on goals and methods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Quarterly goal-setting conversations; player input on JTT lineup preferences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Autonomy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noncontrolling language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training: “You could try…” vs. “You need to…”; rationale-based instruction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Competence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 structure and clear expectations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plans with stated objectives; skill progression criteria posted and explained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informational (not evaluative) feedback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describes what happened and why, not judgment of the player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Competence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 optimal challenge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Drill difficulty matched to ability; stretch goals just beyond current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 authentic interest in person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names, interests, school activities; ask about life beyond tennis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Relatedness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social connections between players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Partner rotations, team challenges, peer teaching opportunities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Relatedness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shared group experiences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End-of-session rituals, team cheers, seasonal celebrations</w:t>
            </w:r>
          </w:p>
        </w:tc>
      </w:tr>
    </w:tbl>
    <w:p>
      <w:pPr>
        <w:spacing w:after="120"/>
      </w:pPr>
      <w:r>
        <w:rPr>
          <w:rFonts w:ascii="Arial" w:cs="Arial" w:eastAsia="Arial" w:hAnsi="Arial"/>
          <w:sz w:val="22"/>
          <w:szCs w:val="22"/>
        </w:rPr>
        <w:t xml:space="preserve"/>
      </w:r>
    </w:p>
    <w:p>
      <w:pPr>
        <w:pStyle w:val="Heading2"/>
      </w:pPr>
      <w:r>
        <w:rPr>
          <w:b/>
          <w:bCs/>
        </w:rPr>
        <w:t xml:space="preserve">4.3 Community Events Beyond the Court</w:t>
      </w:r>
    </w:p>
    <w:p>
      <w:pPr>
        <w:spacing w:after="120"/>
      </w:pPr>
      <w:r>
        <w:rPr>
          <w:rFonts w:ascii="Arial" w:cs="Arial" w:eastAsia="Arial" w:hAnsi="Arial"/>
          <w:sz w:val="22"/>
          <w:szCs w:val="22"/>
        </w:rPr>
        <w:t xml:space="preserve">Fitness industry research consistently identifies after-service social gatherings as high-retention activities. LBTA’s community infrastructure should include events that create peer relationships independent of the tennis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 Mechanism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End-of-Season Celebration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completion, recognize achievement, build anticipation for next season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bridge—reduces 3-month churn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Tennis Day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2x/year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Parents play with kids; siblings introduced to tennis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deepening + sibling enrollment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 Showcase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2x/year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Stations-based demonstration of progress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competence + parent engagement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JTT Social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Post-match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gathering after match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Relatedness bonding in team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 Kickoff BBQ</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gathering at season’s most vulnerable transition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 retention bridge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Holiday Clinic + Celebration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Low-pressure play + festive community event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Winter break retention bridge</w:t>
            </w:r>
          </w:p>
        </w:tc>
      </w:tr>
    </w:tbl>
    <w:p>
      <w:pPr>
        <w:spacing w:after="120"/>
      </w:pPr>
      <w:r>
        <w:rPr>
          <w:rFonts w:ascii="Arial" w:cs="Arial" w:eastAsia="Arial" w:hAnsi="Arial"/>
          <w:sz w:val="22"/>
          <w:szCs w:val="22"/>
        </w:rPr>
        <w:t xml:space="preserve"/>
      </w:r>
    </w:p>
    <w:p>
      <w:r>
        <w:br w:type="page"/>
      </w:r>
    </w:p>
    <w:p>
      <w:pPr>
        <w:pStyle w:val="Heading1"/>
      </w:pPr>
      <w:r>
        <w:rPr>
          <w:b/>
          <w:bCs/>
        </w:rPr>
        <w:t xml:space="preserve">5. Milestone Celebrations &amp; Level-Up Ceremonies</w:t>
      </w:r>
    </w:p>
    <w:p>
      <w:pPr>
        <w:pStyle w:val="Heading2"/>
      </w:pPr>
      <w:r>
        <w:rPr>
          <w:b/>
          <w:bCs/>
        </w:rPr>
        <w:t xml:space="preserve">5.1 Why Ceremonies Work: Psychological Mechanisms</w:t>
      </w:r>
    </w:p>
    <w:p>
      <w:pPr>
        <w:spacing w:after="120"/>
      </w:pPr>
      <w:r>
        <w:rPr>
          <w:rFonts w:ascii="Arial" w:cs="Arial" w:eastAsia="Arial" w:hAnsi="Arial"/>
          <w:sz w:val="22"/>
          <w:szCs w:val="22"/>
        </w:rPr>
        <w:t xml:space="preserve">The research identifies six psychological mechanisms that make milestone celebrations effective retention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Operates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Zeigarnik Effect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Incomplete goals create cognitive tension; completion provides relief and satisfaction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Milestones must be visible and trackable—players know where they stand relative to next level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Goal Gradient Effect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Motivation accelerates as goal approaches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Progress should be displayed as proximity to next milestone, not distance from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Endowment Effect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Earned items are valued more than purchased items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Recognition artifacts (wristbands, certificates) must be earned through demonstrated competence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Proof</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recognition validates achievement and signals to peers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Ceremonies should include community witnesses—not just coach and player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Anticipation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ceremony creates an event to look forward to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celebrations in advance; build anticipation through countdown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Narrative Arc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Progression tells a story of growth that gives meaning to effort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milestone should be framed as a chapter in the player’s development story</w:t>
            </w:r>
          </w:p>
        </w:tc>
      </w:tr>
    </w:tbl>
    <w:p>
      <w:pPr>
        <w:spacing w:after="120"/>
      </w:pPr>
      <w:r>
        <w:rPr>
          <w:rFonts w:ascii="Arial" w:cs="Arial" w:eastAsia="Arial" w:hAnsi="Arial"/>
          <w:sz w:val="22"/>
          <w:szCs w:val="22"/>
        </w:rPr>
        <w:t xml:space="preserve"/>
      </w:r>
    </w:p>
    <w:p>
      <w:pPr>
        <w:pStyle w:val="Heading2"/>
      </w:pPr>
      <w:r>
        <w:rPr>
          <w:b/>
          <w:bCs/>
        </w:rPr>
        <w:t xml:space="preserve">5.2 Ceremony Design Principles</w:t>
      </w:r>
    </w:p>
    <w:p>
      <w:pPr>
        <w:spacing w:after="120"/>
      </w:pPr>
      <w:r>
        <w:rPr>
          <w:rFonts w:ascii="Arial" w:cs="Arial" w:eastAsia="Arial" w:hAnsi="Arial"/>
          <w:sz w:val="22"/>
          <w:szCs w:val="22"/>
        </w:rPr>
        <w:t xml:space="preserve">Analysis of martial arts belt ceremonies, swimming level-up protocols, and gymnastics advancement systems reveals eight design principles for effective milestone celebrations:</w:t>
      </w:r>
    </w:p>
    <w:p>
      <w:pPr>
        <w:pStyle w:val="ListParagraph"/>
        <w:numPr>
          <w:ilvl w:val="0"/>
          <w:numId w:val="2"/>
        </w:numPr>
      </w:pPr>
      <w:r>
        <w:rPr>
          <w:rFonts w:ascii="Arial" w:cs="Arial" w:eastAsia="Arial" w:hAnsi="Arial"/>
          <w:b/>
          <w:bCs/>
          <w:sz w:val="22"/>
          <w:szCs w:val="22"/>
        </w:rPr>
        <w:t xml:space="preserve">Must be earned, never automatic. </w:t>
      </w:r>
      <w:r>
        <w:rPr>
          <w:rFonts w:ascii="Arial" w:cs="Arial" w:eastAsia="Arial" w:hAnsi="Arial"/>
          <w:sz w:val="22"/>
          <w:szCs w:val="22"/>
        </w:rPr>
        <w:t xml:space="preserve">Automatic progression destroys the perceived value of the milestone. BJJ promotions are powerful because they require years of demonstrated competence.</w:t>
      </w:r>
    </w:p>
    <w:p>
      <w:pPr>
        <w:pStyle w:val="ListParagraph"/>
        <w:numPr>
          <w:ilvl w:val="0"/>
          <w:numId w:val="2"/>
        </w:numPr>
      </w:pPr>
      <w:r>
        <w:rPr>
          <w:rFonts w:ascii="Arial" w:cs="Arial" w:eastAsia="Arial" w:hAnsi="Arial"/>
          <w:b/>
          <w:bCs/>
          <w:sz w:val="22"/>
          <w:szCs w:val="22"/>
        </w:rPr>
        <w:t xml:space="preserve">Public recognition component. </w:t>
      </w:r>
      <w:r>
        <w:rPr>
          <w:rFonts w:ascii="Arial" w:cs="Arial" w:eastAsia="Arial" w:hAnsi="Arial"/>
          <w:sz w:val="22"/>
          <w:szCs w:val="22"/>
        </w:rPr>
        <w:t xml:space="preserve">Social proof validates achievement. The ceremony should have witnesses—peers, parents, coaches.</w:t>
      </w:r>
    </w:p>
    <w:p>
      <w:pPr>
        <w:pStyle w:val="ListParagraph"/>
        <w:numPr>
          <w:ilvl w:val="0"/>
          <w:numId w:val="2"/>
        </w:numPr>
      </w:pPr>
      <w:r>
        <w:rPr>
          <w:rFonts w:ascii="Arial" w:cs="Arial" w:eastAsia="Arial" w:hAnsi="Arial"/>
          <w:b/>
          <w:bCs/>
          <w:sz w:val="22"/>
          <w:szCs w:val="22"/>
        </w:rPr>
        <w:t xml:space="preserve">Physical artifact when possible. </w:t>
      </w:r>
      <w:r>
        <w:rPr>
          <w:rFonts w:ascii="Arial" w:cs="Arial" w:eastAsia="Arial" w:hAnsi="Arial"/>
          <w:sz w:val="22"/>
          <w:szCs w:val="22"/>
        </w:rPr>
        <w:t xml:space="preserve">Wristbands, certificates, or other tangible markers create endowment effect and visible identity.</w:t>
      </w:r>
    </w:p>
    <w:p>
      <w:pPr>
        <w:pStyle w:val="ListParagraph"/>
        <w:numPr>
          <w:ilvl w:val="0"/>
          <w:numId w:val="2"/>
        </w:numPr>
      </w:pPr>
      <w:r>
        <w:rPr>
          <w:rFonts w:ascii="Arial" w:cs="Arial" w:eastAsia="Arial" w:hAnsi="Arial"/>
          <w:b/>
          <w:bCs/>
          <w:sz w:val="22"/>
          <w:szCs w:val="22"/>
        </w:rPr>
        <w:t xml:space="preserve">Peer and community involvement. </w:t>
      </w:r>
      <w:r>
        <w:rPr>
          <w:rFonts w:ascii="Arial" w:cs="Arial" w:eastAsia="Arial" w:hAnsi="Arial"/>
          <w:sz w:val="22"/>
          <w:szCs w:val="22"/>
        </w:rPr>
        <w:t xml:space="preserve">The community celebrates the individual. This satisfies relatedness and strengthens group bonds.</w:t>
      </w:r>
    </w:p>
    <w:p>
      <w:pPr>
        <w:pStyle w:val="ListParagraph"/>
        <w:numPr>
          <w:ilvl w:val="0"/>
          <w:numId w:val="2"/>
        </w:numPr>
      </w:pPr>
      <w:r>
        <w:rPr>
          <w:rFonts w:ascii="Arial" w:cs="Arial" w:eastAsia="Arial" w:hAnsi="Arial"/>
          <w:b/>
          <w:bCs/>
          <w:sz w:val="22"/>
          <w:szCs w:val="22"/>
        </w:rPr>
        <w:t xml:space="preserve">Emotional weight proportional to difficulty. </w:t>
      </w:r>
      <w:r>
        <w:rPr>
          <w:rFonts w:ascii="Arial" w:cs="Arial" w:eastAsia="Arial" w:hAnsi="Arial"/>
          <w:sz w:val="22"/>
          <w:szCs w:val="22"/>
        </w:rPr>
        <w:t xml:space="preserve">Rare milestones (annual achievements) deserve more ceremony than frequent ones (monthly). Over-celebrating cheapens the system.</w:t>
      </w:r>
    </w:p>
    <w:p>
      <w:pPr>
        <w:pStyle w:val="ListParagraph"/>
        <w:numPr>
          <w:ilvl w:val="0"/>
          <w:numId w:val="2"/>
        </w:numPr>
      </w:pPr>
      <w:r>
        <w:rPr>
          <w:rFonts w:ascii="Arial" w:cs="Arial" w:eastAsia="Arial" w:hAnsi="Arial"/>
          <w:b/>
          <w:bCs/>
          <w:sz w:val="22"/>
          <w:szCs w:val="22"/>
        </w:rPr>
        <w:t xml:space="preserve">Clear criteria known in advance. </w:t>
      </w:r>
      <w:r>
        <w:rPr>
          <w:rFonts w:ascii="Arial" w:cs="Arial" w:eastAsia="Arial" w:hAnsi="Arial"/>
          <w:sz w:val="22"/>
          <w:szCs w:val="22"/>
        </w:rPr>
        <w:t xml:space="preserve">Players and parents understand what is required. No surprises, no subjectivity in core criteria.</w:t>
      </w:r>
    </w:p>
    <w:p>
      <w:pPr>
        <w:pStyle w:val="ListParagraph"/>
        <w:numPr>
          <w:ilvl w:val="0"/>
          <w:numId w:val="2"/>
        </w:numPr>
      </w:pPr>
      <w:r>
        <w:rPr>
          <w:rFonts w:ascii="Arial" w:cs="Arial" w:eastAsia="Arial" w:hAnsi="Arial"/>
          <w:b/>
          <w:bCs/>
          <w:sz w:val="22"/>
          <w:szCs w:val="22"/>
        </w:rPr>
        <w:t xml:space="preserve">Celebration, not evaluation. </w:t>
      </w:r>
      <w:r>
        <w:rPr>
          <w:rFonts w:ascii="Arial" w:cs="Arial" w:eastAsia="Arial" w:hAnsi="Arial"/>
          <w:sz w:val="22"/>
          <w:szCs w:val="22"/>
        </w:rPr>
        <w:t xml:space="preserve">The ceremony marks achievement already demonstrated. It should feel like a party, not a test.</w:t>
      </w:r>
    </w:p>
    <w:p>
      <w:pPr>
        <w:pStyle w:val="ListParagraph"/>
        <w:numPr>
          <w:ilvl w:val="0"/>
          <w:numId w:val="2"/>
        </w:numPr>
      </w:pPr>
      <w:r>
        <w:rPr>
          <w:rFonts w:ascii="Arial" w:cs="Arial" w:eastAsia="Arial" w:hAnsi="Arial"/>
          <w:b/>
          <w:bCs/>
          <w:sz w:val="22"/>
          <w:szCs w:val="22"/>
        </w:rPr>
        <w:t xml:space="preserve">Multiple pathways to recognition. </w:t>
      </w:r>
      <w:r>
        <w:rPr>
          <w:rFonts w:ascii="Arial" w:cs="Arial" w:eastAsia="Arial" w:hAnsi="Arial"/>
          <w:sz w:val="22"/>
          <w:szCs w:val="22"/>
        </w:rPr>
        <w:t xml:space="preserve">Inclusive systems recognize effort, character, and teamwork alongside performance. Not everyone advances at the same rate.</w:t>
      </w:r>
    </w:p>
    <w:p>
      <w:pPr>
        <w:spacing w:after="120"/>
      </w:pPr>
      <w:r>
        <w:rPr>
          <w:rFonts w:ascii="Arial" w:cs="Arial" w:eastAsia="Arial" w:hAnsi="Arial"/>
          <w:sz w:val="22"/>
          <w:szCs w:val="22"/>
        </w:rPr>
        <w:t xml:space="preserve"/>
      </w:r>
    </w:p>
    <w:p>
      <w:pPr>
        <w:pStyle w:val="Heading2"/>
      </w:pPr>
      <w:r>
        <w:rPr>
          <w:b/>
          <w:bCs/>
        </w:rPr>
        <w:t xml:space="preserve">5.3 LBTA Celebration Calendar</w:t>
      </w:r>
    </w:p>
    <w:p>
      <w:pPr>
        <w:spacing w:after="120"/>
      </w:pPr>
      <w:r>
        <w:rPr>
          <w:rFonts w:ascii="Arial" w:cs="Arial" w:eastAsia="Arial" w:hAnsi="Arial"/>
          <w:sz w:val="22"/>
          <w:szCs w:val="22"/>
        </w:rPr>
        <w:t xml:space="preserve">Mapped to churn windows and seasonal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Celebration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Churn Window Addressed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 of enrollment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Month Recognition: coach note + progress snapshot sent to parent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Month-1 dropout prevention (15%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 of Quarter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Quarterly Showcase: skills stations, before/after video, certificates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Program-wide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3-month churn window (35% cumulative)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Season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 Celebration: awards ceremony, achievement announcements, community event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Academy-wide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6-month transition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Anniversary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Founder’s Circle Recognition: personalized letter, year-in-review, loyalty milestone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12-month non-rejoin risk (57%)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JTT Season 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Celebration: team awards, match highlights, parent appreciation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Team-specific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track retention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Summer Transition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Summer Kickoff: community event bridging spring→summer schedule change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Academy-wide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Summer schedule disruption</w:t>
            </w:r>
          </w:p>
        </w:tc>
      </w:tr>
    </w:tbl>
    <w:p>
      <w:pPr>
        <w:spacing w:after="120"/>
      </w:pPr>
      <w:r>
        <w:rPr>
          <w:rFonts w:ascii="Arial" w:cs="Arial" w:eastAsia="Arial" w:hAnsi="Arial"/>
          <w:sz w:val="22"/>
          <w:szCs w:val="22"/>
        </w:rPr>
        <w:t xml:space="preserve"/>
      </w:r>
    </w:p>
    <w:p>
      <w:r>
        <w:br w:type="page"/>
      </w:r>
    </w:p>
    <w:p>
      <w:pPr>
        <w:pStyle w:val="Heading1"/>
      </w:pPr>
      <w:r>
        <w:rPr>
          <w:b/>
          <w:bCs/>
        </w:rPr>
        <w:t xml:space="preserve">6. Skills Competitions &amp; Showcase Events</w:t>
      </w:r>
    </w:p>
    <w:p>
      <w:pPr>
        <w:pStyle w:val="Heading2"/>
      </w:pPr>
      <w:r>
        <w:rPr>
          <w:b/>
          <w:bCs/>
        </w:rPr>
        <w:t xml:space="preserve">6.1 Inclusive vs. Exclusionary Event Design</w:t>
      </w:r>
    </w:p>
    <w:p>
      <w:pPr>
        <w:spacing w:after="120"/>
      </w:pPr>
      <w:r>
        <w:rPr>
          <w:rFonts w:ascii="Arial" w:cs="Arial" w:eastAsia="Arial" w:hAnsi="Arial"/>
          <w:sz w:val="22"/>
          <w:szCs w:val="22"/>
        </w:rPr>
        <w:t xml:space="preserve">The research draws a sharp line between event designs that retain and those that accelerate churn. Exclusionary patterns—single winner, elimination format, public ranking, participation limited to top players—increase perceived competence for a small number of athletes while actively damaging it for everyone else. LBTA serves 695 students, the majority recreational. Event design must make 90%+ of participants feel more competent leaving the event than they did arriving.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Exclusionary (Avoid)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Inclusive (Adopt)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winner, everyone else loses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recognition categories across dimensions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Elimination format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Stations-based format where all participate throughout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ranking/leaderboards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best achievements celebrated individually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to others as primary metric</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Improvement from own baseline as primary metric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Participation limited to “best” players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enrolled students participate; multiple ways to succeed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Spectators outnumber participants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Parents involved in activities alongside children</w:t>
            </w:r>
          </w:p>
        </w:tc>
      </w:tr>
    </w:tbl>
    <w:p>
      <w:pPr>
        <w:spacing w:after="120"/>
      </w:pPr>
      <w:r>
        <w:rPr>
          <w:rFonts w:ascii="Arial" w:cs="Arial" w:eastAsia="Arial" w:hAnsi="Arial"/>
          <w:sz w:val="22"/>
          <w:szCs w:val="22"/>
        </w:rPr>
        <w:t xml:space="preserve"/>
      </w:r>
    </w:p>
    <w:p>
      <w:pPr>
        <w:pStyle w:val="Heading2"/>
      </w:pPr>
      <w:r>
        <w:rPr>
          <w:b/>
          <w:bCs/>
        </w:rPr>
        <w:t xml:space="preserve">6.2 LBTA Showcase Format: The Skills Festival</w:t>
      </w:r>
    </w:p>
    <w:p>
      <w:pPr>
        <w:spacing w:after="120"/>
      </w:pPr>
      <w:r>
        <w:rPr>
          <w:rFonts w:ascii="Arial" w:cs="Arial" w:eastAsia="Arial" w:hAnsi="Arial"/>
          <w:sz w:val="22"/>
          <w:szCs w:val="22"/>
        </w:rPr>
        <w:t xml:space="preserve">Drawing from IMG Academy end-of-session showcases, French Touch Academy quarterly tennis festivals, and the Emilio Sanchez skills competition model, LBTA’s showcase should operate as a “Skills Festival” with these characteristics:</w:t>
      </w:r>
    </w:p>
    <w:p>
      <w:pPr>
        <w:pStyle w:val="ListParagraph"/>
        <w:numPr>
          <w:ilvl w:val="0"/>
          <w:numId w:val="3"/>
        </w:numPr>
      </w:pPr>
      <w:r>
        <w:rPr>
          <w:rFonts w:ascii="Arial" w:cs="Arial" w:eastAsia="Arial" w:hAnsi="Arial"/>
          <w:b/>
          <w:bCs/>
          <w:sz w:val="22"/>
          <w:szCs w:val="22"/>
        </w:rPr>
        <w:t xml:space="preserve">Stations format: </w:t>
      </w:r>
      <w:r>
        <w:rPr>
          <w:rFonts w:ascii="Arial" w:cs="Arial" w:eastAsia="Arial" w:hAnsi="Arial"/>
          <w:sz w:val="22"/>
          <w:szCs w:val="22"/>
        </w:rPr>
        <w:t xml:space="preserve">6–8 simultaneous activity stations (serve speed, rally consistency, agility course, target accuracy, volley challenge, mini-match). Players rotate through all stations.</w:t>
      </w:r>
    </w:p>
    <w:p>
      <w:pPr>
        <w:pStyle w:val="ListParagraph"/>
        <w:numPr>
          <w:ilvl w:val="0"/>
          <w:numId w:val="3"/>
        </w:numPr>
      </w:pPr>
      <w:r>
        <w:rPr>
          <w:rFonts w:ascii="Arial" w:cs="Arial" w:eastAsia="Arial" w:hAnsi="Arial"/>
          <w:b/>
          <w:bCs/>
          <w:sz w:val="22"/>
          <w:szCs w:val="22"/>
        </w:rPr>
        <w:t xml:space="preserve">Age-appropriate challenges: </w:t>
      </w:r>
      <w:r>
        <w:rPr>
          <w:rFonts w:ascii="Arial" w:cs="Arial" w:eastAsia="Arial" w:hAnsi="Arial"/>
          <w:sz w:val="22"/>
          <w:szCs w:val="22"/>
        </w:rPr>
        <w:t xml:space="preserve">Each station has difficulty tiers matched to program level. Red ball players and high-performance juniors both participate but at their own challenge level.</w:t>
      </w:r>
    </w:p>
    <w:p>
      <w:pPr>
        <w:pStyle w:val="ListParagraph"/>
        <w:numPr>
          <w:ilvl w:val="0"/>
          <w:numId w:val="3"/>
        </w:numPr>
      </w:pPr>
      <w:r>
        <w:rPr>
          <w:rFonts w:ascii="Arial" w:cs="Arial" w:eastAsia="Arial" w:hAnsi="Arial"/>
          <w:b/>
          <w:bCs/>
          <w:sz w:val="22"/>
          <w:szCs w:val="22"/>
        </w:rPr>
        <w:t xml:space="preserve">Individual improvement tracking: </w:t>
      </w:r>
      <w:r>
        <w:rPr>
          <w:rFonts w:ascii="Arial" w:cs="Arial" w:eastAsia="Arial" w:hAnsi="Arial"/>
          <w:sz w:val="22"/>
          <w:szCs w:val="22"/>
        </w:rPr>
        <w:t xml:space="preserve">Score cards record results against personal bests, not peer comparison. “Beat Your Own Score” framing.</w:t>
      </w:r>
    </w:p>
    <w:p>
      <w:pPr>
        <w:pStyle w:val="ListParagraph"/>
        <w:numPr>
          <w:ilvl w:val="0"/>
          <w:numId w:val="3"/>
        </w:numPr>
      </w:pPr>
      <w:r>
        <w:rPr>
          <w:rFonts w:ascii="Arial" w:cs="Arial" w:eastAsia="Arial" w:hAnsi="Arial"/>
          <w:b/>
          <w:bCs/>
          <w:sz w:val="22"/>
          <w:szCs w:val="22"/>
        </w:rPr>
        <w:t xml:space="preserve">Team relay elements: </w:t>
      </w:r>
      <w:r>
        <w:rPr>
          <w:rFonts w:ascii="Arial" w:cs="Arial" w:eastAsia="Arial" w:hAnsi="Arial"/>
          <w:sz w:val="22"/>
          <w:szCs w:val="22"/>
        </w:rPr>
        <w:t xml:space="preserve">Mixed-ability teams compete in relay challenges. Collective contribution, shared outcome.</w:t>
      </w:r>
    </w:p>
    <w:p>
      <w:pPr>
        <w:pStyle w:val="ListParagraph"/>
        <w:numPr>
          <w:ilvl w:val="0"/>
          <w:numId w:val="3"/>
        </w:numPr>
      </w:pPr>
      <w:r>
        <w:rPr>
          <w:rFonts w:ascii="Arial" w:cs="Arial" w:eastAsia="Arial" w:hAnsi="Arial"/>
          <w:b/>
          <w:bCs/>
          <w:sz w:val="22"/>
          <w:szCs w:val="22"/>
        </w:rPr>
        <w:t xml:space="preserve">Before/after video station: </w:t>
      </w:r>
      <w:r>
        <w:rPr>
          <w:rFonts w:ascii="Arial" w:cs="Arial" w:eastAsia="Arial" w:hAnsi="Arial"/>
          <w:sz w:val="22"/>
          <w:szCs w:val="22"/>
        </w:rPr>
        <w:t xml:space="preserve">Side-by-side comparison clips from enrollment vs. current. This is the highest-ROI retention content LBTA can produce—visual proof of progress.</w:t>
      </w:r>
    </w:p>
    <w:p>
      <w:pPr>
        <w:pStyle w:val="ListParagraph"/>
        <w:numPr>
          <w:ilvl w:val="0"/>
          <w:numId w:val="3"/>
        </w:numPr>
      </w:pPr>
      <w:r>
        <w:rPr>
          <w:rFonts w:ascii="Arial" w:cs="Arial" w:eastAsia="Arial" w:hAnsi="Arial"/>
          <w:b/>
          <w:bCs/>
          <w:sz w:val="22"/>
          <w:szCs w:val="22"/>
        </w:rPr>
        <w:t xml:space="preserve">Social component: </w:t>
      </w:r>
      <w:r>
        <w:rPr>
          <w:rFonts w:ascii="Arial" w:cs="Arial" w:eastAsia="Arial" w:hAnsi="Arial"/>
          <w:sz w:val="22"/>
          <w:szCs w:val="22"/>
        </w:rPr>
        <w:t xml:space="preserve">Food, music, family mingling time. The event ends as a community gathering, not a competition result.</w:t>
      </w:r>
    </w:p>
    <w:p>
      <w:pPr>
        <w:pStyle w:val="ListParagraph"/>
        <w:numPr>
          <w:ilvl w:val="0"/>
          <w:numId w:val="3"/>
        </w:numPr>
      </w:pPr>
      <w:r>
        <w:rPr>
          <w:rFonts w:ascii="Arial" w:cs="Arial" w:eastAsia="Arial" w:hAnsi="Arial"/>
          <w:b/>
          <w:bCs/>
          <w:sz w:val="22"/>
          <w:szCs w:val="22"/>
        </w:rPr>
        <w:t xml:space="preserve">Recognition for all: </w:t>
      </w:r>
      <w:r>
        <w:rPr>
          <w:rFonts w:ascii="Arial" w:cs="Arial" w:eastAsia="Arial" w:hAnsi="Arial"/>
          <w:sz w:val="22"/>
          <w:szCs w:val="22"/>
        </w:rPr>
        <w:t xml:space="preserve">Every participant receives recognition. Categories include Most Improved, Best Teammate, Coaches Award, Perfect Attendance, Sportsmanship, and Breakthrough Moment—alongside performance achievements.</w:t>
      </w:r>
    </w:p>
    <w:p>
      <w:pPr>
        <w:spacing w:after="120"/>
      </w:pPr>
      <w:r>
        <w:rPr>
          <w:rFonts w:ascii="Arial" w:cs="Arial" w:eastAsia="Arial" w:hAnsi="Arial"/>
          <w:sz w:val="22"/>
          <w:szCs w:val="22"/>
        </w:rPr>
        <w:t xml:space="preserve"/>
      </w:r>
    </w:p>
    <w:p>
      <w:r>
        <w:br w:type="page"/>
      </w:r>
    </w:p>
    <w:p>
      <w:pPr>
        <w:pStyle w:val="Heading1"/>
      </w:pPr>
      <w:r>
        <w:rPr>
          <w:b/>
          <w:bCs/>
        </w:rPr>
        <w:t xml:space="preserve">7. SDT-Aligned Coaching Behaviors</w:t>
      </w:r>
    </w:p>
    <w:p>
      <w:pPr>
        <w:spacing w:after="120"/>
      </w:pPr>
      <w:r>
        <w:rPr>
          <w:rFonts w:ascii="Arial" w:cs="Arial" w:eastAsia="Arial" w:hAnsi="Arial"/>
          <w:sz w:val="22"/>
          <w:szCs w:val="22"/>
        </w:rPr>
        <w:t xml:space="preserve">The longitudinal mediation model confirms: coach autonomy support → need satisfaction → engagement. This is not philosophy—it is a measured causal pathway. LBTA’s coaching standards should encode specific behaviors drawn from the research:</w:t>
      </w:r>
    </w:p>
    <w:p>
      <w:pPr>
        <w:pStyle w:val="Heading2"/>
      </w:pPr>
      <w:r>
        <w:rPr>
          <w:b/>
          <w:bCs/>
        </w:rPr>
        <w:t xml:space="preserve">7.1 Eight Autonomy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In-Session Example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choice within boundaries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“We’re working on groundstrokes today—would you like to start with forehand or backhand?”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Seek athlete input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felt most challenging last session? Let’s work on that.”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Acknowledge perspectives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can see why that feels frustrating. Here’s another way to think about 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noncontrolling language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could try adjusting your grip” vs. “You need to fix your grip”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initiative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noticed you were experimenting with your toss—what were you going for?”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intrinsic-rich goals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“Let’s see if we can get 10 rallies in a row” vs. “Do this drill or we move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meaningful rationales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do this drill because it builds the muscle memory for match situations”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Encourage experimentation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“Try hitting it three different ways and tell me which feels best to you”</w:t>
            </w:r>
          </w:p>
        </w:tc>
      </w:tr>
    </w:tbl>
    <w:p>
      <w:pPr>
        <w:spacing w:after="120"/>
      </w:pPr>
      <w:r>
        <w:rPr>
          <w:rFonts w:ascii="Arial" w:cs="Arial" w:eastAsia="Arial" w:hAnsi="Arial"/>
          <w:sz w:val="22"/>
          <w:szCs w:val="22"/>
        </w:rPr>
        <w:t xml:space="preserve"/>
      </w:r>
    </w:p>
    <w:p>
      <w:pPr>
        <w:pStyle w:val="Heading2"/>
      </w:pPr>
      <w:r>
        <w:rPr>
          <w:b/>
          <w:bCs/>
        </w:rPr>
        <w:t xml:space="preserve">7.2 Competence &amp; Relatedness Supports</w:t>
      </w:r>
    </w:p>
    <w:p>
      <w:pPr>
        <w:spacing w:after="120"/>
      </w:pPr>
      <w:r>
        <w:rPr>
          <w:rFonts w:ascii="Arial" w:cs="Arial" w:eastAsia="Arial" w:hAnsi="Arial"/>
          <w:sz w:val="22"/>
          <w:szCs w:val="22"/>
        </w:rPr>
        <w:t xml:space="preserve">Seven competence supports: provide structure, use informational feedback, apply positive feedback appropriately, clarify expectations, promote task-involved engagement, support optimal challenge, provide clear and constructive feedback. Three relatedness supports: express authentic interest in the person, encourage questions, and build social connections between players.</w:t>
      </w:r>
    </w:p>
    <w:p>
      <w:pPr>
        <w:spacing w:after="120"/>
      </w:pPr>
      <w:r>
        <w:rPr>
          <w:rFonts w:ascii="Arial" w:cs="Arial" w:eastAsia="Arial" w:hAnsi="Arial"/>
          <w:sz w:val="22"/>
          <w:szCs w:val="22"/>
        </w:rPr>
        <w:t xml:space="preserve">The Chinese sports participation study (N = 378, 2024) quantified the mediation effects: competence mediation (ad = 0.39, 95% CI [0.201, 0.642]) and autonomy mediation (be = 0.23) were both significant, while relatedness did not serve as a critical mediating variable between activation and maintenance. This means competence and autonomy are the primary drivers of sustained participation—relatedness supports retention but does not independently drive it. Coaching behaviors should weight competence-building and autonomy-support over relatedness-building, though all three remain necessary.</w:t>
      </w:r>
    </w:p>
    <w:p>
      <w:r>
        <w:br w:type="page"/>
      </w:r>
    </w:p>
    <w:p>
      <w:pPr>
        <w:pStyle w:val="Heading1"/>
      </w:pPr>
      <w:r>
        <w:rPr>
          <w:b/>
          <w:bCs/>
        </w:rPr>
        <w:t xml:space="preserve">8. Re-Enrollment &amp; Churn Prevention System</w:t>
      </w:r>
    </w:p>
    <w:p>
      <w:pPr>
        <w:pStyle w:val="Heading2"/>
      </w:pPr>
      <w:r>
        <w:rPr>
          <w:b/>
          <w:bCs/>
        </w:rPr>
        <w:t xml:space="preserve">8.1 Automated Intervention Triggers</w:t>
      </w:r>
    </w:p>
    <w:p>
      <w:pPr>
        <w:spacing w:after="120"/>
      </w:pPr>
      <w:r>
        <w:rPr>
          <w:rFonts w:ascii="Arial" w:cs="Arial" w:eastAsia="Arial" w:hAnsi="Arial"/>
          <w:sz w:val="22"/>
          <w:szCs w:val="22"/>
        </w:rPr>
        <w:t xml:space="preserve">Fitness industry best practice and SDT research converge on proactive intervention before dissatisfaction leads to cancellation. LBTA’s system should trigger outreach based on behavioral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Attendance drop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consecutive missed sessions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 check-in text: “Missed you at practice—everything OK?”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Coach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re-enrollment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 days before season end, no renewal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Personalized re-enrollment email with progress summary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 (Ops)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First-month silence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Enrolled but no session attended in 14 days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call: schedule first session, address barriers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Summer gap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Enrolled Spring, no Summer registration by May 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Summer bridge outreach: schedule preview, early-bird pricing</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 (Ops)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lapse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unpaid at 15 days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Friendly reminder with payment link; escalation at 30 days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 (Saska)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Negative feedback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Parent expresses concern via any channel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Same-day acknowledgment; resolution within 48 hours; follow-up at 7 days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Andrew/Robert</w:t>
            </w:r>
          </w:p>
        </w:tc>
      </w:tr>
    </w:tbl>
    <w:p>
      <w:pPr>
        <w:spacing w:after="120"/>
      </w:pPr>
      <w:r>
        <w:rPr>
          <w:rFonts w:ascii="Arial" w:cs="Arial" w:eastAsia="Arial" w:hAnsi="Arial"/>
          <w:sz w:val="22"/>
          <w:szCs w:val="22"/>
        </w:rPr>
        <w:t xml:space="preserve"/>
      </w:r>
    </w:p>
    <w:p>
      <w:pPr>
        <w:pStyle w:val="Heading2"/>
      </w:pPr>
      <w:r>
        <w:rPr>
          <w:b/>
          <w:bCs/>
        </w:rPr>
        <w:t xml:space="preserve">8.2 Seasonal Retention Bridges</w:t>
      </w:r>
    </w:p>
    <w:p>
      <w:pPr>
        <w:spacing w:after="120"/>
      </w:pPr>
      <w:r>
        <w:rPr>
          <w:rFonts w:ascii="Arial" w:cs="Arial" w:eastAsia="Arial" w:hAnsi="Arial"/>
          <w:sz w:val="22"/>
          <w:szCs w:val="22"/>
        </w:rPr>
        <w:t xml:space="preserve">Summer is the highest-churn season across the fitness industry. Vacations, travel, and inconsistent schedules pull families away, and once routine breaks, return becomes improbable. LBTA’s seasonal retention bridges:</w:t>
      </w:r>
    </w:p>
    <w:p>
      <w:pPr>
        <w:pStyle w:val="ListParagraph"/>
        <w:numPr>
          <w:ilvl w:val="0"/>
          <w:numId w:val="3"/>
        </w:numPr>
      </w:pPr>
      <w:r>
        <w:rPr>
          <w:rFonts w:ascii="Arial" w:cs="Arial" w:eastAsia="Arial" w:hAnsi="Arial"/>
          <w:b/>
          <w:bCs/>
          <w:sz w:val="22"/>
          <w:szCs w:val="22"/>
        </w:rPr>
        <w:t xml:space="preserve">Spring → Summer: </w:t>
      </w:r>
      <w:r>
        <w:rPr>
          <w:rFonts w:ascii="Arial" w:cs="Arial" w:eastAsia="Arial" w:hAnsi="Arial"/>
          <w:sz w:val="22"/>
          <w:szCs w:val="22"/>
        </w:rPr>
        <w:t xml:space="preserve">Summer schedule preview sent 6 weeks before transition. Early registration incentive. Summer Kickoff community event.</w:t>
      </w:r>
    </w:p>
    <w:p>
      <w:pPr>
        <w:pStyle w:val="ListParagraph"/>
        <w:numPr>
          <w:ilvl w:val="0"/>
          <w:numId w:val="3"/>
        </w:numPr>
      </w:pPr>
      <w:r>
        <w:rPr>
          <w:rFonts w:ascii="Arial" w:cs="Arial" w:eastAsia="Arial" w:hAnsi="Arial"/>
          <w:b/>
          <w:bCs/>
          <w:sz w:val="22"/>
          <w:szCs w:val="22"/>
        </w:rPr>
        <w:t xml:space="preserve">Summer → Fall: </w:t>
      </w:r>
      <w:r>
        <w:rPr>
          <w:rFonts w:ascii="Arial" w:cs="Arial" w:eastAsia="Arial" w:hAnsi="Arial"/>
          <w:sz w:val="22"/>
          <w:szCs w:val="22"/>
        </w:rPr>
        <w:t xml:space="preserve">Re-engagement outreach in August targeting summer-lapsed families. “Welcome back” positioning, not “why did you leave.” Fall schedule with returning-family priority registration.</w:t>
      </w:r>
    </w:p>
    <w:p>
      <w:pPr>
        <w:pStyle w:val="ListParagraph"/>
        <w:numPr>
          <w:ilvl w:val="0"/>
          <w:numId w:val="3"/>
        </w:numPr>
      </w:pPr>
      <w:r>
        <w:rPr>
          <w:rFonts w:ascii="Arial" w:cs="Arial" w:eastAsia="Arial" w:hAnsi="Arial"/>
          <w:b/>
          <w:bCs/>
          <w:sz w:val="22"/>
          <w:szCs w:val="22"/>
        </w:rPr>
        <w:t xml:space="preserve">Fall → Winter: </w:t>
      </w:r>
      <w:r>
        <w:rPr>
          <w:rFonts w:ascii="Arial" w:cs="Arial" w:eastAsia="Arial" w:hAnsi="Arial"/>
          <w:sz w:val="22"/>
          <w:szCs w:val="22"/>
        </w:rPr>
        <w:t xml:space="preserve">Holiday clinic + celebration event. Winter schedule continuity messaging. Progress report showing year-to-date improvement.</w:t>
      </w:r>
    </w:p>
    <w:p>
      <w:pPr>
        <w:pStyle w:val="ListParagraph"/>
        <w:numPr>
          <w:ilvl w:val="0"/>
          <w:numId w:val="3"/>
        </w:numPr>
      </w:pPr>
      <w:r>
        <w:rPr>
          <w:rFonts w:ascii="Arial" w:cs="Arial" w:eastAsia="Arial" w:hAnsi="Arial"/>
          <w:b/>
          <w:bCs/>
          <w:sz w:val="22"/>
          <w:szCs w:val="22"/>
        </w:rPr>
        <w:t xml:space="preserve">Winter → Spring: </w:t>
      </w:r>
      <w:r>
        <w:rPr>
          <w:rFonts w:ascii="Arial" w:cs="Arial" w:eastAsia="Arial" w:hAnsi="Arial"/>
          <w:sz w:val="22"/>
          <w:szCs w:val="22"/>
        </w:rPr>
        <w:t xml:space="preserve">Annual review for returning families. JTT season preview for competitive track. New Year “goal reset” communication.</w:t>
      </w:r>
    </w:p>
    <w:p>
      <w:pPr>
        <w:spacing w:after="120"/>
      </w:pPr>
      <w:r>
        <w:rPr>
          <w:rFonts w:ascii="Arial" w:cs="Arial" w:eastAsia="Arial" w:hAnsi="Arial"/>
          <w:sz w:val="22"/>
          <w:szCs w:val="22"/>
        </w:rPr>
        <w:t xml:space="preserve"/>
      </w:r>
    </w:p>
    <w:p>
      <w:r>
        <w:br w:type="page"/>
      </w:r>
    </w:p>
    <w:p>
      <w:pPr>
        <w:pStyle w:val="Heading1"/>
      </w:pPr>
      <w:r>
        <w:rPr>
          <w:b/>
          <w:bCs/>
        </w:rPr>
        <w:t xml:space="preserve">9. The Aman Test: Premium Retention Standards</w:t>
      </w:r>
    </w:p>
    <w:p>
      <w:pPr>
        <w:spacing w:after="120"/>
      </w:pPr>
      <w:r>
        <w:rPr>
          <w:rFonts w:ascii="Arial" w:cs="Arial" w:eastAsia="Arial" w:hAnsi="Arial"/>
          <w:sz w:val="22"/>
          <w:szCs w:val="22"/>
        </w:rPr>
        <w:t xml:space="preserve">Every retention element must pass the Aman Test: would a guest at an Aman resort recognize this as premium quality, intentional design, and genuine care? Applied to retention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Fails Aman Test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Passes Aman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report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PDF with stats only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coach narrative with specific observations, video clips, next-quarter goals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Re-enrollment outreach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“time to re-enroll!” blast email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Personal message referencing the family’s specific journey and growth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End-of-season event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Pizza party in the parking lot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Thoughtfully staged celebration with recognition, community, and anticipation for next season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Milestone certificate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Printed on copy paper, handed out casually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Branded, high-quality stock with specific achievement language, presented with ceremony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Missed-session check-in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“we missed you” 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Coach-initiated personal message showing awareness of the player’s recent progress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recognition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 letter with name merge field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Handwritten note from Andrew referencing specific moments from the year</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premium standard is not about cost—it is about intentionality. A handwritten note costs less than a generic email blast but communicates orders of magnitude more care. Every retention touchpoint should feel like it was designed for this family, not batch-processed for all families.</w:t>
      </w:r>
    </w:p>
    <w:p>
      <w:r>
        <w:br w:type="page"/>
      </w:r>
    </w:p>
    <w:p>
      <w:pPr>
        <w:pStyle w:val="Heading1"/>
      </w:pPr>
      <w:r>
        <w:rPr>
          <w:b/>
          <w:bCs/>
        </w:rPr>
        <w:t xml:space="preserve">10. Implementation Roadmap</w:t>
      </w:r>
    </w:p>
    <w:p>
      <w:pPr>
        <w:pStyle w:val="Heading2"/>
      </w:pPr>
      <w:r>
        <w:rPr>
          <w:b/>
          <w:bCs/>
        </w:rPr>
        <w:t xml:space="preserve">Phase 1: Foundation (Months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automated attendance-drop triggers in GHL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 + Robert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outreach before churn crystallizes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quarterly progress report template (coach narrative + metrics)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Andrew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Perceived competence visibility for all families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end-of-season celebration format for Spring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Transition bridge at critical 3-month churn window</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 coaches on 8 autonomy supports (session workshop)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Andrew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SDT-aligned coaching behaviors encoded in daily practice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re-enrollment sequence (14-day pre-season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renewal pipeline with personal touch</w:t>
            </w:r>
          </w:p>
        </w:tc>
      </w:tr>
    </w:tbl>
    <w:p>
      <w:pPr>
        <w:spacing w:after="120"/>
      </w:pPr>
      <w:r>
        <w:rPr>
          <w:rFonts w:ascii="Arial" w:cs="Arial" w:eastAsia="Arial" w:hAnsi="Arial"/>
          <w:sz w:val="22"/>
          <w:szCs w:val="22"/>
        </w:rPr>
        <w:t xml:space="preserve"/>
      </w:r>
    </w:p>
    <w:p>
      <w:pPr>
        <w:pStyle w:val="Heading2"/>
      </w:pPr>
      <w:r>
        <w:rPr>
          <w:b/>
          <w:bCs/>
        </w:rPr>
        <w:t xml:space="preserve">Phase 2: Community Infrastructure (Months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quarterly Skills Festival format (first event: Summer Kickoff)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 + Coaches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progress + community bonding at highest-churn transition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before/after video capture protocol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Coaches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Highest-ROI retention content produced systematically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seasonal retention bridge communication calendar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 outreach at every natural exit point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recognition system: categories, artifacts, ceremony protocols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Andrew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Achievement celebrations that satisfy SDT triad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parent progress portal section in LBTA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 (tech)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Self-serve competence visibility for families</w:t>
            </w:r>
          </w:p>
        </w:tc>
      </w:tr>
    </w:tbl>
    <w:p>
      <w:pPr>
        <w:spacing w:after="120"/>
      </w:pPr>
      <w:r>
        <w:rPr>
          <w:rFonts w:ascii="Arial" w:cs="Arial" w:eastAsia="Arial" w:hAnsi="Arial"/>
          <w:sz w:val="22"/>
          <w:szCs w:val="22"/>
        </w:rPr>
        <w:t xml:space="preserve"/>
      </w:r>
    </w:p>
    <w:p>
      <w:pPr>
        <w:pStyle w:val="Heading2"/>
      </w:pPr>
      <w:r>
        <w:rPr>
          <w:b/>
          <w:bCs/>
        </w:rPr>
        <w:t xml:space="preserve">Phase 3: Flywheel Activation (Months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annual Founder’s Circle recognition for 12-month+ families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integration at critical annual retention threshold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churn prediction model (attendance + payment + engagement signals)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Ben (data)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Intervention before dissatisfaction, not after cancellation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summer hybrid/virtual support offering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Robert + Coaches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Routine maintenance during highest-churn season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Establish referral program tied to community recognition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Organic growth from retained families (30% referral revenue uplift)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 and report: retention rate by cohort, churn by season, NPS by program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Data-driven retention optimization cycle</w:t>
            </w:r>
          </w:p>
        </w:tc>
      </w:tr>
    </w:tbl>
    <w:p>
      <w:pPr>
        <w:spacing w:after="120"/>
      </w:pPr>
      <w:r>
        <w:rPr>
          <w:rFonts w:ascii="Arial" w:cs="Arial" w:eastAsia="Arial" w:hAnsi="Arial"/>
          <w:sz w:val="22"/>
          <w:szCs w:val="22"/>
        </w:rPr>
        <w:t xml:space="preserve"/>
      </w:r>
    </w:p>
    <w:p>
      <w:r>
        <w:br w:type="page"/>
      </w:r>
    </w:p>
    <w:p>
      <w:pPr>
        <w:pStyle w:val="Heading1"/>
      </w:pPr>
      <w:r>
        <w:rPr>
          <w:b/>
          <w:bCs/>
        </w:rPr>
        <w:t xml:space="preserve">11. The Retention Flywheel</w:t>
      </w:r>
    </w:p>
    <w:p>
      <w:pPr>
        <w:spacing w:after="120"/>
      </w:pPr>
      <w:r>
        <w:rPr>
          <w:rFonts w:ascii="Arial" w:cs="Arial" w:eastAsia="Arial" w:hAnsi="Arial"/>
          <w:sz w:val="22"/>
          <w:szCs w:val="22"/>
        </w:rPr>
        <w:t xml:space="preserve">Every element in this document connects to the retention flywheel—the self-reinforcing cycle where each component accelerates the others:</w:t>
      </w:r>
    </w:p>
    <w:p>
      <w:pPr>
        <w:spacing w:after="120"/>
      </w:pPr>
      <w:r>
        <w:rPr>
          <w:rFonts w:ascii="Arial" w:cs="Arial" w:eastAsia="Arial" w:hAnsi="Arial"/>
          <w:sz w:val="22"/>
          <w:szCs w:val="22"/>
        </w:rPr>
        <w:t xml:space="preserve"/>
      </w:r>
    </w:p>
    <w:p>
      <w:pPr>
        <w:spacing w:after="120"/>
        <w:jc w:val="center"/>
      </w:pPr>
      <w:r>
        <w:rPr>
          <w:rFonts w:ascii="Arial" w:cs="Arial" w:eastAsia="Arial" w:hAnsi="Arial"/>
          <w:b/>
          <w:bCs/>
          <w:color w:val="1B3A5C"/>
          <w:sz w:val="22"/>
          <w:szCs w:val="22"/>
        </w:rPr>
        <w:t xml:space="preserve">SDT Need Satisfaction (coaching behaviors, program design)</w:t>
      </w:r>
    </w:p>
    <w:p>
      <w:pPr>
        <w:spacing w:after="120"/>
        <w:jc w:val="center"/>
      </w:pPr>
      <w:r>
        <w:rPr>
          <w:rFonts w:ascii="Arial" w:cs="Arial" w:eastAsia="Arial" w:hAnsi="Arial"/>
          <w:sz w:val="28"/>
          <w:szCs w:val="28"/>
        </w:rPr>
        <w:t xml:space="preserve">↓</w:t>
      </w:r>
    </w:p>
    <w:p>
      <w:pPr>
        <w:spacing w:after="120"/>
        <w:jc w:val="center"/>
      </w:pPr>
      <w:r>
        <w:rPr>
          <w:rFonts w:ascii="Arial" w:cs="Arial" w:eastAsia="Arial" w:hAnsi="Arial"/>
          <w:b/>
          <w:bCs/>
          <w:color w:val="1B3A5C"/>
          <w:sz w:val="22"/>
          <w:szCs w:val="22"/>
        </w:rPr>
        <w:t xml:space="preserve">Perceived Competence Growth (progress reports, video, metrics)</w:t>
      </w:r>
    </w:p>
    <w:p>
      <w:pPr>
        <w:spacing w:after="120"/>
        <w:jc w:val="center"/>
      </w:pPr>
      <w:r>
        <w:rPr>
          <w:rFonts w:ascii="Arial" w:cs="Arial" w:eastAsia="Arial" w:hAnsi="Arial"/>
          <w:sz w:val="28"/>
          <w:szCs w:val="28"/>
        </w:rPr>
        <w:t xml:space="preserve">↓</w:t>
      </w:r>
    </w:p>
    <w:p>
      <w:pPr>
        <w:spacing w:after="120"/>
        <w:jc w:val="center"/>
      </w:pPr>
      <w:r>
        <w:rPr>
          <w:rFonts w:ascii="Arial" w:cs="Arial" w:eastAsia="Arial" w:hAnsi="Arial"/>
          <w:b/>
          <w:bCs/>
          <w:color w:val="1B3A5C"/>
          <w:sz w:val="22"/>
          <w:szCs w:val="22"/>
        </w:rPr>
        <w:t xml:space="preserve">Milestone Celebration (ceremonies, recognition, artifacts)</w:t>
      </w:r>
    </w:p>
    <w:p>
      <w:pPr>
        <w:spacing w:after="120"/>
        <w:jc w:val="center"/>
      </w:pPr>
      <w:r>
        <w:rPr>
          <w:rFonts w:ascii="Arial" w:cs="Arial" w:eastAsia="Arial" w:hAnsi="Arial"/>
          <w:sz w:val="28"/>
          <w:szCs w:val="28"/>
        </w:rPr>
        <w:t xml:space="preserve">↓</w:t>
      </w:r>
    </w:p>
    <w:p>
      <w:pPr>
        <w:spacing w:after="120"/>
        <w:jc w:val="center"/>
      </w:pPr>
      <w:r>
        <w:rPr>
          <w:rFonts w:ascii="Arial" w:cs="Arial" w:eastAsia="Arial" w:hAnsi="Arial"/>
          <w:b/>
          <w:bCs/>
          <w:color w:val="1B3A5C"/>
          <w:sz w:val="22"/>
          <w:szCs w:val="22"/>
        </w:rPr>
        <w:t xml:space="preserve">Community Deepening (events, shared identity, peer bonds)</w:t>
      </w:r>
    </w:p>
    <w:p>
      <w:pPr>
        <w:spacing w:after="120"/>
        <w:jc w:val="center"/>
      </w:pPr>
      <w:r>
        <w:rPr>
          <w:rFonts w:ascii="Arial" w:cs="Arial" w:eastAsia="Arial" w:hAnsi="Arial"/>
          <w:sz w:val="28"/>
          <w:szCs w:val="28"/>
        </w:rPr>
        <w:t xml:space="preserve">↓</w:t>
      </w:r>
    </w:p>
    <w:p>
      <w:pPr>
        <w:spacing w:after="120"/>
        <w:jc w:val="center"/>
      </w:pPr>
      <w:r>
        <w:rPr>
          <w:rFonts w:ascii="Arial" w:cs="Arial" w:eastAsia="Arial" w:hAnsi="Arial"/>
          <w:b/>
          <w:bCs/>
          <w:color w:val="1B3A5C"/>
          <w:sz w:val="22"/>
          <w:szCs w:val="22"/>
        </w:rPr>
        <w:t xml:space="preserve">Sustained Enrollment + Referrals (retention, advancement, advocacy)</w:t>
      </w:r>
    </w:p>
    <w:p>
      <w:pPr>
        <w:spacing w:after="120"/>
        <w:jc w:val="center"/>
      </w:pPr>
      <w:r>
        <w:rPr>
          <w:rFonts w:ascii="Arial" w:cs="Arial" w:eastAsia="Arial" w:hAnsi="Arial"/>
          <w:sz w:val="22"/>
          <w:szCs w:val="22"/>
        </w:rPr>
        <w:t xml:space="preserve">↓ loops back to ↓</w:t>
      </w:r>
    </w:p>
    <w:p>
      <w:pPr>
        <w:spacing w:after="200"/>
        <w:jc w:val="center"/>
      </w:pPr>
      <w:r>
        <w:rPr>
          <w:rFonts w:ascii="Arial" w:cs="Arial" w:eastAsia="Arial" w:hAnsi="Arial"/>
          <w:b/>
          <w:bCs/>
          <w:color w:val="1B3A5C"/>
          <w:sz w:val="22"/>
          <w:szCs w:val="22"/>
        </w:rPr>
        <w:t xml:space="preserve">SDT Need Satisfaction (reinforced through continued engagement)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flywheel test: does this retention element strengthen at least two other elements in the cycle? If yes, implement. If it only addresses one element in isolation, redesign before deploying.</w:t>
      </w:r>
    </w:p>
    <w:p>
      <w:r>
        <w:br w:type="page"/>
      </w:r>
    </w:p>
    <w:p>
      <w:pPr>
        <w:pStyle w:val="Heading1"/>
      </w:pPr>
      <w:r>
        <w:rPr>
          <w:b/>
          <w:bCs/>
        </w:rPr>
        <w:t xml:space="preserve">12. Research Bibliography</w:t>
      </w:r>
    </w:p>
    <w:p>
      <w:pPr>
        <w:spacing w:after="120"/>
      </w:pPr>
      <w:r>
        <w:rPr>
          <w:rFonts w:ascii="Arial" w:cs="Arial" w:eastAsia="Arial" w:hAnsi="Arial"/>
          <w:sz w:val="22"/>
          <w:szCs w:val="22"/>
        </w:rPr>
        <w:t xml:space="preserve">Balish, S. M., et al. (2014). Perceived athletic competence and sport persistence. Youth &amp; Society.</w:t>
      </w:r>
    </w:p>
    <w:p>
      <w:pPr>
        <w:spacing w:after="120"/>
      </w:pPr>
      <w:r>
        <w:rPr>
          <w:rFonts w:ascii="Arial" w:cs="Arial" w:eastAsia="Arial" w:hAnsi="Arial"/>
          <w:sz w:val="22"/>
          <w:szCs w:val="22"/>
        </w:rPr>
        <w:t xml:space="preserve">Bain &amp; Company. (2001). The economics of loyalty. Harvard Business Review.</w:t>
      </w:r>
    </w:p>
    <w:p>
      <w:pPr>
        <w:spacing w:after="120"/>
      </w:pPr>
      <w:r>
        <w:rPr>
          <w:rFonts w:ascii="Arial" w:cs="Arial" w:eastAsia="Arial" w:hAnsi="Arial"/>
          <w:sz w:val="22"/>
          <w:szCs w:val="22"/>
        </w:rPr>
        <w:t xml:space="preserve">Calvo, T. G., et al. (2010). Self-determination and dropout in youth soccer. International Journal of Sport Psychology, 41(4).</w:t>
      </w:r>
    </w:p>
    <w:p>
      <w:pPr>
        <w:spacing w:after="120"/>
      </w:pPr>
      <w:r>
        <w:rPr>
          <w:rFonts w:ascii="Arial" w:cs="Arial" w:eastAsia="Arial" w:hAnsi="Arial"/>
          <w:sz w:val="22"/>
          <w:szCs w:val="22"/>
        </w:rPr>
        <w:t xml:space="preserve">Deci, E. L., Koestner, R., &amp; Ryan, R. M. (2001). Extrinsic rewards and intrinsic motivation in education. Review of Educational Research, 71(1).</w:t>
      </w:r>
    </w:p>
    <w:p>
      <w:pPr>
        <w:spacing w:after="120"/>
      </w:pPr>
      <w:r>
        <w:rPr>
          <w:rFonts w:ascii="Arial" w:cs="Arial" w:eastAsia="Arial" w:hAnsi="Arial"/>
          <w:sz w:val="22"/>
          <w:szCs w:val="22"/>
        </w:rPr>
        <w:t xml:space="preserve">HFA Show 2025. Member retention and churn data. Health &amp; Fitness Association.</w:t>
      </w:r>
    </w:p>
    <w:p>
      <w:pPr>
        <w:spacing w:after="120"/>
      </w:pPr>
      <w:r>
        <w:rPr>
          <w:rFonts w:ascii="Arial" w:cs="Arial" w:eastAsia="Arial" w:hAnsi="Arial"/>
          <w:sz w:val="22"/>
          <w:szCs w:val="22"/>
        </w:rPr>
        <w:t xml:space="preserve">IHRSA. Annual health club attrition benchmarks. International Health, Racquet &amp; Sportsclub Association.</w:t>
      </w:r>
    </w:p>
    <w:p>
      <w:pPr>
        <w:spacing w:after="120"/>
      </w:pPr>
      <w:r>
        <w:rPr>
          <w:rFonts w:ascii="Arial" w:cs="Arial" w:eastAsia="Arial" w:hAnsi="Arial"/>
          <w:sz w:val="22"/>
          <w:szCs w:val="22"/>
        </w:rPr>
        <w:t xml:space="preserve">Invesp. Customer acquisition vs. retention costs. Conversion Rate Optimization.</w:t>
      </w:r>
    </w:p>
    <w:p>
      <w:pPr>
        <w:spacing w:after="120"/>
      </w:pPr>
      <w:r>
        <w:rPr>
          <w:rFonts w:ascii="Arial" w:cs="Arial" w:eastAsia="Arial" w:hAnsi="Arial"/>
          <w:sz w:val="22"/>
          <w:szCs w:val="22"/>
        </w:rPr>
        <w:t xml:space="preserve">Mossman, L. H., et al. (2022). Autonomy support in sport: A meta-analysis. International Review of Sport and Exercise Psychology.</w:t>
      </w:r>
    </w:p>
    <w:p>
      <w:pPr>
        <w:spacing w:after="120"/>
      </w:pPr>
      <w:r>
        <w:rPr>
          <w:rFonts w:ascii="Arial" w:cs="Arial" w:eastAsia="Arial" w:hAnsi="Arial"/>
          <w:sz w:val="22"/>
          <w:szCs w:val="22"/>
        </w:rPr>
        <w:t xml:space="preserve">Ryan, R. M., &amp; Deci, E. L. (2017). Self-Determination Theory: Basic psychological needs in motivation, development, and wellness. Guilford Press.</w:t>
      </w:r>
    </w:p>
    <w:p>
      <w:pPr>
        <w:spacing w:after="120"/>
      </w:pPr>
      <w:r>
        <w:rPr>
          <w:rFonts w:ascii="Arial" w:cs="Arial" w:eastAsia="Arial" w:hAnsi="Arial"/>
          <w:sz w:val="22"/>
          <w:szCs w:val="22"/>
        </w:rPr>
        <w:t xml:space="preserve">Sarrazin, P., et al. (2002). Motivation and dropout in female handballers. European Journal of Social Psychology, 32(3).</w:t>
      </w:r>
    </w:p>
    <w:p>
      <w:pPr>
        <w:spacing w:after="120"/>
      </w:pPr>
      <w:r>
        <w:rPr>
          <w:rFonts w:ascii="Arial" w:cs="Arial" w:eastAsia="Arial" w:hAnsi="Arial"/>
          <w:sz w:val="22"/>
          <w:szCs w:val="22"/>
        </w:rPr>
        <w:t xml:space="preserve">Van Yperen, N. W. (2025). Individual vs. team sport athletes: SDT need satisfaction comparison (N = 1,137).</w:t>
      </w:r>
    </w:p>
    <w:p>
      <w:pPr>
        <w:spacing w:after="120"/>
      </w:pPr>
      <w:r>
        <w:rPr>
          <w:rFonts w:ascii="Arial" w:cs="Arial" w:eastAsia="Arial" w:hAnsi="Arial"/>
          <w:sz w:val="22"/>
          <w:szCs w:val="22"/>
        </w:rPr>
        <w:t xml:space="preserve">Quality Sport Experience Framework (2023). Qualitative study of 53 athletes and stakeholders.</w:t>
      </w:r>
    </w:p>
    <w:p>
      <w:pPr>
        <w:spacing w:after="120"/>
      </w:pPr>
      <w:r>
        <w:rPr>
          <w:rFonts w:ascii="Arial" w:cs="Arial" w:eastAsia="Arial" w:hAnsi="Arial"/>
          <w:sz w:val="22"/>
          <w:szCs w:val="22"/>
        </w:rPr>
        <w:t xml:space="preserve">Chinese sports participation study (2024). Competence and autonomy mediation (N = 378).</w:t>
      </w:r>
    </w:p>
    <w:p>
      <w:pPr>
        <w:spacing w:after="120"/>
      </w:pPr>
      <w:r>
        <w:rPr>
          <w:rFonts w:ascii="Arial" w:cs="Arial" w:eastAsia="Arial" w:hAnsi="Arial"/>
          <w:sz w:val="22"/>
          <w:szCs w:val="22"/>
        </w:rPr>
        <w:t xml:space="preserve">Longitudinal youth soccer mediation model. Three-wave measurement of coach support → need satisfaction → engagement (N = 252).</w:t>
      </w:r>
    </w:p>
    <w:p>
      <w:pPr>
        <w:spacing w:after="120"/>
      </w:pPr>
      <w:r>
        <w:rPr>
          <w:rFonts w:ascii="Arial" w:cs="Arial" w:eastAsia="Arial" w:hAnsi="Arial"/>
          <w:sz w:val="22"/>
          <w:szCs w:val="22"/>
        </w:rPr>
        <w:t xml:space="preserve">Forrester Research. Customer experience and loyalty drivers.</w:t>
      </w:r>
    </w:p>
    <w:p>
      <w:pPr>
        <w:spacing w:after="120"/>
      </w:pPr>
      <w:r>
        <w:rPr>
          <w:rFonts w:ascii="Arial" w:cs="Arial" w:eastAsia="Arial" w:hAnsi="Arial"/>
          <w:sz w:val="22"/>
          <w:szCs w:val="22"/>
        </w:rPr>
        <w:t xml:space="preserve">Statista. Consumer trust in friend recommendations (90%).</w:t>
      </w:r>
    </w:p>
    <w:p>
      <w:pPr>
        <w:spacing w:after="120"/>
      </w:pPr>
      <w:r>
        <w:rPr>
          <w:rFonts w:ascii="Arial" w:cs="Arial" w:eastAsia="Arial" w:hAnsi="Arial"/>
          <w:sz w:val="22"/>
          <w:szCs w:val="22"/>
        </w:rPr>
        <w:t xml:space="preserve"/>
      </w:r>
    </w:p>
    <w:p>
      <w:pPr>
        <w:spacing w:before="400"/>
        <w:jc w:val="center"/>
      </w:pPr>
      <w:r>
        <w:rPr>
          <w:rFonts w:ascii="Arial" w:cs="Arial" w:eastAsia="Arial" w:hAnsi="Arial"/>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2026-02-23T09:23:04.182Z</dcterms:created>
  <dcterms:modified xsi:type="dcterms:W3CDTF">2026-02-23T09:23:04.182Z</dcterms:modified>
</cp:coreProperties>
</file>

<file path=docProps/custom.xml><?xml version="1.0" encoding="utf-8"?>
<Properties xmlns="http://schemas.openxmlformats.org/officeDocument/2006/custom-properties" xmlns:vt="http://schemas.openxmlformats.org/officeDocument/2006/docPropsVTypes"/>
</file>