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Results: HIV Service Satisfaction Survey</w:t>
      </w:r>
    </w:p>
    <w:p>
      <w:pPr>
        <w:pStyle w:val="Subtitle"/>
      </w:pPr>
      <w:r>
        <w:t xml:space="preserve">Dodoma Region, Tanzania — ACC Community Level Monitoring</w:t>
      </w:r>
    </w:p>
    <w:p>
      <w:pPr>
        <w:pStyle w:val="Date"/>
      </w:pPr>
      <w:r>
        <w:t xml:space="preserve">May 26,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14" w:name="results"/>
    <w:p>
      <w:pPr>
        <w:pStyle w:val="Heading1"/>
      </w:pPr>
      <w:r>
        <w:t xml:space="preserve">Results</w:t>
      </w:r>
    </w:p>
    <w:bookmarkStart w:id="9" w:name="study-participants"/>
    <w:p>
      <w:pPr>
        <w:pStyle w:val="Heading2"/>
      </w:pPr>
      <w:r>
        <w:t xml:space="preserve">Study Participants</w:t>
      </w:r>
    </w:p>
    <w:p>
      <w:pPr>
        <w:pStyle w:val="FirstParagraph"/>
      </w:pPr>
      <w:r>
        <w:t xml:space="preserve">A total of</w:t>
      </w:r>
      <w:r>
        <w:t xml:space="preserve"> </w:t>
      </w:r>
      <w:r>
        <w:rPr>
          <w:b/>
          <w:bCs/>
        </w:rPr>
        <w:t xml:space="preserve">311</w:t>
      </w:r>
      <w:r>
        <w:t xml:space="preserve"> </w:t>
      </w:r>
      <w:r>
        <w:t xml:space="preserve">individuals participated in the survey across 12 respondent categories, following the exclusion of data collected on 18 May 2026 which was identified as non-viable prior to analysis. Respondents spanned the full spectrum of actors involved in HIV service delivery and uptake in the Dodoma Region: direct service users (pregnant and breastfeeding women [PBFW,</w:t>
      </w:r>
      <w:r>
        <w:t xml:space="preserve"> </w:t>
      </w:r>
      <w:r>
        <w:rPr>
          <w:i/>
          <w:iCs/>
        </w:rPr>
        <w:t xml:space="preserve">n</w:t>
      </w:r>
      <w:r>
        <w:t xml:space="preserve"> </w:t>
      </w:r>
      <w:r>
        <w:t xml:space="preserve">= 72], persons living with HIV from the general community [</w:t>
      </w:r>
      <w:r>
        <w:rPr>
          <w:i/>
          <w:iCs/>
        </w:rPr>
        <w:t xml:space="preserve">n</w:t>
      </w:r>
      <w:r>
        <w:t xml:space="preserve"> </w:t>
      </w:r>
      <w:r>
        <w:t xml:space="preserve">= 69], adolescents and youth [</w:t>
      </w:r>
      <w:r>
        <w:rPr>
          <w:i/>
          <w:iCs/>
        </w:rPr>
        <w:t xml:space="preserve">n</w:t>
      </w:r>
      <w:r>
        <w:t xml:space="preserve"> </w:t>
      </w:r>
      <w:r>
        <w:t xml:space="preserve">= 32], and caregivers of HIV-positive children [</w:t>
      </w:r>
      <w:r>
        <w:rPr>
          <w:i/>
          <w:iCs/>
        </w:rPr>
        <w:t xml:space="preserve">n</w:t>
      </w:r>
      <w:r>
        <w:t xml:space="preserve"> </w:t>
      </w:r>
      <w:r>
        <w:t xml:space="preserve">= 53]); community-based actors (Community Health Workers [CHWs,</w:t>
      </w:r>
      <w:r>
        <w:t xml:space="preserve"> </w:t>
      </w:r>
      <w:r>
        <w:rPr>
          <w:i/>
          <w:iCs/>
        </w:rPr>
        <w:t xml:space="preserve">n</w:t>
      </w:r>
      <w:r>
        <w:t xml:space="preserve"> </w:t>
      </w:r>
      <w:r>
        <w:t xml:space="preserve">= 6], community elders [</w:t>
      </w:r>
      <w:r>
        <w:rPr>
          <w:i/>
          <w:iCs/>
        </w:rPr>
        <w:t xml:space="preserve">n</w:t>
      </w:r>
      <w:r>
        <w:t xml:space="preserve"> </w:t>
      </w:r>
      <w:r>
        <w:t xml:space="preserve">= 2], religious leaders [</w:t>
      </w:r>
      <w:r>
        <w:rPr>
          <w:i/>
          <w:iCs/>
        </w:rPr>
        <w:t xml:space="preserve">n</w:t>
      </w:r>
      <w:r>
        <w:t xml:space="preserve"> </w:t>
      </w:r>
      <w:r>
        <w:t xml:space="preserve">= 3], traditional birth attendants [</w:t>
      </w:r>
      <w:r>
        <w:rPr>
          <w:i/>
          <w:iCs/>
        </w:rPr>
        <w:t xml:space="preserve">n</w:t>
      </w:r>
      <w:r>
        <w:t xml:space="preserve"> </w:t>
      </w:r>
      <w:r>
        <w:t xml:space="preserve">= 4], and teachers [</w:t>
      </w:r>
      <w:r>
        <w:rPr>
          <w:i/>
          <w:iCs/>
        </w:rPr>
        <w:t xml:space="preserve">n</w:t>
      </w:r>
      <w:r>
        <w:t xml:space="preserve"> </w:t>
      </w:r>
      <w:r>
        <w:t xml:space="preserve">= 4]); community group participants assessed through focus group discussions (FGD,</w:t>
      </w:r>
      <w:r>
        <w:t xml:space="preserve"> </w:t>
      </w:r>
      <w:r>
        <w:rPr>
          <w:i/>
          <w:iCs/>
        </w:rPr>
        <w:t xml:space="preserve">n</w:t>
      </w:r>
      <w:r>
        <w:t xml:space="preserve"> </w:t>
      </w:r>
      <w:r>
        <w:t xml:space="preserve">= 19); key informants (</w:t>
      </w:r>
      <w:r>
        <w:rPr>
          <w:i/>
          <w:iCs/>
        </w:rPr>
        <w:t xml:space="preserve">n</w:t>
      </w:r>
      <w:r>
        <w:t xml:space="preserve"> </w:t>
      </w:r>
      <w:r>
        <w:t xml:space="preserve">= 23); and healthcare providers (</w:t>
      </w:r>
      <w:r>
        <w:rPr>
          <w:i/>
          <w:iCs/>
        </w:rPr>
        <w:t xml:space="preserve">n</w:t>
      </w:r>
      <w:r>
        <w:t xml:space="preserve"> </w:t>
      </w:r>
      <w:r>
        <w:t xml:space="preserve">= 24). Five groups (CHWs, community elders, religious leaders, traditional birth attendants, and teachers) had fewer than ten respondents; findings from these groups are presented for completeness but should be interpreted as indicative rather than representative. Table 1 presents the composition of each group and their overall satisfaction level.</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Study participants and overall satisfaction by respondent group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3888"/>
        <w:gridCol w:w="1080"/>
        <w:gridCol w:w="1080"/>
        <w:gridCol w:w="1080"/>
        <w:gridCol w:w="1728"/>
        <w:gridCol w:w="144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FFFFFF"/>
              </w:rPr>
              <w:t xml:space="preserve">Respondent Group</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FFFFFF"/>
              </w:rPr>
              <w:t xml:space="preserve">N</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FFFFFF"/>
              </w:rPr>
              <w:t xml:space="preserve">Rating items</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FFFFFF"/>
              </w:rPr>
              <w:t xml:space="preserve">Mean score (1–5)</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FFFFFF"/>
              </w:rPr>
              <w:t xml:space="preserve">Overall % Satisfied</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FFFFFF"/>
              </w:rPr>
              <w:t xml:space="preserve">Sex stratified</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Adolescents &amp; Youth</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3.68</w:t>
            </w:r>
          </w:p>
        </w:tc>
        <w:tc>
          <w:tcPr>
            <w:tcBorders>
              <w:bottom w:val="single" w:sz="6" w:space="0" w:color="666666"/>
              <w:top w:val="single" w:sz="12"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89.3%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Caregivers of HIV-Positive Children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4.09</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Community Health Workers (CHWs)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4.09</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FGD – Community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3.79</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HIV General Community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3.77</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Key Informants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3.73</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Community Elders (Kiongozi wa Konga)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3.50</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Pregnant &amp; Breastfeeding Women (PBFW)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3.84</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Religious Leaders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3.57</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Traditional Birth Attendants (Wakunga wa Jadi)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4.24</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Teachers (Walimu)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3.94</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Healthcare Providers (Watoa Huduma)</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3.63</w:t>
            </w:r>
          </w:p>
        </w:tc>
        <w:tc>
          <w:tcPr>
            <w:tcBorders>
              <w:bottom w:val="single" w:sz="12"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84.1%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w:t>
            </w:r>
          </w:p>
        </w:tc>
      </w:tr>
    </w:tbl>
    <w:p>
      <w:pPr>
        <w:pStyle w:val="BodyText"/>
      </w:pPr>
      <w:r>
        <w:rPr>
          <w:i/>
          <w:iCs/>
        </w:rPr>
        <w:t xml:space="preserve">Note: Shading in the</w:t>
      </w:r>
      <w:r>
        <w:rPr>
          <w:i/>
          <w:iCs/>
        </w:rPr>
        <w:t xml:space="preserve"> </w:t>
      </w:r>
      <w:r>
        <w:rPr>
          <w:i/>
          <w:iCs/>
        </w:rPr>
        <w:t xml:space="preserve">“Overall % Satisfied”</w:t>
      </w:r>
      <w:r>
        <w:rPr>
          <w:i/>
          <w:iCs/>
        </w:rPr>
        <w:t xml:space="preserve"> </w:t>
      </w:r>
      <w:r>
        <w:rPr>
          <w:i/>
          <w:iCs/>
        </w:rPr>
        <w:t xml:space="preserve">column — green ≥ 75%, amber 50–74%, red &lt; 50%.</w:t>
      </w:r>
      <w:r>
        <w:rPr>
          <w:i/>
          <w:iCs/>
        </w:rPr>
        <w:t xml:space="preserve"> </w:t>
      </w:r>
      <w:r>
        <w:rPr>
          <w:i/>
          <w:iCs/>
        </w:rPr>
        <w:t xml:space="preserve">“Rating items”</w:t>
      </w:r>
      <w:r>
        <w:rPr>
          <w:i/>
          <w:iCs/>
        </w:rPr>
        <w:t xml:space="preserve"> </w:t>
      </w:r>
      <w:r>
        <w:rPr>
          <w:i/>
          <w:iCs/>
        </w:rPr>
        <w:t xml:space="preserve">refers to the number of Likert-scale questions answered by each group. Sex stratification was conducted for groups with ≥ 5 respondents of each sex. Groups with n &lt; 10 are indicative only.</w:t>
      </w:r>
    </w:p>
    <w:p>
      <w:r>
        <w:pict>
          <v:rect style="width:0;height:1.5pt" o:hralign="center" o:hrstd="t" o:hr="t"/>
        </w:pict>
      </w:r>
    </w:p>
    <w:bookmarkEnd w:id="9"/>
    <w:bookmarkStart w:id="10" w:name="overall-satisfaction-with-hiv-services"/>
    <w:p>
      <w:pPr>
        <w:pStyle w:val="Heading2"/>
      </w:pPr>
      <w:r>
        <w:t xml:space="preserve">Overall Satisfaction with HIV Services</w:t>
      </w:r>
    </w:p>
    <w:p>
      <w:pPr>
        <w:pStyle w:val="FirstParagraph"/>
      </w:pPr>
      <w:r>
        <w:t xml:space="preserve">Overall, 90.6% of respondents across all 12 groups reported satisfaction with HIV services in the Dodoma Region (mean response rated 3 or above on the 5-point scale). Of the 12 groups assessed, 12 recorded high satisfaction (≥ 75%), 0 moderate satisfaction (50–74%), and 0 below 50%. The highest satisfaction was recorded among Traditional Birth Attendants (Wakunga wa Jadi) (100%), while the lowest was observed in Religious Leaders (80%). Despite variation across groups, the preponderance of satisfaction ratings above the midpoint indicates broadly positive perceptions of HIV service delivery across respondent categories. Table 2 presents a ranked cross-group comparison.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 Cross-group comparison of satisfaction with HIV services, ranked by overall percentage satisfied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3168"/>
        <w:gridCol w:w="648"/>
        <w:gridCol w:w="1440"/>
        <w:gridCol w:w="1080"/>
        <w:gridCol w:w="2448"/>
        <w:gridCol w:w="2448"/>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FFFFFF"/>
              </w:rPr>
              <w:t xml:space="preserve">Respondent Group</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FFFFFF"/>
              </w:rPr>
              <w:t xml:space="preserve">N</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FFFFFF"/>
              </w:rPr>
              <w:t xml:space="preserve">Overall % Satisfied</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FFFFFF"/>
              </w:rPr>
              <w:t xml:space="preserve">Mean Score</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FFFFFF"/>
              </w:rPr>
              <w:t xml:space="preserve">Highest-rated area</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FFFFFF"/>
              </w:rPr>
              <w:t xml:space="preserve">Lowest-rated area</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Traditional Birth Attendants (Wakunga wa Jadi)</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single" w:sz="6" w:space="0" w:color="666666"/>
              <w:top w:val="single" w:sz="12"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4.24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Kwa ujumla, unapimaje huduma za afya ya uzazi k... |...</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Unapimaje upatikanaji wa huduma za afya kwa waj... |...</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Community Elders (Kiongozi wa Konga)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Unapimaje ubora wa huduma za tiba na matunzo  k...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Unapimaje upatikanaji wa huduma za VVU kwa jamii? | ...</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Community Health Workers (CHWs)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Unapimaje msaada unaotolewa kwa WAVIU wapya wal...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Unapimaje ufanisi wa vikundi vya msaada vya jamii? |...</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Pregnant &amp; Breastfeeding Women (PBFW)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72</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Mizunguko ya uchukuaji wa sampuli za DBS kwa wa...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Gharama inayotumika  wakati wa miadi ya kliniki | Ut...</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FGD – Community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Utoaji wa Dawa kwa Miezi 6 | Upatikanaji | Utoaji wa...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Gharama inayotumika  wakati wa miadi ya Kliniki | Um...</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HIV General Community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69</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Availability of ARVs and HIV medicines? / Uwepo...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Distance and ease of reaching HIV services? / U... |...</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Caregivers of HIV-Positive Children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53</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Elimu na uelewa wa watoa huduma juu ya ubaguzi ...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Mchango wa viongozi wa dini unaotolewa kuhusu u... |...</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Adolescents &amp; Youth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32</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Hali ya utolewaji wa huduma rafiki kwa vijana | Kuun...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Upatikanaji wa dawa kinga (PrEP) | Usaidizi wa kiuch...</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Key Informants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23</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Unapimaje faragha na usiri wakati wa utoaji wa ...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Unapimaje mchango wa jamii katika kusaidia WAVI... |...</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Healthcare Providers (Watoa Huduma)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24</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Uelewa wa wamama waliojifungua juu ya elimu  in...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Upatikanaji wa mashine za kupima wingi wa virusi | M...</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Teachers (Walimu)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Unapimaje uelewa wa wanafunzi kuhusu VVU? | Unapimaj...</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Unapimaje mazingira ya shule katika kupunguza u... |...</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Religious Leaders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w:t>
            </w:r>
          </w:p>
        </w:tc>
        <w:tc>
          <w:tcPr>
            <w:tcBorders>
              <w:bottom w:val="single" w:sz="12"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3.57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Unapimaje ushirikiano kati ya viongozi wa dini ... |...</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Unapimaje ushiriki wa familia katika kusaidia W... |...</w:t>
            </w:r>
          </w:p>
        </w:tc>
      </w:tr>
    </w:tbl>
    <w:p>
      <w:pPr>
        <w:pStyle w:val="BodyText"/>
      </w:pPr>
      <w:r>
        <w:rPr>
          <w:i/>
          <w:iCs/>
        </w:rPr>
        <w:t xml:space="preserve">Highest- and lowest-rated areas shown are the top entry from each group’s ranked item list. For groups with multiple respondent sub-categories (e.g., healthcare providers), item wording reflects the specific sub-instrument used.</w:t>
      </w:r>
    </w:p>
    <w:p>
      <w:r>
        <w:pict>
          <v:rect style="width:0;height:1.5pt" o:hralign="center" o:hrstd="t" o:hr="t"/>
        </w:pict>
      </w:r>
    </w:p>
    <w:bookmarkEnd w:id="10"/>
    <w:bookmarkStart w:id="11" w:name="satisfaction-by-respondent-group"/>
    <w:p>
      <w:pPr>
        <w:pStyle w:val="Heading2"/>
      </w:pPr>
      <w:r>
        <w:t xml:space="preserve">Satisfaction by Respondent Group</w:t>
      </w:r>
    </w:p>
    <w:p>
      <w:pPr>
        <w:pStyle w:val="FirstParagraph"/>
      </w:pPr>
      <w:r>
        <w:t xml:space="preserve">The following sub-sections present item-level satisfaction findings for each respondent group. For each group, a binary satisfaction table is presented showing the percentage of respondents satisfied (rated 3–5) and not satisfied (rated 1–2) for each service area, sorted from highest to lowest satisfaction. For three groups with sufficient sample sizes across both sexes — Adolescents &amp; Youth, Caregivers of HIV-Positive Children, and Healthcare Providers — a sex-stratified table follows, showing satisfaction rates for male and female respondents separately. Differences greater than 15 percentage points between sexes are highlighted in bold. All tables use the same colour convention:</w:t>
      </w:r>
      <w:r>
        <w:t xml:space="preserve"> </w:t>
      </w:r>
      <w:r>
        <w:rPr>
          <w:b/>
          <w:bCs/>
        </w:rPr>
        <w:t xml:space="preserve">green</w:t>
      </w:r>
      <w:r>
        <w:t xml:space="preserve"> </w:t>
      </w:r>
      <w:r>
        <w:t xml:space="preserve">≥ 75% satisfied,</w:t>
      </w:r>
      <w:r>
        <w:t xml:space="preserve"> </w:t>
      </w:r>
      <w:r>
        <w:rPr>
          <w:b/>
          <w:bCs/>
        </w:rPr>
        <w:t xml:space="preserve">amber</w:t>
      </w:r>
      <w:r>
        <w:t xml:space="preserve"> </w:t>
      </w:r>
      <w:r>
        <w:t xml:space="preserve">50–74%,</w:t>
      </w:r>
      <w:r>
        <w:t xml:space="preserve"> </w:t>
      </w:r>
      <w:r>
        <w:rPr>
          <w:b/>
          <w:bCs/>
        </w:rPr>
        <w:t xml:space="preserve">red</w:t>
      </w:r>
      <w:r>
        <w:t xml:space="preserve"> </w:t>
      </w:r>
      <w:r>
        <w:t xml:space="preserve">&lt; 50%.</w:t>
      </w:r>
    </w:p>
    <w:bookmarkEnd w:id="11"/>
    <w:bookmarkStart w:id="12" w:name="X868d483082092abd658717035f989af6f61ced4"/>
    <w:p>
      <w:pPr>
        <w:pStyle w:val="Heading2"/>
      </w:pPr>
      <w:r>
        <w:t xml:space="preserve">Qualitative Analysis of Written Responses</w:t>
      </w:r>
    </w:p>
    <w:p>
      <w:pPr>
        <w:pStyle w:val="FirstParagraph"/>
      </w:pPr>
      <w:r>
        <w:t xml:space="preserve">In addition to the structured Likert-scale ratings, participants provided written comments (</w:t>
      </w:r>
      <w:r>
        <w:rPr>
          <w:i/>
          <w:iCs/>
        </w:rPr>
        <w:t xml:space="preserve">maoni</w:t>
      </w:r>
      <w:r>
        <w:t xml:space="preserve">) capturing their perceptions, experiences, and recommendations. Across all groups,</w:t>
      </w:r>
      <w:r>
        <w:t xml:space="preserve"> </w:t>
      </w:r>
      <w:r>
        <w:rPr>
          <w:b/>
          <w:bCs/>
        </w:rPr>
        <w:t xml:space="preserve">399</w:t>
      </w:r>
      <w:r>
        <w:t xml:space="preserve"> </w:t>
      </w:r>
      <w:r>
        <w:t xml:space="preserve">responses were coded to one or more of eight thematic categories using a Swahili keyword-based rubric. Each response was also classified by sentiment (Positive, Negative, or Mixed) to indicate whether participants were expressing satisfaction or raising concerns within each theme. Crucially, written responses were linked to each respondent’s overall satisfaction classification (as derived from the PCA-based median split), enabling differentiation between what</w:t>
      </w:r>
      <w:r>
        <w:t xml:space="preserve"> </w:t>
      </w:r>
      <w:r>
        <w:rPr>
          <w:i/>
          <w:iCs/>
        </w:rPr>
        <w:t xml:space="preserve">satisfied</w:t>
      </w:r>
      <w:r>
        <w:t xml:space="preserve"> </w:t>
      </w:r>
      <w:r>
        <w:t xml:space="preserve">and</w:t>
      </w:r>
      <w:r>
        <w:t xml:space="preserve"> </w:t>
      </w:r>
      <w:r>
        <w:rPr>
          <w:i/>
          <w:iCs/>
        </w:rPr>
        <w:t xml:space="preserve">dissatisfied</w:t>
      </w:r>
      <w:r>
        <w:t xml:space="preserve"> </w:t>
      </w:r>
      <w:r>
        <w:t xml:space="preserve">respondents emphasised in their comments.</w:t>
      </w:r>
    </w:p>
    <w:p>
      <w:pPr>
        <w:pStyle w:val="BodyText"/>
      </w:pPr>
      <w:r>
        <w:t xml:space="preserve">Table 3 presents an aggregated summary across all themes. Across the coded responses,</w:t>
      </w:r>
      <w:r>
        <w:t xml:space="preserve"> </w:t>
      </w:r>
      <w:r>
        <w:rPr>
          <w:b/>
          <w:bCs/>
        </w:rPr>
        <w:t xml:space="preserve">Access &amp; Availability</w:t>
      </w:r>
      <w:r>
        <w:t xml:space="preserve"> </w:t>
      </w:r>
      <w:r>
        <w:t xml:space="preserve">and</w:t>
      </w:r>
      <w:r>
        <w:t xml:space="preserve"> </w:t>
      </w:r>
      <w:r>
        <w:rPr>
          <w:b/>
          <w:bCs/>
        </w:rPr>
        <w:t xml:space="preserve">Community &amp; Family Support</w:t>
      </w:r>
      <w:r>
        <w:t xml:space="preserve"> </w:t>
      </w:r>
      <w:r>
        <w:t xml:space="preserve">generated the largest volumes of commentary.</w:t>
      </w:r>
      <w:r>
        <w:t xml:space="preserve"> </w:t>
      </w:r>
      <w:r>
        <w:rPr>
          <w:b/>
          <w:bCs/>
        </w:rPr>
        <w:t xml:space="preserve">Economic &amp; Logistical Barriers</w:t>
      </w:r>
      <w:r>
        <w:t xml:space="preserve"> </w:t>
      </w:r>
      <w:r>
        <w:t xml:space="preserve">and</w:t>
      </w:r>
      <w:r>
        <w:t xml:space="preserve"> </w:t>
      </w:r>
      <w:r>
        <w:rPr>
          <w:b/>
          <w:bCs/>
        </w:rPr>
        <w:t xml:space="preserve">Waiting Time &amp; Facility Flow</w:t>
      </w:r>
      <w:r>
        <w:t xml:space="preserve"> </w:t>
      </w:r>
      <w:r>
        <w:t xml:space="preserve">attracted proportionally higher rates of negative or mixed sentiment, and responses on these themes were disproportionately from respondents classified as Not Satisfied — reinforcing the quantitative finding that these are priority areas for service improvement. In contrast,</w:t>
      </w:r>
      <w:r>
        <w:t xml:space="preserve"> </w:t>
      </w:r>
      <w:r>
        <w:rPr>
          <w:b/>
          <w:bCs/>
        </w:rPr>
        <w:t xml:space="preserve">Service Quality &amp; Provider Behaviour</w:t>
      </w:r>
      <w:r>
        <w:t xml:space="preserve"> </w:t>
      </w:r>
      <w:r>
        <w:t xml:space="preserve">elicited the highest rates of positive sentiment, consistent with the strong satisfaction ratings observed across groups for provider-related items.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 Thematic analysis of written responses: sentiment and satisfaction group by theme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3600"/>
        <w:gridCol w:w="1296"/>
        <w:gridCol w:w="1872"/>
        <w:gridCol w:w="1872"/>
        <w:gridCol w:w="2160"/>
        <w:gridCol w:w="21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FFFFFF"/>
              </w:rPr>
              <w:t xml:space="preserve">Theme</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FFFFFF"/>
              </w:rPr>
              <w:t xml:space="preserve">Total responses</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FFFFFF"/>
              </w:rPr>
              <w:t xml:space="preserve">% Positive sentiment</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FFFFFF"/>
              </w:rPr>
              <w:t xml:space="preserve">% Negative / Mixed sentiment</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FFFFFF"/>
              </w:rPr>
              <w:t xml:space="preserve">From Satisfied respondents</w:t>
            </w:r>
          </w:p>
        </w:tc>
        <w:tc>
          <w:tcPr>
            <w:tcBorders>
              <w:bottom w:val="single" w:sz="12" w:space="0" w:color="666666"/>
              <w:top w:val="single" w:sz="12" w:space="0" w:color="666666"/>
              <w:left w:val="none" w:sz="0" w:space="0" w:color="000000"/>
              <w:right w:val="none" w:sz="0" w:space="0" w:color="000000"/>
            </w:tcBorders>
            <w:shd w:val="clear" w:color="auto" w:fill="1A3A5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FFFFFF"/>
              </w:rPr>
              <w:t xml:space="preserve">From Not Satisfied respondents</w:t>
            </w:r>
          </w:p>
        </w:tc>
      </w:tr>
      <w:tr>
        <w:trPr>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 – Service Quality &amp; Provider Behaviour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66</w:t>
            </w:r>
          </w:p>
        </w:tc>
        <w:tc>
          <w:tcPr>
            <w:tcBorders>
              <w:bottom w:val="single" w:sz="6" w:space="0" w:color="666666"/>
              <w:top w:val="single" w:sz="12"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56%</w:t>
            </w:r>
          </w:p>
        </w:tc>
        <w:tc>
          <w:tcPr>
            <w:tcBorders>
              <w:bottom w:val="single" w:sz="6" w:space="0" w:color="666666"/>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 (33%)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39 (67%)</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B – Access &amp; Availability of Services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94</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14%</w:t>
            </w:r>
          </w:p>
        </w:tc>
        <w:tc>
          <w:tcPr>
            <w:tcBorders>
              <w:bottom w:val="single" w:sz="6" w:space="0" w:color="666666"/>
              <w:top w:val="single" w:sz="6"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33 (41%)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47 (59%)</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 – Waiting Time &amp; Facility Flow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 (20%)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 (80%)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D – Stigma &amp; Discrimination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34</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 (23%)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 (77%)</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E – Economic &amp; Logistical Barriers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47</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 (19%)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38 (81%)</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F – Treatment &amp; Medication Adherence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25</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 (35%)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 (65%)</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G – Community &amp; Family Support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88</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23 (33%)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47 (67%)</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 – Suggestions &amp; Recommendations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33</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 (44%)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 (56%)</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Pregnant &amp; Breastfeeding Women (PBFW)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 (24%)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 (76%)</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Caregivers of HIV-Positive Children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 (12%)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(88%)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HIV General Community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 (9%)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(91%)</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Healthcare Providers (Watoa Huduma)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 (8%)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(92%)</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Key Informants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 (7%)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(93%)</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Adolescents &amp; Youth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Community Health Workers (CHWs)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 (2%)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Community Elders (Kiongozi wa Konga)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 (1%)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(99%)</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HIV General Community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 (24%)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(76%)</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Pregnant &amp; Breastfeeding Women (PBFW)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 (23%)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(77%)</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Healthcare Providers (Watoa Huduma)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 (14%)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(86%)</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Adolescents &amp; Youth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(89%)</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Key Informants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(92%)</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Caregivers of HIV-Positive Children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 (2%)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Teachers (Walimu)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Community Elders (Kiongozi wa Konga)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(99%)</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Community Health Workers (CHWs)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(99%)</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Healthcare Providers (Watoa Huduma)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(93%)</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Pregnant &amp; Breastfeeding Women (PBFW)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(97%)</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HIV General Community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(99%)</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Caregivers of HIV-Positive Children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 (10%)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Healthcare Providers (Watoa Huduma)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(92%)</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HIV General Community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(94%)</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Key Informants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(96%)</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Community Elders (Kiongozi wa Konga)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Pregnant &amp; Breastfeeding Women (PBFW)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 (2%)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Adolescents &amp; Youth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(99%)</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Religious Leaders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(99%)</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Pregnant &amp; Breastfeeding Women (PBFW)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 (82%)</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HIV General Community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(87%)</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Key Informants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(89%)</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Adolescents &amp; Youth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(97%)</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Caregivers of HIV-Positive Children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 (1%)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(99%)</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Adolescents &amp; Youth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(92%)</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Pregnant &amp; Breastfeeding Women (PBFW)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 (5%)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(95%)</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Key Informants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(97%)</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Caregivers of HIV-Positive Children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HIV General Community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Healthcare Providers (Watoa Huduma)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Key Informants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 (20%)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 (80%)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HIV General Community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(81%)</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Healthcare Providers (Watoa Huduma)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(82%)</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Pregnant &amp; Breastfeeding Women (PBFW)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 (11%)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(89%)</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Caregivers of HIV-Positive Children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 (10%)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Community Elders (Kiongozi wa Konga)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(97%)</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Adolescents &amp; Youth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Community Health Workers (CHWs)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Religious Leaders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(99%)</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Teachers (Walimu)</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(99%)</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HIV General Community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(91%)</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Healthcare Providers (Watoa Huduma)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(94%)</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Key Informants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 (94%)</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Pregnant &amp; Breastfeeding Women (PBFW)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 (95%)</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Adolescents &amp; Youth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 (3%)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(97%)</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Caregivers of HIV-Positive Children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
            </w:r>
          </w:p>
        </w:tc>
        <w:tc>
          <w:tcPr>
            <w:tcBorders>
              <w:bottom w:val="single" w:sz="12" w:space="0" w:color="666666"/>
              <w:top w:val="single" w:sz="6" w:space="0" w:color="666666"/>
              <w:left w:val="none" w:sz="0" w:space="0" w:color="000000"/>
              <w:right w:val="none" w:sz="0" w:space="0" w:color="000000"/>
            </w:tcBorders>
            <w:shd w:val="clear" w:color="auto" w:fill="F8D7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12" w:space="0" w:color="666666"/>
              <w:top w:val="single" w:sz="6" w:space="0" w:color="666666"/>
              <w:left w:val="none" w:sz="0" w:space="0" w:color="000000"/>
              <w:right w:val="none" w:sz="0" w:space="0" w:color="000000"/>
            </w:tcBorders>
            <w:shd w:val="clear" w:color="auto" w:fill="D4EDD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 (99%)</w:t>
            </w:r>
          </w:p>
        </w:tc>
      </w:tr>
    </w:tbl>
    <w:p>
      <w:pPr>
        <w:pStyle w:val="BodyText"/>
      </w:pPr>
      <w:r>
        <w:rPr>
          <w:i/>
          <w:iCs/>
        </w:rPr>
        <w:t xml:space="preserve">“% Positive sentiment”</w:t>
      </w:r>
      <w:r>
        <w:rPr>
          <w:i/>
          <w:iCs/>
        </w:rPr>
        <w:t xml:space="preserve"> </w:t>
      </w:r>
      <w:r>
        <w:rPr>
          <w:i/>
          <w:iCs/>
        </w:rPr>
        <w:t xml:space="preserve">indicates the proportion of responses within each theme expressing appreciation or satisfaction.</w:t>
      </w:r>
      <w:r>
        <w:rPr>
          <w:i/>
          <w:iCs/>
        </w:rPr>
        <w:t xml:space="preserve"> </w:t>
      </w:r>
      <w:r>
        <w:rPr>
          <w:i/>
          <w:iCs/>
        </w:rPr>
        <w:t xml:space="preserve">“% Negative / Mixed sentiment”</w:t>
      </w:r>
      <w:r>
        <w:rPr>
          <w:i/>
          <w:iCs/>
        </w:rPr>
        <w:t xml:space="preserve"> </w:t>
      </w:r>
      <w:r>
        <w:rPr>
          <w:i/>
          <w:iCs/>
        </w:rPr>
        <w:t xml:space="preserve">reflects concerns, criticism, or ambivalence.</w:t>
      </w:r>
      <w:r>
        <w:rPr>
          <w:i/>
          <w:iCs/>
        </w:rPr>
        <w:t xml:space="preserve"> </w:t>
      </w:r>
      <w:r>
        <w:rPr>
          <w:i/>
          <w:iCs/>
        </w:rPr>
        <w:t xml:space="preserve">“From Satisfied / Not Satisfied respondents”</w:t>
      </w:r>
      <w:r>
        <w:rPr>
          <w:i/>
          <w:iCs/>
        </w:rPr>
        <w:t xml:space="preserve"> </w:t>
      </w:r>
      <w:r>
        <w:rPr>
          <w:i/>
          <w:iCs/>
        </w:rPr>
        <w:t xml:space="preserve">links each theme’s comments back to the respondent’s overall satisfaction classification (PCA-based binary label), showing whose voice predominates in each thematic area. Green = favourable direction; amber = moderate concern; red = notable concern.</w:t>
      </w:r>
    </w:p>
    <w:p>
      <w:r>
        <w:pict>
          <v:rect style="width:0;height:1.5pt" o:hralign="center" o:hrstd="t" o:hr="t"/>
        </w:pict>
      </w:r>
    </w:p>
    <w:bookmarkEnd w:id="12"/>
    <w:bookmarkStart w:id="13" w:name="summary"/>
    <w:p>
      <w:pPr>
        <w:pStyle w:val="Heading2"/>
      </w:pPr>
      <w:r>
        <w:t xml:space="preserve">Summary</w:t>
      </w:r>
    </w:p>
    <w:p>
      <w:pPr>
        <w:pStyle w:val="FirstParagraph"/>
      </w:pPr>
      <w:r>
        <w:t xml:space="preserve">Overall, HIV services in the Dodoma Region were received positively by the surveyed community, with a mean satisfaction rate of</w:t>
      </w:r>
      <w:r>
        <w:t xml:space="preserve"> </w:t>
      </w:r>
      <w:r>
        <w:rPr>
          <w:b/>
          <w:bCs/>
        </w:rPr>
        <w:t xml:space="preserve">90.6%</w:t>
      </w:r>
      <w:r>
        <w:t xml:space="preserve"> </w:t>
      </w:r>
      <w:r>
        <w:t xml:space="preserve">across all 12 respondent groups. High satisfaction was particularly consistent for provider behaviour and patient dignity, access to antiretroviral therapy, anti-stigma efforts, and integration into care and treatment — service areas where satisfaction commonly exceeded 90%. Conversely, satisfaction was lowest for economic and logistical support mechanisms, outreach services to hard-to-reach populations, waiting times, and the availability of prevention commodities (PrEP and PEP). Sex-stratified analysis among the three groups with adequate male and female representation (Adolescents &amp; Youth, Caregivers of HIV-Positive Children, and Healthcare Providers) showed broadly comparable satisfaction patterns between sexes, though notable gaps — particularly in PrEP access and economic support for adolescents — merit programmatic attention. Written responses corroborated the quantitative findings: positive comments centred on service quality, counselling, and community support, while critical comments converged on access barriers, costs, and drug supply challenges. These findings provide a coherent basis for prioritising service improvement in the Dodoma Region HIV programme.</w:t>
      </w:r>
    </w:p>
    <w:p>
      <w:pPr>
        <w:pStyle w:val="BodyText"/>
      </w:pPr>
      <w:r>
        <w:rPr>
          <w:i/>
          <w:iCs/>
        </w:rPr>
        <w:t xml:space="preserve">Five respondent groups — Community Health Workers, Community Elders, Religious Leaders, Traditional Birth Attendants, and Teachers — had sample sizes below ten. Their findings are presented for context and programme learning but should not be interpreted as statistically representative of their respective populations.</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HIV Service Satisfaction Survey</dc:title>
  <dc:creator/>
  <cp:keywords/>
  <dcterms:created xsi:type="dcterms:W3CDTF">2026-05-26T20:53:17Z</dcterms:created>
  <dcterms:modified xsi:type="dcterms:W3CDTF">2026-05-26T20:53:17Z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26, 2026</vt:lpwstr>
  </property>
  <property fmtid="{D5CDD505-2E9C-101B-9397-08002B2CF9AE}" pid="3" name="output">
    <vt:lpwstr/>
  </property>
  <property fmtid="{D5CDD505-2E9C-101B-9397-08002B2CF9AE}" pid="4" name="subtitle">
    <vt:lpwstr>Dodoma Region, Tanzania — ACC Community Level Monitoring</vt:lpwstr>
  </property>
</Properties>
</file>