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28"/>
          <w:szCs w:val="28"/>
        </w:rPr>
        <w:t xml:space="preserve">Selección de indicadores clave de mantenimiento</w:t>
      </w:r>
    </w:p>
    <w:p>
      <w:pPr>
        <w:spacing w:after="60"/>
        <w:jc w:val="center"/>
      </w:pPr>
      <w:r>
        <w:rPr>
          <w:rFonts w:ascii="Arial" w:cs="Arial" w:eastAsia="Arial" w:hAnsi="Arial"/>
          <w:i/>
          <w:iCs/>
          <w:color w:val="555555"/>
          <w:sz w:val="21"/>
          <w:szCs w:val="21"/>
        </w:rPr>
        <w:t xml:space="preserve">Gestión digital de mantenimiento de compresores industriales – Incolmotos Yamaha</w:t>
      </w:r>
    </w:p>
    <w:p>
      <w:pPr>
        <w:spacing w:after="60"/>
        <w:jc w:val="center"/>
      </w:pPr>
      <w:r>
        <w:rPr>
          <w:rFonts w:ascii="Arial" w:cs="Arial" w:eastAsia="Arial" w:hAnsi="Arial"/>
          <w:i/>
          <w:iCs/>
          <w:color w:val="555555"/>
          <w:sz w:val="21"/>
          <w:szCs w:val="21"/>
        </w:rPr>
        <w:t xml:space="preserve">Sprint 3  ·  HU15</w:t>
      </w:r>
    </w:p>
    <w:p>
      <w:pPr>
        <w:spacing w:after="320"/>
        <w:jc w:val="center"/>
      </w:pPr>
      <w:r>
        <w:rPr>
          <w:rFonts w:ascii="Arial" w:cs="Arial" w:eastAsia="Arial" w:hAnsi="Arial"/>
          <w:i/>
          <w:iCs/>
          <w:color w:val="555555"/>
          <w:sz w:val="21"/>
          <w:szCs w:val="21"/>
        </w:rPr>
        <w:t xml:space="preserve">Mateo Ortiz Zapata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C3E50" w:sz="6"/>
              <w:left w:val="single" w:color="2C3E50" w:sz="6"/>
              <w:bottom w:val="single" w:color="2C3E50" w:sz="6"/>
              <w:right w:val="single" w:color="2C3E50" w:sz="6"/>
            </w:tcBorders>
            <w:shd w:fill="D6E4F0" w:val="clear"/>
            <w:tcMar>
              <w:top w:type="dxa" w:w="100"/>
              <w:left w:type="dxa" w:w="140"/>
              <w:bottom w:type="dxa" w:w="100"/>
              <w:right w:type="dxa" w:w="140"/>
            </w:tcMar>
            <w:vAlign w:val="center"/>
          </w:tcPr>
          <w:p>
            <w:r>
              <w:rPr>
                <w:rFonts w:ascii="Arial" w:cs="Arial" w:eastAsia="Arial" w:hAnsi="Arial"/>
                <w:b/>
                <w:bCs/>
                <w:sz w:val="19"/>
                <w:szCs w:val="19"/>
              </w:rPr>
              <w:t xml:space="preserve">Tarea asignada</w:t>
            </w:r>
          </w:p>
        </w:tc>
        <w:tc>
          <w:tcPr>
            <w:tcW w:type="dxa" w:w="6560"/>
            <w:tcBorders>
              <w:top w:val="single" w:color="2C3E50" w:sz="6"/>
              <w:left w:val="single" w:color="2C3E50" w:sz="6"/>
              <w:bottom w:val="single" w:color="2C3E50" w:sz="6"/>
              <w:right w:val="single" w:color="2C3E50" w:sz="6"/>
            </w:tcBorders>
            <w:shd w:fill="D6E4F0" w:val="clear"/>
            <w:tcMar>
              <w:top w:type="dxa" w:w="100"/>
              <w:left w:type="dxa" w:w="140"/>
              <w:bottom w:type="dxa" w:w="100"/>
              <w:right w:type="dxa" w:w="140"/>
            </w:tcMar>
            <w:vAlign w:val="center"/>
          </w:tcPr>
          <w:p>
            <w:r>
              <w:rPr>
                <w:rFonts w:ascii="Arial" w:cs="Arial" w:eastAsia="Arial" w:hAnsi="Arial"/>
                <w:b w:val="false"/>
                <w:bCs w:val="false"/>
                <w:sz w:val="19"/>
                <w:szCs w:val="19"/>
              </w:rPr>
              <w:t xml:space="preserve">Seleccionar los indicadores clave que permitan analizar la información registrada de los compresores.</w:t>
            </w:r>
          </w:p>
        </w:tc>
      </w:tr>
      <w:tr>
        <w:tc>
          <w:tcPr>
            <w:tcW w:type="dxa" w:w="28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bCs/>
                <w:sz w:val="19"/>
                <w:szCs w:val="19"/>
              </w:rPr>
              <w:t xml:space="preserve">Historia de usuario</w:t>
            </w:r>
          </w:p>
        </w:tc>
        <w:tc>
          <w:tcPr>
            <w:tcW w:type="dxa" w:w="656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HU15 – Como equipo, necesitamos seleccionar indicadores clave de mantenimiento para permitir el análisis de la información registrada.</w:t>
            </w:r>
          </w:p>
        </w:tc>
      </w:tr>
      <w:tr>
        <w:tc>
          <w:tcPr>
            <w:tcW w:type="dxa" w:w="28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bCs/>
                <w:sz w:val="19"/>
                <w:szCs w:val="19"/>
              </w:rPr>
              <w:t xml:space="preserve">Responsable</w:t>
            </w:r>
          </w:p>
        </w:tc>
        <w:tc>
          <w:tcPr>
            <w:tcW w:type="dxa" w:w="656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Mateo Ortiz Zapata</w:t>
            </w:r>
          </w:p>
        </w:tc>
      </w:tr>
      <w:tr>
        <w:tc>
          <w:tcPr>
            <w:tcW w:type="dxa" w:w="28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bCs/>
                <w:sz w:val="19"/>
                <w:szCs w:val="19"/>
              </w:rPr>
              <w:t xml:space="preserve">Prioridad / Estimación</w:t>
            </w:r>
          </w:p>
        </w:tc>
        <w:tc>
          <w:tcPr>
            <w:tcW w:type="dxa" w:w="656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Alta  /  6 pts</w:t>
            </w:r>
          </w:p>
        </w:tc>
      </w:tr>
    </w:tbl>
    <w:p>
      <w:pPr>
        <w:spacing w:after="0" w:before="300"/>
      </w:pPr>
      <w:r>
        <w:t xml:space="preserve"/>
      </w:r>
    </w:p>
    <w:p>
      <w:pPr>
        <w:pStyle w:val="Heading1"/>
      </w:pPr>
      <w:r>
        <w:t xml:space="preserve">1. Indicadores seleccionados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2400"/>
        <w:gridCol w:w="2400"/>
      </w:tblGrid>
      <w:tr>
        <w:tc>
          <w:tcPr>
            <w:tcW w:type="dxa" w:w="2100"/>
            <w:tcBorders>
              <w:top w:val="single" w:color="2C3E50" w:sz="6"/>
              <w:left w:val="single" w:color="2C3E50" w:sz="6"/>
              <w:bottom w:val="single" w:color="2C3E50" w:sz="6"/>
              <w:right w:val="single" w:color="2C3E50" w:sz="6"/>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Indicador</w:t>
            </w:r>
          </w:p>
        </w:tc>
        <w:tc>
          <w:tcPr>
            <w:tcW w:type="dxa" w:w="2460"/>
            <w:tcBorders>
              <w:top w:val="single" w:color="2C3E50" w:sz="6"/>
              <w:left w:val="single" w:color="2C3E50" w:sz="6"/>
              <w:bottom w:val="single" w:color="2C3E50" w:sz="6"/>
              <w:right w:val="single" w:color="2C3E50" w:sz="6"/>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Definición</w:t>
            </w:r>
          </w:p>
        </w:tc>
        <w:tc>
          <w:tcPr>
            <w:tcW w:type="dxa" w:w="2400"/>
            <w:tcBorders>
              <w:top w:val="single" w:color="2C3E50" w:sz="6"/>
              <w:left w:val="single" w:color="2C3E50" w:sz="6"/>
              <w:bottom w:val="single" w:color="2C3E50" w:sz="6"/>
              <w:right w:val="single" w:color="2C3E50" w:sz="6"/>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Datos requeridos</w:t>
            </w:r>
          </w:p>
        </w:tc>
        <w:tc>
          <w:tcPr>
            <w:tcW w:type="dxa" w:w="2400"/>
            <w:tcBorders>
              <w:top w:val="single" w:color="2C3E50" w:sz="6"/>
              <w:left w:val="single" w:color="2C3E50" w:sz="6"/>
              <w:bottom w:val="single" w:color="2C3E50" w:sz="6"/>
              <w:right w:val="single" w:color="2C3E50" w:sz="6"/>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Aporte al objetivo</w:t>
            </w:r>
          </w:p>
        </w:tc>
      </w:tr>
      <w:tr>
        <w:tc>
          <w:tcPr>
            <w:tcW w:type="dxa" w:w="21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bCs/>
                <w:sz w:val="19"/>
                <w:szCs w:val="19"/>
              </w:rPr>
              <w:t xml:space="preserve">Reincidencia de fallas por tipo de falla</w:t>
            </w:r>
          </w:p>
        </w:tc>
        <w:tc>
          <w:tcPr>
            <w:tcW w:type="dxa" w:w="246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Frecuencia con la que se repite cada tipo de falla registrado.</w:t>
            </w:r>
          </w:p>
        </w:tc>
        <w:tc>
          <w:tcPr>
            <w:tcW w:type="dxa" w:w="24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Tipo de falla, fecha, compresor</w:t>
            </w:r>
          </w:p>
        </w:tc>
        <w:tc>
          <w:tcPr>
            <w:tcW w:type="dxa" w:w="24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Permite identificar patrones recurrentes.</w:t>
            </w:r>
          </w:p>
        </w:tc>
      </w:tr>
      <w:tr>
        <w:tc>
          <w:tcPr>
            <w:tcW w:type="dxa" w:w="21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bCs/>
                <w:sz w:val="19"/>
                <w:szCs w:val="19"/>
              </w:rPr>
              <w:t xml:space="preserve">Tiempo promedio de mantenimiento por intervención</w:t>
            </w:r>
          </w:p>
        </w:tc>
        <w:tc>
          <w:tcPr>
            <w:tcW w:type="dxa" w:w="246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Promedio de duración de las intervenciones realizadas.</w:t>
            </w:r>
          </w:p>
        </w:tc>
        <w:tc>
          <w:tcPr>
            <w:tcW w:type="dxa" w:w="24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Fecha, duración, tipo de mantenimiento</w:t>
            </w:r>
          </w:p>
        </w:tc>
        <w:tc>
          <w:tcPr>
            <w:tcW w:type="dxa" w:w="24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Ayuda a analizar el comportamiento operativo del mantenimiento.</w:t>
            </w:r>
          </w:p>
        </w:tc>
      </w:tr>
      <w:tr>
        <w:tc>
          <w:tcPr>
            <w:tcW w:type="dxa" w:w="21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bCs/>
                <w:sz w:val="19"/>
                <w:szCs w:val="19"/>
              </w:rPr>
              <w:t xml:space="preserve">Piezas que más fallan por máquina</w:t>
            </w:r>
          </w:p>
        </w:tc>
        <w:tc>
          <w:tcPr>
            <w:tcW w:type="dxa" w:w="246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Conteo de piezas afectadas por compresor.</w:t>
            </w:r>
          </w:p>
        </w:tc>
        <w:tc>
          <w:tcPr>
            <w:tcW w:type="dxa" w:w="24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Compresor, pieza afectada, falla</w:t>
            </w:r>
          </w:p>
        </w:tc>
        <w:tc>
          <w:tcPr>
            <w:tcW w:type="dxa" w:w="24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Identifica componentes críticos por equipo.</w:t>
            </w:r>
          </w:p>
        </w:tc>
      </w:tr>
      <w:tr>
        <w:tc>
          <w:tcPr>
            <w:tcW w:type="dxa" w:w="21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bCs/>
                <w:sz w:val="19"/>
                <w:szCs w:val="19"/>
              </w:rPr>
              <w:t xml:space="preserve">Repuestos más utilizados por máquina</w:t>
            </w:r>
          </w:p>
        </w:tc>
        <w:tc>
          <w:tcPr>
            <w:tcW w:type="dxa" w:w="246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Frecuencia de uso de repuestos por compresor.</w:t>
            </w:r>
          </w:p>
        </w:tc>
        <w:tc>
          <w:tcPr>
            <w:tcW w:type="dxa" w:w="24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Compresor, repuesto utilizado</w:t>
            </w:r>
          </w:p>
        </w:tc>
        <w:tc>
          <w:tcPr>
            <w:tcW w:type="dxa" w:w="2400"/>
            <w:tcBorders>
              <w:top w:val="single" w:color="2C3E50" w:sz="6"/>
              <w:left w:val="single" w:color="2C3E50" w:sz="6"/>
              <w:bottom w:val="single" w:color="2C3E50" w:sz="6"/>
              <w:right w:val="single" w:color="2C3E50" w:sz="6"/>
            </w:tcBorders>
            <w:shd w:fill="EBF2FA" w:val="clear"/>
            <w:tcMar>
              <w:top w:type="dxa" w:w="100"/>
              <w:left w:type="dxa" w:w="140"/>
              <w:bottom w:type="dxa" w:w="100"/>
              <w:right w:type="dxa" w:w="140"/>
            </w:tcMar>
            <w:vAlign w:val="center"/>
          </w:tcPr>
          <w:p>
            <w:r>
              <w:rPr>
                <w:rFonts w:ascii="Arial" w:cs="Arial" w:eastAsia="Arial" w:hAnsi="Arial"/>
                <w:b w:val="false"/>
                <w:bCs w:val="false"/>
                <w:sz w:val="19"/>
                <w:szCs w:val="19"/>
              </w:rPr>
              <w:t xml:space="preserve">Apoya el análisis de consumo y recurrencia de intervención.</w:t>
            </w:r>
          </w:p>
        </w:tc>
      </w:tr>
      <w:tr>
        <w:tc>
          <w:tcPr>
            <w:tcW w:type="dxa" w:w="21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bCs/>
                <w:sz w:val="19"/>
                <w:szCs w:val="19"/>
              </w:rPr>
              <w:t xml:space="preserve">Distribución de fallas por criticidad</w:t>
            </w:r>
          </w:p>
        </w:tc>
        <w:tc>
          <w:tcPr>
            <w:tcW w:type="dxa" w:w="246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Proporción de fallas leves, medias o críticas.</w:t>
            </w:r>
          </w:p>
        </w:tc>
        <w:tc>
          <w:tcPr>
            <w:tcW w:type="dxa" w:w="24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Tipo de falla, criticidad</w:t>
            </w:r>
          </w:p>
        </w:tc>
        <w:tc>
          <w:tcPr>
            <w:tcW w:type="dxa" w:w="2400"/>
            <w:tcBorders>
              <w:top w:val="single" w:color="2C3E50" w:sz="6"/>
              <w:left w:val="single" w:color="2C3E50" w:sz="6"/>
              <w:bottom w:val="single" w:color="2C3E50" w:sz="6"/>
              <w:right w:val="single" w:color="2C3E50" w:sz="6"/>
            </w:tcBorders>
            <w:shd w:fill="FFFFFF" w:val="clear"/>
            <w:tcMar>
              <w:top w:type="dxa" w:w="100"/>
              <w:left w:type="dxa" w:w="140"/>
              <w:bottom w:type="dxa" w:w="100"/>
              <w:right w:type="dxa" w:w="140"/>
            </w:tcMar>
            <w:vAlign w:val="center"/>
          </w:tcPr>
          <w:p>
            <w:r>
              <w:rPr>
                <w:rFonts w:ascii="Arial" w:cs="Arial" w:eastAsia="Arial" w:hAnsi="Arial"/>
                <w:b w:val="false"/>
                <w:bCs w:val="false"/>
                <w:sz w:val="19"/>
                <w:szCs w:val="19"/>
              </w:rPr>
              <w:t xml:space="preserve">Fortalece la capacidad de análisis y se alinea con el KR4.</w:t>
            </w:r>
          </w:p>
        </w:tc>
      </w:tr>
    </w:tbl>
    <w:p>
      <w:pPr>
        <w:spacing w:after="0" w:before="300"/>
      </w:pPr>
      <w:r>
        <w:t xml:space="preserve"/>
      </w:r>
    </w:p>
    <w:p>
      <w:pPr>
        <w:pStyle w:val="Heading1"/>
      </w:pPr>
      <w:r>
        <w:t xml:space="preserve">2. Criterios de selección</w:t>
      </w:r>
    </w:p>
    <w:p>
      <w:pPr>
        <w:spacing w:after="180"/>
      </w:pPr>
      <w:r>
        <w:rPr>
          <w:rFonts w:ascii="Arial" w:cs="Arial" w:eastAsia="Arial" w:hAnsi="Arial"/>
          <w:sz w:val="22"/>
          <w:szCs w:val="22"/>
        </w:rPr>
        <w:t xml:space="preserve">Los indicadores se escogieron con base en tres criterios: que la información necesaria para calcularlos ya estuviera disponible en los registros históricos, que aportaran directamente a alguno de los KR definidos en el proyecto, y que en conjunto cubrieran distintos ángulos del mantenimiento —frecuencia, duración, componentes y criticidad—.</w:t>
      </w:r>
    </w:p>
    <w:p>
      <w:pPr>
        <w:spacing w:after="180"/>
      </w:pPr>
      <w:r>
        <w:rPr>
          <w:rFonts w:ascii="Arial" w:cs="Arial" w:eastAsia="Arial" w:hAnsi="Arial"/>
          <w:sz w:val="22"/>
          <w:szCs w:val="22"/>
        </w:rPr>
        <w:t xml:space="preserve">También se tuvo en cuenta que el proyecto trabaja con solo dos compresores, por lo que los indicadores están pensados para ser útiles incluso con un volumen de datos relativamente pequeño.</w:t>
      </w:r>
    </w:p>
    <w:p>
      <w:pPr>
        <w:pStyle w:val="Heading1"/>
      </w:pPr>
      <w:r>
        <w:t xml:space="preserve">3. Conclusión</w:t>
      </w:r>
    </w:p>
    <w:p>
      <w:pPr>
        <w:spacing w:after="180"/>
      </w:pPr>
      <w:r>
        <w:rPr>
          <w:rFonts w:ascii="Arial" w:cs="Arial" w:eastAsia="Arial" w:hAnsi="Arial"/>
          <w:sz w:val="22"/>
          <w:szCs w:val="22"/>
        </w:rPr>
        <w:t xml:space="preserve">Con estos cinco indicadores queda definida la base analítica del sistema. El siguiente paso, que corresponde al Sprint 4, es implementarlos visualmente en el dashboard y validar que los resultados sean coherentes con los datos cargados.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2026-04-07T02:22:01.944Z</dcterms:created>
  <dcterms:modified xsi:type="dcterms:W3CDTF">2026-04-07T02:22:01.945Z</dcterms:modified>
</cp:coreProperties>
</file>

<file path=docProps/custom.xml><?xml version="1.0" encoding="utf-8"?>
<Properties xmlns="http://schemas.openxmlformats.org/officeDocument/2006/custom-properties" xmlns:vt="http://schemas.openxmlformats.org/officeDocument/2006/docPropsVTypes"/>
</file>