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Conclusiones</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Estas conclusiones se derivan de la corrida provisional M1–M2 vigente. La incorporación de M3 actualizará la caracterización final y podrá modificar los resultados cuantitativos.</w:t>
      </w:r>
    </w:p>
    <w:p>
      <w:pPr>
        <w:pStyle w:val="Heading1"/>
      </w:pPr>
      <w:r>
        <w:rPr>
          <w:rFonts w:ascii="Times New Roman" w:hAnsi="Times New Roman"/>
          <w:color w:val="000000"/>
        </w:rPr>
        <w:t>Conclusiones del análisis de ciclo de vida</w:t>
      </w:r>
    </w:p>
    <w:p>
      <w:pPr>
        <w:spacing w:line="240" w:lineRule="auto" w:before="0" w:after="0"/>
        <w:ind w:left="100" w:firstLine="719"/>
        <w:jc w:val="both"/>
      </w:pP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w:t>
      </w:r>
    </w:p>
    <w:p>
      <w:pPr>
        <w:spacing w:line="240" w:lineRule="auto" w:before="0" w:after="0"/>
        <w:ind w:left="100" w:firstLine="719"/>
        <w:jc w:val="both"/>
      </w:pPr>
      <w:r>
        <w:rPr>
          <w:rFonts w:ascii="Times New Roman" w:hAnsi="Times New Roman"/>
          <w:sz w:val="24"/>
        </w:rPr>
        <w:t>Las cargas ambientales se concentraron en etapas específicas, que variaron según el escenario y la categoría. En calentamiento global, A3: Almacenamiento de aguas verdes aportó 62,13 % del total del Escenario A y B1: Almacenamiento de purines aportó 97,50 % del total del Escenario B. Para eutrofización, las mayores contribuciones correspondieron a A1: Precomposteo (53,27 % del total de A) y B1: Almacenamiento de purines (73,26 % del total de B), considerando el supuesto de representación del nitrógeno potencialmente eutrofizante adoptado en el estudio.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sz w:val="24"/>
        </w:rPr>
        <w:t>Para calentamiento global, el Escenario B presentó el mayor impacto por unidad funcional: 0,332 kg CO₂-eq/kg de estiércol fresco manejado, frente a 0,174 kg CO₂-eq/kg de estiércol fresco manejado en el Escenario A. La diferencia fue de 91,28 % respecto a A, lo que evidenció un menor indicador para el Escenario A bajo las condiciones estudiadas.</w:t>
      </w:r>
    </w:p>
    <w:p>
      <w:pPr>
        <w:spacing w:line="240" w:lineRule="auto" w:before="0" w:after="0"/>
        <w:ind w:left="100" w:firstLine="719"/>
        <w:jc w:val="both"/>
      </w:pPr>
      <w:r>
        <w:rPr>
          <w:rFonts w:ascii="Times New Roman" w:hAnsi="Times New Roman"/>
          <w:sz w:val="24"/>
        </w:rPr>
        <w:t>Para eutrofización, el Escenario B también presentó el mayor impacto por unidad funcional: 0,001032 kg PO₄-eq/kg de estiércol fresco manejado, en comparación con 0,000906 kg PO₄-eq/kg de estiércol fresco manejado en el Escenario A. Bajo el supuesto de representación del nitrógeno potencialmente eutrofizante adoptado en el estudio, la diferencia de 13,88 % respecto a A mostró que el Escenario A también alcanzó el menor indicador de eutrofización en el sistema evaluado.</w:t>
      </w:r>
    </w:p>
    <w:p>
      <w:pPr>
        <w:spacing w:line="240" w:lineRule="auto" w:before="0" w:after="0"/>
        <w:ind w:left="100" w:firstLine="719"/>
        <w:jc w:val="both"/>
      </w:pP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menores indicadores que el Escenario B tanto para calentamiento global como para eutrofización. Este resultado se circunscribió al sistema evaluado y no implicó la superioridad universal de una alternativa en otras lecherías o condiciones operativas.</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