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spacing w:line="240" w:lineRule="auto" w:before="0" w:after="0"/>
        <w:ind w:left="100" w:firstLine="719"/>
        <w:jc w:val="both"/>
      </w:pPr>
      <w:r>
        <w:rPr>
          <w:rFonts w:ascii="Times New Roman" w:hAnsi="Times New Roman"/>
          <w:sz w:val="24"/>
        </w:rP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pPr>
        <w:spacing w:line="240" w:lineRule="auto" w:before="0" w:after="0"/>
        <w:ind w:left="100" w:firstLine="719"/>
        <w:jc w:val="both"/>
      </w:pPr>
      <w:r>
        <w:rPr>
          <w:rFonts w:ascii="Times New Roman" w:hAnsi="Times New Roman"/>
          <w:sz w:val="24"/>
        </w:rP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Los cálculos conservaron la precisión interna y la presentación se redondeó a una decimal para masas y diferencias relativas, y a cuatro decimales para las concentraciones pequeñas y sus diferencias; estos cuatro decimales permiten distinguir las magnitudes comparadas, pero no representan mayor precisión analítica formal de las mediciones del CIA. Estas comparaciones examinan la plausibilidad del balance, pero no constituyen balances experimentales cerrados ni una validación experimental de los factores IPCC–EMEP/EEA.</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27,0</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7 430</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3"/>
      </w:pPr>
      <w:r>
        <w:rPr>
          <w:rFonts w:ascii="Times New Roman" w:hAnsi="Times New Roman"/>
          <w:color w:val="000000"/>
        </w:rPr>
        <w:t>5.1.1 Contraste provisional del nitrógeno experimental con el balance modelado</w:t>
      </w:r>
    </w:p>
    <w:p>
      <w:pPr>
        <w:spacing w:line="240" w:lineRule="auto" w:before="0" w:after="0"/>
        <w:ind w:left="100" w:firstLine="719"/>
        <w:jc w:val="both"/>
      </w:pPr>
      <w:r>
        <w:rPr>
          <w:rFonts w:ascii="Times New Roman" w:hAnsi="Times New Roman"/>
          <w:sz w:val="24"/>
        </w:rPr>
        <w:t>La Tabla 7 compara las referencias experimentales o derivadas con las estimaciones del balance secuencial. Una diferencia positiva indica que el modelo supera la referencia, una negativa indica que es inferior y cero señala que no hay diferencia visible con el redondeo adoptado.</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Contraste provisional del N experimental con el balance modelado.</w:t>
      </w:r>
    </w:p>
    <w:tbl>
      <w:tblPr>
        <w:tblW w:type="auto" w:w="0"/>
        <w:jc w:val="center"/>
        <w:tblLayout w:type="fixed"/>
        <w:tblLook w:firstColumn="1" w:firstRow="1" w:lastColumn="0" w:lastRow="0" w:noHBand="0" w:noVBand="1" w:val="04A0"/>
      </w:tblPr>
      <w:tblGrid>
        <w:gridCol w:w="1916"/>
        <w:gridCol w:w="1916"/>
        <w:gridCol w:w="1916"/>
        <w:gridCol w:w="1916"/>
        <w:gridCol w:w="1916"/>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Contraste</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Referencia experimental o derivada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Estimación modelada</w:t>
            </w:r>
          </w:p>
        </w:tc>
        <w:tc>
          <w:tcPr>
            <w:tcW w:type="dxa" w:w="223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absoluta (modelo − referencia)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relativa</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A1: N residual después del precomposteo</w:t>
            </w:r>
          </w:p>
        </w:tc>
        <w:tc>
          <w:tcPr>
            <w:tcW w:type="dxa" w:w="194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38,5 kg N/año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52,4 kg N/año</w:t>
            </w:r>
          </w:p>
        </w:tc>
        <w:tc>
          <w:tcPr>
            <w:tcW w:type="dxa" w:w="2232"/>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+13,9 kg N/año</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+36,2 %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A3→A4: Aguas verdes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0,0093 %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0,0147 %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+0,0054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+58,3 %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B1→B2: Purines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0,0139 %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0,0412 %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+0,0273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+195,7 %</w:t>
            </w:r>
          </w:p>
        </w:tc>
      </w:tr>
    </w:tbl>
    <w:p>
      <w:pPr>
        <w:pStyle w:val="Notadetabla"/>
      </w:pPr>
      <w:r>
        <w:rPr>
          <w:rFonts w:ascii="Times New Roman" w:hAnsi="Times New Roman"/>
          <w:b/>
        </w:rPr>
        <w:t xml:space="preserve">Nota. </w:t>
      </w:r>
      <w:r>
        <w:rPr>
          <w:rFonts w:ascii="Times New Roman" w:hAnsi="Times New Roman"/>
        </w:rP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se calcularon con la precisión interna antes del redondeo visible; los cuatro decimales de las concentraciones permiten distinguir valores menores que 0,01 % N y no expresan mayor precisión analítica formal. Las diferencias no validan experimentalmente los factores IPCC–EMEP/EEA ni identifican una ruta específica de pérdida de N.</w:t>
      </w:r>
    </w:p>
    <w:p>
      <w:pPr>
        <w:spacing w:line="240" w:lineRule="auto" w:before="0" w:after="0"/>
        <w:ind w:left="100" w:firstLine="719"/>
        <w:jc w:val="both"/>
      </w:pPr>
      <w:r>
        <w:rPr>
          <w:rFonts w:ascii="Times New Roman" w:hAnsi="Times New Roman"/>
          <w:sz w:val="24"/>
        </w:rPr>
        <w:t>Después de A1, el modelo estimó 52,4 kg N/año, frente a una referencia derivada de 38,5 kg N/año. La diferencia modelo menos referencia fue +13,9 kg N/año, equivalente a +36,2 % de la referencia; con el redondeo adoptado, el modelo conservó más N residual que la referencia derivada.</w:t>
      </w:r>
    </w:p>
    <w:p>
      <w:pPr>
        <w:spacing w:line="240" w:lineRule="auto" w:before="0" w:after="0"/>
        <w:ind w:left="100" w:firstLine="719"/>
        <w:jc w:val="both"/>
      </w:pPr>
      <w:r>
        <w:rPr>
          <w:rFonts w:ascii="Times New Roman" w:hAnsi="Times New Roman"/>
          <w:sz w:val="24"/>
        </w:rPr>
        <w:t>En aguas verdes, la concentración modelada fue 0,0147 % N y la medida en M2 fue 0,0093 % N. La diferencia fue +0,0054 puntos porcentuales (+58,3 %); con el redondeo adoptado, la concentración modelada fue mayor que la medición M2. En purines, los valores respectivos fueron 0,0412 % N y 0,0139 % N, con una diferencia de +0,0273 puntos porcentuales (+195,7 %); la concentración modelada fue mayor que la medición M2.</w:t>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476,9 kg/año de CO₂ fósil, 0,06972 kg/año de CH₄ fósil y 0,004457 kg/año de N₂O en cada escenario. Estas masas se caracterizaron después con EF 3.1 y permanecen separadas de las emisiones del manejo resumidas en la Tabla 8.</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9 presenta los impactos por etapa. En el Escenario A, A3: Almacenamiento de aguas verdes aportó 53,9 % del cambio climático; en el Escenario B, B1: Almacenamiento de purines aportó 82 %. Las Figuras 8 y 9 muestran la distribución por etapa de cambio climático y eutrofización terrestre.</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604,9</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2 688</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5,955 × 10⁻⁴</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14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15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−1,99 × 10⁻⁵</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+1,75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−2,51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−3,68 × 10⁻⁵</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−2,16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+1,8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Python y SimaPro se presentan redondeados a la precisión observada; por ello, ambos pueden verse idénticos aunque la diferencia calculada con precisión completa sea distinta de cero. Esa diferencia se conserva en la columna correspondiente y siempre representa SimaPro menos Python.</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97,3 %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 kg CO₂-eq/año por electricidad y 480,2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3"/>
      </w:pPr>
      <w:r>
        <w:rPr>
          <w:rFonts w:ascii="Times New Roman" w:hAnsi="Times New Roman"/>
          <w:color w:val="000000"/>
        </w:rPr>
        <w:t>6.1.1 Interpretación del contraste experimental del nitrógeno</w:t>
      </w:r>
    </w:p>
    <w:p>
      <w:pPr>
        <w:spacing w:line="240" w:lineRule="auto" w:before="0" w:after="0"/>
        <w:ind w:left="100" w:firstLine="719"/>
        <w:jc w:val="both"/>
      </w:pPr>
      <w:r>
        <w:rPr>
          <w:rFonts w:ascii="Times New Roman" w:hAnsi="Times New Roman"/>
          <w:sz w:val="24"/>
        </w:rPr>
        <w:t>En A1, el N residual modelado superó a la referencia derivada del precompostado en 13,9 kg N/año (36,2 %). El resultado indica concordancia limitada entre ambas construcciones, pero no demuestra que el modelo subestime o sobreestime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infirió mediante conservación supuesta de cenizas y las muestras no correspondieron a un mismo lote pesado antes y después del precomposteo.</w:t>
      </w:r>
    </w:p>
    <w:p>
      <w:pPr>
        <w:spacing w:line="240" w:lineRule="auto" w:before="0" w:after="0"/>
        <w:ind w:left="100" w:firstLine="719"/>
        <w:jc w:val="both"/>
      </w:pPr>
      <w:r>
        <w:rPr>
          <w:rFonts w:ascii="Times New Roman" w:hAnsi="Times New Roman"/>
          <w:sz w:val="24"/>
        </w:rPr>
        <w:t>En aguas verdes, la concentración modelada fue 58,3 %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pPr>
        <w:spacing w:line="240" w:lineRule="auto" w:before="0" w:after="0"/>
        <w:ind w:left="100" w:firstLine="719"/>
        <w:jc w:val="both"/>
      </w:pPr>
      <w:r>
        <w:rPr>
          <w:rFonts w:ascii="Times New Roman" w:hAnsi="Times New Roman"/>
          <w:sz w:val="24"/>
        </w:rPr>
        <w:t>En purines se obtuvo la discrepancia relativa de mayor magnitud entre los tres contrastes: +195,7 %. Con el redondeo adoptado, la concentración modelada fue mayor que la medición M2.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representatividad temporal pueden contribuir a la discrepancia, pero no fueron identificadas causalmente por el diseño experimental.</w:t>
      </w:r>
    </w:p>
    <w:p>
      <w:pPr>
        <w:spacing w:line="240" w:lineRule="auto" w:before="0" w:after="0"/>
        <w:ind w:left="100" w:firstLine="719"/>
        <w:jc w:val="both"/>
      </w:pPr>
      <w:r>
        <w:rPr>
          <w:rFonts w:ascii="Times New Roman" w:hAnsi="Times New Roman"/>
          <w:sz w:val="24"/>
        </w:rP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11,5 % del N total de entrada. La Tabla 16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66,7 % ingresó a la ruta sólida mediante A1: Precomposteo; posteriormente, la masa resultante continuó hacia A2: Lombricompostaje, mientras que 33,3 %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53,9 % del total del Escenario A y B1: Almacenamiento de purines aportó 82 % del total del Escenario B. En eutrofización terrestre, A1: Precomposteo aportó 47,4 % del total del Escenario A y B2: Aplicación de purines en campo de pastoreo aportó 62,9 % del total del Escenario B. En eutrofización marina, A4: Aplicación de aguas verdes en campos de pastoreo aportó 70,6 % del total del Escenario A y B2: Aplicación de purines en campo de pastoreo aportó 93,1 %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0,1206 kg CO₂-eq/kg de estiércol fresco manejado en el Escenario A. La diferencia B menos A fue de 97,3 %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5,955 × 10⁻⁴ kg N-eq/kg en el Escenario A. La diferencia B menos A fue de 127,6 % respecto a A. Para eutrofización terrestre, el Escenario B también presentó el mayor impacto por unidad funcional: 0,03658 mol N-eq/kg de estiércol fresco manejado, frente a 0,02348 mol N-eq/kg en el Escenario A; la diferencia B menos A fue de 55,8 %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b/>
          <w:sz w:val="24"/>
        </w:rPr>
        <w:t xml:space="preserve">Conclusión provisional 6. </w:t>
      </w:r>
      <w:r>
        <w:rPr>
          <w:rFonts w:ascii="Times New Roman" w:hAnsi="Times New Roman"/>
          <w:sz w:val="24"/>
        </w:rPr>
        <w:t>El contraste provisional del nitrógeno mostró diferencias modelo menos referencia de +36,2 % en el N residual de A1, +58,3 % en aguas verdes y +195,7 % en purines. Con el redondeo adoptado, el modelo superó la referencia en A1, superó la referencia en aguas verdes y superó la referencia en purines. Estas discrepancias delimitan la concordancia observada y orientan la revisión posterior a M3, pero no permiten validar experimentalmente los factores IPCC–EMEP/EEA ni atribuir la diferencia a mecanismos específicos.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Las recomendaciones se organizan en tres ámbitos: las comprobaciones pendientes para concluir el estudio actual, las líneas de investigación que permitirían ampliar la evidencia disponible y las prácticas de manejo que conviene evaluar experimentalmente en la lechería.</w:t>
      </w:r>
    </w:p>
    <w:p>
      <w:pPr>
        <w:pStyle w:val="Heading2"/>
      </w:pPr>
      <w:r>
        <w:rPr>
          <w:rFonts w:ascii="Times New Roman" w:hAnsi="Times New Roman"/>
          <w:color w:val="000000"/>
        </w:rPr>
        <w:t>8.1 Comprobaciones necesarias para concluir el estudio actual</w:t>
      </w:r>
    </w:p>
    <w:p>
      <w:pPr>
        <w:spacing w:line="240" w:lineRule="auto" w:before="0" w:after="0"/>
        <w:ind w:left="100" w:firstLine="719"/>
        <w:jc w:val="both"/>
      </w:pPr>
      <w:r>
        <w:rPr>
          <w:rFonts w:ascii="Times New Roman" w:hAnsi="Times New Roman"/>
          <w:sz w:val="24"/>
        </w:rPr>
        <w:t>Completar la caracterización analítica de M3 e integrar únicamente las determinaciones comparables con M1 y M2 constituye una actividad pendiente del TFG, no una línea de investigación posterior. Con la integración completa se deben volver a estimar los parámetros experimentales, las emisiones y los indicadores de impacto, y comprobar si se mantienen las etapas dominantes y la comparación entre escenarios.</w:t>
      </w:r>
    </w:p>
    <w:p>
      <w:pPr>
        <w:spacing w:line="240" w:lineRule="auto" w:before="0" w:after="0"/>
        <w:ind w:left="100" w:firstLine="719"/>
        <w:jc w:val="both"/>
      </w:pPr>
      <w:r>
        <w:rPr>
          <w:rFonts w:ascii="Times New Roman" w:hAnsi="Times New Roman"/>
          <w:sz w:val="24"/>
        </w:rPr>
        <w:t>Antes de formular las conclusiones definitivas, se debe comprobar la robustez de la comparación mediante un análisis de sensibilidad acotado a los supuestos con capacidad material de modificarla. La prioridad corresponde al MCF y a B₀ del almacenamiento líquido, por la contribución de A3 y B1 al cambio climático; en segundo término deben examinarse la relación inicial entre nitrógeno amoniacal total y N total, los factores de A2 y los factores de las aplicaciones A4 y B2. Esta comprobación, basada en rangos plausibles y documentados, debe establecer si la jerarquía de etapas y el orden relativo de los escenarios se conservan; un análisis probabilístico más amplio corresponde a una investigación posterior.</w:t>
      </w:r>
    </w:p>
    <w:p>
      <w:pPr>
        <w:pStyle w:val="Heading2"/>
      </w:pPr>
      <w:r>
        <w:rPr>
          <w:rFonts w:ascii="Times New Roman" w:hAnsi="Times New Roman"/>
          <w:color w:val="000000"/>
        </w:rPr>
        <w:t>8.2 Recomendaciones para futuras investigaciones</w:t>
      </w:r>
    </w:p>
    <w:p>
      <w:pPr>
        <w:spacing w:line="240" w:lineRule="auto" w:before="0" w:after="0"/>
        <w:ind w:left="100" w:firstLine="719"/>
        <w:jc w:val="both"/>
      </w:pPr>
      <w:r>
        <w:rPr>
          <w:rFonts w:ascii="Times New Roman" w:hAnsi="Times New Roman"/>
          <w:sz w:val="24"/>
        </w:rPr>
        <w:t>Como primera prioridad experimental, se recomienda cuantificar directamente las emisiones de CH₄ durante ciclos completos de acumulación y descarga en A3: Almacenamiento de aguas verdes y B1: Almacenamiento de purines, bajo distintas condiciones climáticas. Las variables principales son el flujo de CH₄, el volumen almacenado, el tiempo de residencia y el contenido de sólidos volátiles; la temperatura y las condiciones de mezcla constituyen variables explicativas complementarias. Estas mediciones permitirían contrastar la estimación basada en un MCF de 38 %, no determinado para la residencia operativa aproximada de tres días. La prioridad se fundamenta en que A3 aportó 53,9 % del cambio climático del Escenario A y B1 aportó 82 % del correspondiente al Escenario B.</w:t>
      </w:r>
    </w:p>
    <w:p>
      <w:pPr>
        <w:spacing w:line="240" w:lineRule="auto" w:before="0" w:after="0"/>
        <w:ind w:left="100" w:firstLine="719"/>
        <w:jc w:val="both"/>
      </w:pPr>
      <w:r>
        <w:rPr>
          <w:rFonts w:ascii="Times New Roman" w:hAnsi="Times New Roman"/>
          <w:sz w:val="24"/>
        </w:rPr>
        <w:t>Como segunda prioridad, se recomienda medir las pérdidas de N asociadas con las etapas que dominaron la eutrofización. Las variables principales son la volatilización de NH₃ en A1: Precomposteo y B2: Aplicación de purines en campo de pastoreo, y la pérdida de NO₃⁻ por lixiviación o escorrentía en A4: Aplicación de aguas verdes en campos de pastoreo y B2. Las emisiones de N₂O y NOx, el N residual del suelo y la absorción por el pasto aportarían información complementaria para interpretar los mecanismos y detectar posibles transferencias entre categorías de impacto.</w:t>
      </w:r>
    </w:p>
    <w:p>
      <w:pPr>
        <w:spacing w:line="240" w:lineRule="auto" w:before="0" w:after="0"/>
        <w:ind w:left="100" w:firstLine="719"/>
        <w:jc w:val="both"/>
      </w:pPr>
      <w:r>
        <w:rPr>
          <w:rFonts w:ascii="Times New Roman" w:hAnsi="Times New Roman"/>
          <w:sz w:val="24"/>
        </w:rPr>
        <w:t>Se recomienda además construir balances experimentales emparejados de masa y N. En A1 y A2: Lombricompostaje deben pesarse y caracterizarse los mismos lotes a la entrada y a la salida, incluido el lombricompost terminado; en A3 y B1 las muestras deben vincularse con volúmenes o masas reales de descarga. La masa total, el N total y el nitrógeno amoniacal total son las variables principales; la especiación del N y la caracterización del producto final son complementarias. Este diseño permitiría investigar las diferencias modelo menos referencia de +36,2 % en A1, +58,3 % en aguas verdes y +195,7 % en purines sin asignarlas de antemano a mecanismos específicos.</w:t>
      </w:r>
    </w:p>
    <w:p>
      <w:pPr>
        <w:spacing w:line="240" w:lineRule="auto" w:before="0" w:after="0"/>
        <w:ind w:left="100" w:firstLine="719"/>
        <w:jc w:val="both"/>
      </w:pPr>
      <w:r>
        <w:rPr>
          <w:rFonts w:ascii="Times New Roman" w:hAnsi="Times New Roman"/>
          <w:sz w:val="24"/>
        </w:rPr>
        <w:t>Con datos directos de emisiones y balances emparejados, investigaciones posteriores podrían desarrollar un análisis probabilístico de incertidumbre que integre variabilidad temporal, incertidumbre paramétrica y correlaciones entre variables. Su finalidad sería estimar la probabilidad de que cambien las etapas dominantes o el orden relativo de los escenarios y evaluar la transferibilidad de los resultados a otras condiciones de manejo, sin sustituir la comprobación de sensibilidad requerida para concluir el TFG actual.</w:t>
      </w:r>
    </w:p>
    <w:p>
      <w:pPr>
        <w:pStyle w:val="Heading2"/>
      </w:pPr>
      <w:r>
        <w:rPr>
          <w:rFonts w:ascii="Times New Roman" w:hAnsi="Times New Roman"/>
          <w:color w:val="000000"/>
        </w:rPr>
        <w:t>8.3 Evaluación de posibles mejoras de manejo</w:t>
      </w:r>
    </w:p>
    <w:p>
      <w:pPr>
        <w:spacing w:line="240" w:lineRule="auto" w:before="0" w:after="0"/>
        <w:ind w:left="100" w:firstLine="719"/>
        <w:jc w:val="both"/>
      </w:pPr>
      <w:r>
        <w:rPr>
          <w:rFonts w:ascii="Times New Roman" w:hAnsi="Times New Roman"/>
          <w:sz w:val="24"/>
        </w:rPr>
        <w:t>Los resultados provisionales justifican continuar la comparación de la separación de las fracciones sólidas y líquidas del Escenario A frente al manejo conjunto del Escenario B, pero no sustentan todavía la selección definitiva de uno de ellos. Una decisión de manejo debe considerar los resultados finales del ACV junto con la factibilidad operativa y el desempeño agronómico observados en la lechería.</w:t>
      </w:r>
    </w:p>
    <w:p>
      <w:pPr>
        <w:spacing w:line="240" w:lineRule="auto" w:before="0" w:after="0"/>
        <w:ind w:left="100" w:firstLine="719"/>
        <w:jc w:val="both"/>
      </w:pPr>
      <w:r>
        <w:rPr>
          <w:rFonts w:ascii="Times New Roman" w:hAnsi="Times New Roman"/>
          <w:sz w:val="24"/>
        </w:rPr>
        <w:t>En el almacenamiento líquido conviene ensayar alternativas que modifiquen el tiempo efectivo bajo condiciones anaerobias o que permitan contener y aprovechar el CH₄, de acuerdo con su viabilidad técnica y de seguridad. Los ensayos deben comparar cada alternativa con la operación actual mediante las variables principales definidas para CH₄ y mediante las pérdidas de N; el consumo energético, la frecuencia de vaciado y las exigencias operativas completan la evaluación de posibles transferencias de impacto.</w:t>
      </w:r>
    </w:p>
    <w:p>
      <w:pPr>
        <w:spacing w:line="240" w:lineRule="auto" w:before="0" w:after="0"/>
        <w:ind w:left="100" w:firstLine="719"/>
        <w:jc w:val="both"/>
      </w:pPr>
      <w:r>
        <w:rPr>
          <w:rFonts w:ascii="Times New Roman" w:hAnsi="Times New Roman"/>
          <w:sz w:val="24"/>
        </w:rPr>
        <w:t>En la aplicación al campo conviene evaluar un plan basado en la concentración medida de N, la demanda del suelo y del pasto, la calibración del caudal y las condiciones meteorológicas y de humedad del suelo. Los ensayos en parcelas deben comparar la práctica actual con aplicaciones que eviten suelos saturados y periodos con alta probabilidad de lluvia intensa, utilizando como respuestas principales NH₃ y NO₃⁻ y, como respuestas complementarias, el N residual del suelo y la producción o absorción de N del pasto. Esta línea se sustenta en que A4 aportó 70,6 % de la eutrofización marina del Escenario A, mientras B2 aportó 93,1 % de la eutrofización marina y 62,9 % de la eutrofización terrestre del Escenario B.</w:t>
      </w:r>
    </w:p>
    <w:p>
      <w:pPr>
        <w:spacing w:line="240" w:lineRule="auto" w:before="0" w:after="0"/>
        <w:ind w:left="100" w:firstLine="719"/>
        <w:jc w:val="both"/>
      </w:pPr>
      <w:r>
        <w:rPr>
          <w:rFonts w:ascii="Times New Roman" w:hAnsi="Times New Roman"/>
          <w:sz w:val="24"/>
        </w:rPr>
        <w:t>En A1 conviene evaluar de forma controlada el tiempo de precomposteo, la humedad, la aireación y el volteo. La comparación debe priorizar las pérdidas de NH₃ y el balance de N, y complementar estas respuestas con N₂O, aptitud del sustrato para las lombrices y calidad del producto final. A1 concentró 47,4 % de la eutrofización terrestre del Escenario A; por ello, la selección de una condición operativa requiere evidencia experimental local.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17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emisiones y contraste provisional del nitrógeno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1 y 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18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19 y 20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21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22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0,52 ± 0,21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13,60 ± 0,89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15,3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 ± 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 ± 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pStyle w:val="Notadetabla"/>
      </w:pPr>
      <w:r>
        <w:rPr>
          <w:rFonts w:ascii="Times New Roman" w:hAnsi="Times New Roman"/>
          <w:b/>
        </w:rPr>
        <w:t xml:space="preserve">Nota. </w:t>
      </w:r>
      <w:r>
        <w:rPr>
          <w:rFonts w:ascii="Times New Roman" w:hAnsi="Times New Roman"/>
        </w:rPr>
        <w:t>Cuando se dispone de dos campañas comparables, el resultado se presenta como media ± desviación estándar entre campañas; esta dispersión descriptiva no constituye una incertidumbre expandida. Los resultados líquidos procedentes solo de M2 conservan cuatro decimales para evitar que valores físicamente distintos de cero desaparezcan por redondeo.</w:t>
      </w:r>
    </w:p>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23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13,83</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w:t>
            </w:r>
          </w:p>
        </w:tc>
      </w:tr>
    </w:tbl>
    <w:p>
      <w:pPr>
        <w:spacing w:line="240" w:lineRule="auto" w:before="0" w:after="0"/>
        <w:ind w:left="100" w:firstLine="719"/>
        <w:jc w:val="both"/>
      </w:pPr>
      <w:r>
        <w:rPr>
          <w:rFonts w:ascii="Times New Roman" w:hAnsi="Times New Roman"/>
          <w:sz w:val="24"/>
        </w:rPr>
        <w:t>La Tabla 24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3,632</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9,121</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w:t>
            </w:r>
          </w:p>
        </w:tc>
      </w:tr>
    </w:tbl>
    <w:p>
      <w:pPr>
        <w:spacing w:line="240" w:lineRule="auto" w:before="0" w:after="0"/>
        <w:ind w:left="100" w:firstLine="719"/>
        <w:jc w:val="both"/>
      </w:pPr>
      <w:r>
        <w:rPr>
          <w:rFonts w:ascii="Times New Roman" w:hAnsi="Times New Roman"/>
          <w:sz w:val="24"/>
        </w:rPr>
        <w:t>La Tabla 25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26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26</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