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datos publicados utilizados para cuantificar la generación de residuos durante el ordeño. Las observaciones directas, las comunicaciones operativas de campo, los supuestos del estudio y la información de laboratorio conservaron procedencias independientes.</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aproximadamente 26 278,7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aproximadamente 26 278,7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66,7 % del depósito estimado, entró a A1: Precomposteo y después continuó hacia A2: Lombricompostaje. El 33,3 %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aproximadamente 26 278,7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habitual se comunicó como una estimación operativa de aproximadamente 21 días a cerca de un mes, por lo que se describe como tres a cuatro semanas sin atribuir una medición instrumentada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 Esta referencia respalda A2, pero no se utilizó como confirmación inequívoca de la duración operativa de A1.</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determinaciones gravimétricas se realizaron en el Laboratorio de Bioenergía de la Escuela de Ingeniería de Biosistemas de la Universidad de Costa Rica. En M1 se obtuvieron, para cada material sólido, dos muestras compuestas analizadas por el Laboratorio de Bioenergía y otras dos muestras compuestas independientes destinadas al laboratorio externo: LASA para el estiércol fresco y CIA para el precompostado. En M2 se obtuvieron tres muestras compuestas por material sólido; el Laboratorio de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En M1, el muestreo de estiércol fresco se realizó el 10 de noviembre de 2025; LASA recibió las muestras el 11 de noviembre, efectuó el análisis del 13 al 14 de noviembre y emitió el informe el 19 de noviembre. Las fotografías documentan trabajo en el Laboratorio de Bioenergía entre el 10 y el 11 de noviembre. En M2, las fotografías registran preparación de campo el 20 de julio de 2026 y trabajo en el Laboratorio de Bioenergía el 21 de julio; LASA recibió el estiércol fresco el 23 de julio, efectuó el análisis entre el 24 de julio y el 4 de agosto y emitió el informe el 5 de agosto. Las fechas de recepción y emisión de los informes CIA se conservaron como fechas administrativas y no se utilizaron para inferir fechas de muestreo o análisis.</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9,256 × 10⁻⁵</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 consideraron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para los cuales no se disponía de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al investigador las estimaciones obtenidas. Los valores se incorporaron como información operativa primaria aproximada, no como entrevistas formales ni mediciones directas de Saúl o de los operarios.</w:t>
      </w:r>
    </w:p>
    <w:p>
      <w:pPr>
        <w:spacing w:line="240" w:lineRule="auto" w:before="0" w:after="0"/>
        <w:ind w:left="100" w:firstLine="719"/>
        <w:jc w:val="both"/>
      </w:pPr>
      <w:r>
        <w:rPr>
          <w:rFonts w:ascii="Times New Roman" w:hAnsi="Times New Roman"/>
          <w:sz w:val="24"/>
        </w:rPr>
        <w:t>Los datos publicados para la misma lechería, las guías oficiales y la literatura científica se clasificaron como información secundaria. La eficiencia de la bomba de 0,80 y el consumo de diésel de 3 L/h se conservaron como supuestos del estudio, no como datos comunicados por el informante. Los 686,5 L/día de agua de lavado procedieron de Sánchez-Romero y Brenes-Gamboa (2026), mientras que la potencia nominal de 1,5 kW se observó en la placa del equipo.</w:t>
      </w:r>
    </w:p>
    <w:p>
      <w:pPr>
        <w:spacing w:line="240" w:lineRule="auto" w:before="0" w:after="0"/>
        <w:ind w:left="100" w:firstLine="719"/>
        <w:jc w:val="both"/>
      </w:pPr>
      <w:r>
        <w:rPr>
          <w:rFonts w:ascii="Times New Roman" w:hAnsi="Times New Roman"/>
          <w:sz w:val="24"/>
        </w:rPr>
        <w:t>El flujo común de aproximadamente 26 278,7 kg de estiércol fresco/año fue un resultado calculado. Sánchez-Romero y Brenes-Gamboa (2026) aportaron una masa viva media de 396,6 kg/animal, 18 animales, 3,5 h/día de permanencia, 2,7 kg/animal recolectados y 17 525,1 kg/año recolectados. El TFG adoptó por separado el límite inferior de 7 % de la masa viva por día del intervalo bibliográfico citado por esos autores. La generación diaria se prorrateó por 3,5/24; la fracción recolectada se obtuvo al comparar el depósito teórico por animal con la masa recolectada, y el total depositado anual se estimó dividiendo la masa anual recolectada entre esa fracción. La publicación no reportó directamente el resultado calculado.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lógica metodológica se organizó además por etapa para mostrar, sin reconstruir el modelo, la relación entre proceso, dato de actividad, ecuación vigente, fuente y uso posterior. La Tabla 5 sintetiza las seis etapas obligatorias; la matriz completa se presenta en el Apéndice interno E, Matriz detallada de trazabilidad metodológica por etapa A1–B2.</w:t>
      </w:r>
    </w:p>
    <w:p>
      <w:pPr>
        <w:spacing w:line="240" w:lineRule="auto" w:before="0" w:after="0"/>
        <w:ind w:left="100" w:firstLine="719"/>
        <w:jc w:val="both"/>
      </w:pPr>
      <w:r>
        <w:rPr>
          <w:rFonts w:ascii="Times New Roman" w:hAnsi="Times New Roman"/>
          <w:sz w:val="24"/>
        </w:rPr>
        <w:t>La matriz distingue la generación del inventario de su caracterización: primero se obtienen emisiones o consumos y, únicamente después, los flujos elementales compatibles se multiplican por factores de Environmental Footprint 3.1 para producir indicadores. El factor agregado del Instituto Meteorológico Nacional para electricidad conserva su tratamiento separado.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Síntesis de la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Para cada réplica se registró la masa de un recipiente limpio, seco y vacío y se añadieron aproximadamente 10 g de muestra fresca. Después del secado a 105 °C durante 16 h, el recipiente se enfrió en desecador y se pesó nuevamente. La materia seca se calculó a partir de la masa remanente por diferencia y la humedad como la fracción de agua removida. Estas determinaciones gravimétricas del Laboratorio de Bioenergía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Se transfirió aproximadamente 1 g del material seco a un crisol limpio, seco y previamente pesado. Después de registrar la masa del crisol con la porción seca, la muestra se incineró en mufla a 575 °C durante 4 h, se enfrió en desecador y se efectuó la pesada final. Las cenizas se determinaron como la fracción mineral remanente y los sólidos volátiles como la fracción de la materia seca perdida durante la incineración.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del Laboratorio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4,049 kg/animal. Al descontar los 2,7 kg/animal recolectados, el remanente estimado fue 1,349 kg/animal.</w:t>
      </w:r>
    </w:p>
    <w:p>
      <w:pPr>
        <w:spacing w:line="240" w:lineRule="auto" w:before="0" w:after="0"/>
        <w:ind w:left="100" w:firstLine="719"/>
        <w:jc w:val="both"/>
      </w:pPr>
      <w:r>
        <w:rPr>
          <w:rFonts w:ascii="Times New Roman" w:hAnsi="Times New Roman"/>
          <w:sz w:val="24"/>
        </w:rPr>
        <w:t>La fracción remanente se calculó como 1,349/4,049 = 0,3331, equivalente a 33,3 %. La fracción recolectada fue 66,7 %. El 33,3 %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26 280 kg/año y un remanente de 8 754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aproximadamente 26 278,7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la Tabla M4 conserva la trazabilidad detallada de procedencia y la Tabla M5 desarrolla la trazabilidad metodológica por etapa.</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9,256 × 10⁻⁵</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pStyle w:val="Heading2"/>
      </w:pPr>
      <w:r>
        <w:rPr>
          <w:rFonts w:ascii="Times New Roman" w:hAnsi="Times New Roman"/>
          <w:color w:val="000000"/>
        </w:rPr>
        <w:t>Apéndice interno E. Matriz detallada de trazabilidad metodológica por etapa A1–B2</w:t>
      </w:r>
    </w:p>
    <w:p>
      <w:pPr>
        <w:spacing w:line="240" w:lineRule="auto" w:before="0" w:after="0"/>
        <w:ind w:left="100" w:firstLine="719"/>
        <w:jc w:val="both"/>
      </w:pPr>
      <w:r>
        <w:rPr>
          <w:rFonts w:ascii="Times New Roman" w:hAnsi="Times New Roman"/>
          <w:sz w:val="24"/>
        </w:rPr>
        <w:t>La Tabla M5 permite seguir cada etapa desde el fenómeno y el dato de actividad hasta la relación de cálculo, la fuente metodológica y el uso posterior. Las filas de caracterización se mantienen separadas de las filas que generan emisiones o consumos.</w:t>
      </w:r>
    </w:p>
    <w:p>
      <w:pPr>
        <w:pStyle w:val="Rótuloacadémico"/>
      </w:pPr>
      <w:r>
        <w:rPr>
          <w:rFonts w:ascii="Times New Roman" w:hAnsi="Times New Roman"/>
          <w:b/>
          <w:color w:val="000000"/>
        </w:rPr>
        <w:t>Tabla M5</w:t>
      </w:r>
    </w:p>
    <w:p>
      <w:pPr>
        <w:pStyle w:val="Descripciónacadémica"/>
      </w:pPr>
      <w:r>
        <w:rPr>
          <w:rFonts w:ascii="Times New Roman" w:hAnsi="Times New Roman"/>
          <w:i/>
          <w:color w:val="000000"/>
        </w:rPr>
        <w:t>Matriz detallada de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