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mientras que el estiércol precompostado presentó 75,02 %. En contraste,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 En el Escenario A, A4: Aplicación de aguas verdes en campos de pastoreo dominó la masa equivalente, con 259 326,13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efectiva empleada en las ecuaciones. Para A2, esta fracción expresa el N del precompostado sobre masa húmeda e incorpora la materia seca gravimétrica; las demás etapas conservan su tratamiento analítico vigente.</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139,23 kg CH₄/año, 4,98 kg N₂O/año, 44,55 kg NH₃/año, 162,41 kg NO₃⁻/año y 0 kg CO₂/año. El Escenario B presentó 389,46 kg CH₄/año, 1,75 kg N₂O/año, 38,94 kg NH₃/año, 141,95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97,5 % del calentamiento global del Escenario B, con 8 503,713522 kg CO₂-eq/año. En el Escenario A, A3: Almacenamiento de aguas verdes aportó 63,42 % del total de esta categoría.</w:t>
      </w:r>
    </w:p>
    <w:p>
      <w:pPr>
        <w:spacing w:line="240" w:lineRule="auto" w:before="0" w:after="0"/>
        <w:ind w:left="100" w:firstLine="719"/>
        <w:jc w:val="both"/>
      </w:pPr>
      <w:r>
        <w:rPr>
          <w:rFonts w:ascii="Times New Roman" w:hAnsi="Times New Roman"/>
          <w:sz w:val="24"/>
        </w:rPr>
        <w:t>Para eutrofización, B1: Almacenamiento de purines presentó la mayor contribución del Escenario B, con 73,26 % de su total; en el Escenario A, A1: Precomposteo concentró 40,88 %.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fue nula. No obstante, bajo el supuesto de especiación adoptado, el conjunto de N potencialmente eutrofizante se distribuyó en partes iguales como N asociado a NH₃ y a NO₃⁻. Por ello, los 103,988543 kg NO₃⁻/año registrados para B1 representan NO₃⁻ equivalente derivado de esa asignación y no evidencia de lixiviación física directa.</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1 189,6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308,94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2 832,65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8 503,71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19,86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4 466,594134 kg CO₂-eq/año para calentamiento global y 31,022141 kg PO₄-eq/año para eutrofización. El Escenario B alcanzó 8 721,386683 kg CO₂-eq/año y 27,112498 kg PO₄-eq/año, respectivamente.</w:t>
      </w:r>
    </w:p>
    <w:p>
      <w:pPr>
        <w:spacing w:line="240" w:lineRule="auto" w:before="0" w:after="0"/>
        <w:ind w:left="100" w:firstLine="719"/>
        <w:jc w:val="both"/>
      </w:pPr>
      <w:r>
        <w:rPr>
          <w:rFonts w:ascii="Times New Roman" w:hAnsi="Times New Roman"/>
          <w:sz w:val="24"/>
        </w:rPr>
        <w:t>Respecto a la unidad funcional, los indicadores del Escenario A fueron 0,16996997 kg CO₂-eq/kg de estiércol fresco y 0,001180504 kg PO₄-eq/kg de estiércol fresco. Para el Escenario B fueron 0,331880128 kg CO₂-eq/kg y 0,001031728 kg PO₄-eq/kg de estiércol fresco.</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PO₄-eq/kg de estiércol fresco)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4 466,594134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31,022141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0,16997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0,001181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8 721,386683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27,112498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0,33188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0,001032</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4 254,792549 kg CO₂-eq/año, equivalente a 95,26 % respecto al Escenario A.</w:t>
      </w:r>
    </w:p>
    <w:p>
      <w:pPr>
        <w:spacing w:line="240" w:lineRule="auto" w:before="0" w:after="0"/>
        <w:ind w:left="100" w:firstLine="719"/>
        <w:jc w:val="both"/>
      </w:pPr>
      <w:r>
        <w:rPr>
          <w:rFonts w:ascii="Times New Roman" w:hAnsi="Times New Roman"/>
          <w:sz w:val="24"/>
        </w:rPr>
        <w:t>En eutrofización, el Escenario B superó al Escenario A en -3,909643 kg PO₄-eq/año, equivalente a -12,6 %. La Tabla 7 resume la comparación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4 254,793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89559"/>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6"/>
                    <a:stretch>
                      <a:fillRect/>
                    </a:stretch>
                  </pic:blipFill>
                  <pic:spPr>
                    <a:xfrm>
                      <a:off x="0" y="0"/>
                      <a:ext cx="5669280" cy="4089559"/>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196,755952 mg N₂O/kg de materia seca y la referencia experimental fue 39,43 mg N₂O/kg de materia seca. La razón fue 4,990006.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0,005 kg N₂O-N/kg N para IPCC y 0,00174249 kg N₂O-N/kg N para la referencia experimental; la razón fue 2,869461.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0,12433003 kg CO₂-eq/kg de materia seca para IPCC y 0,1718233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196,755952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157,325952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4,990006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0,003258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2,869461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186,95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0,12433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0,171823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-0,047493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0,723592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-27,64</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0,0549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66,3982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0,3021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10,3592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37,7656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129,7333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9,5017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34,6393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0,1109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23,6112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28,5244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103,9885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0,3638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0,1601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10,4118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37,9571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102,2691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3,5075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1 087,3351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18,2133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6,3746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66,3982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6,3078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97,2596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0,6828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211,6812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10,3592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3,6257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37,7656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3,5877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129,7333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2 724,3986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108,2472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9,5017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3,3256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34,6393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3,2907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0,4368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135,4033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2,2668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8 178,7512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1,0483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324,9624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28,5244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9,9835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103,9885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9,8789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0,7022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217,6732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10,4118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37,9571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3,6059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4 254,7925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95,2581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-12,6028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