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Estas conclusiones se derivan de la corrida provisional M1–M2 vigente. La incorporación de M3 actualizará la caracterización final y podrá modificar los resultados cuantitativos.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sus procesos de fondo permanecen pendientes.</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63,53 % del total del Escenario A y B1: Almacenamiento de purines aportó 88,80 % del total del Escenario B. Para eutrofización, las mayores contribuciones correspondieron a A4: Aplicación de aguas verdes en campos de pastoreo (70,63 % del total de A) y B2: Aplicación de purines en campo de pastoreo (93,14 %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0,220 kg CO₂-eq/kg de estiércol fresco manejado, frente a 0,102 kg CO₂-eq/kg de estiércol fresco manejado en el Escenario A. La diferencia B menos A fue de 114,75 %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