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En el Escenario A, 66,69 % del estiércol depositado se recolectó y entró primero a A1: Precomposteo; la masa resultante de esa transformación continuó posteriormente hacia A2: Lombricompostaje. El 33,31 % restante permaneció adherido al piso, se incorporó a las aguas verdes y fue representado en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En el Escenario B no se efectuó esa separación: el 100 % del estiércol teóricamente depositado, equivalente a 26 278,725181 kg/año, ingresó a B1: Almacenamiento de purines. En B2: Aplicación de purines en campo de pastoreo se integraron el agua de lavado y el total de estiércol depositado.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usado en A2, el CIA determinó N por Dumas después de secar la muestra a 80 °C durante 48 h. Este secado fue una preparación analítica distinta de la determinación gravimétrica de materia seca del TFG a 105 °C. El porcentaje integrado de N se interpretó como concentración del material preparado/seco y se convirtió a la base húmeda de la masa de actividad mediante la fracción gravimétrica de materia seca. No se reconstruyeron ni corrigieron posibles pérdidas de N ocurridas durante la preparación CIA.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efectiva de N,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Para ambas etapas se utilizó un MCF de 38 % como aproximación conservadora para clima tropical húmedo, EF3 igual a cero y ausencia de lixiviación sistemática. La mineralización previa del 10 % del N orgánico se mantuvo como aproximación EMEP por defecto, sin escalado lineal por la residencia aproximada de tres días; su representatividad temporal constituye una incertidumbre explícita.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pools correspondientes de B1. Ambas etapas representan aplicación al suelo de estiércol líquido previamente manejado y no deposición directa por animales durante pastoreo. Las mediciones intermedias se conservaron como benchmarks experimentales, sin reinicializar el ledger.</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ledger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las ecuaciones IPCC de manejo del estiércol y los factores genéricos de la categoría Composting – Passive Windrow, excepto la fracción de lixiviación, cuyo valor efectivo de cero se incorporó como parámetro específico del sistema estudiado. Las emisiones de las etapas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En A2 se conservaron los factores de metano, N₂O directo y volatilización de la categoría Composting – Passive Windrow; únicamente la fracción de lixiviación se sustituyó mediante el parámetro específico descrito anteriormente.</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ledger secuencial en kg N/año. El N total constituye el pool físico principal y el nitrógeno amoniacal total (TAN) un subpool,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12,8 g NH₃ por Mg de residuo orgánico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benchmark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TAN_{fresco} = 0{,}60 \times N_{total,fresco}</w:t>
      </w:r>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ind w:left="0" w:firstLine="0"/>
        <w:jc w:val="center"/>
      </w:pPr>
      <w:r>
        <w:rPr>
          <w:rFonts w:ascii="Cambria Math" w:hAnsi="Cambria Math"/>
          <w:sz w:val="24"/>
        </w:rPr>
        <w:t>N_{precursor,vol} = N_{NH_3} + N_{NO_x}</w:t>
      </w:r>
    </w:p>
    <w:p>
      <w:pPr>
        <w:ind w:left="0" w:firstLine="0"/>
        <w:jc w:val="center"/>
      </w:pPr>
      <w:r>
        <w:rPr>
          <w:rFonts w:ascii="Cambria Math" w:hAnsi="Cambria Math"/>
          <w:sz w:val="24"/>
        </w:rPr>
        <w:t>N_{N_2O,ind,vol} = N_{precursor,vol} \times EF_4</w:t>
      </w:r>
    </w:p>
    <w:p>
      <w:pPr>
        <w:ind w:left="0" w:firstLine="0"/>
        <w:jc w:val="center"/>
      </w:pPr>
      <w:r>
        <w:rPr>
          <w:rFonts w:ascii="Cambria Math" w:hAnsi="Cambria Math"/>
          <w:sz w:val="24"/>
        </w:rPr>
        <w:t>N_{lix,esc} = N_{aplicado} \times FracLEACH</w:t>
      </w:r>
    </w:p>
    <w:p>
      <w:pPr>
        <w:ind w:left="0" w:firstLine="0"/>
        <w:jc w:val="center"/>
      </w:pPr>
      <w:r>
        <w:rPr>
          <w:rFonts w:ascii="Cambria Math" w:hAnsi="Cambria Math"/>
          <w:sz w:val="24"/>
        </w:rPr>
        <w:t>m_{NO_3^-} = N_{lix,esc} \times \frac{62}{14}</w:t>
      </w:r>
    </w:p>
    <w:p>
      <w:pPr>
        <w:ind w:left="0" w:firstLine="0"/>
        <w:jc w:val="center"/>
      </w:pPr>
      <w:r>
        <w:rPr>
          <w:rFonts w:ascii="Cambria Math" w:hAnsi="Cambria Math"/>
          <w:sz w:val="24"/>
        </w:rPr>
        <w:t>N_{N_2O,ind,lix} = N_{lix,esc} \times EF_5</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N_{NO_x} = m_{NO_2} \times \frac{14}{46}</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con cañón, operado en 540E, los operarios comunicaron una duración aproximada de 30 min por vaciado, no medida instrumentalmente; el consumo de 3 L diésel/h fue un supuesto del estudio. El resultado fue 182,50 L/año en A4 y B2. Los escenarios son alternativos y estos consumos no se dividieron entre ellos.</w:t>
      </w:r>
    </w:p>
    <w:p>
      <w:pPr>
        <w:spacing w:line="240" w:lineRule="auto" w:before="0" w:after="0"/>
        <w:ind w:left="100" w:firstLine="719"/>
        <w:jc w:val="both"/>
      </w:pPr>
      <w:r>
        <w:rPr>
          <w:rFonts w:ascii="Times New Roman" w:hAnsi="Times New Roman"/>
          <w:sz w:val="24"/>
        </w:rPr>
        <w:t>Electricidad y diésel permanecen inventariados sin impactos de fondo. Su caracterización se incorporará posteriormente mediante SimaPro y ecoinvent dentro del mismo pipeline; el cañón no recibe energía independiente y el agua pluvial no se añade de nuevo en las etapas de aplicación.</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 — air unspecified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 fresh water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 efectiva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