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Metodología desarrollada del Análisis de Ciclo de Vida</w:t>
      </w:r>
    </w:p>
    <w:p>
      <w:pPr>
        <w:pStyle w:val="Heading2"/>
      </w:pPr>
      <w:r>
        <w:rPr>
          <w:rFonts w:ascii="Times New Roman" w:hAnsi="Times New Roman"/>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rPr>
        <w:t>2. Sitio de estudio</w:t>
      </w:r>
    </w:p>
    <w:p>
      <w:pPr>
        <w:spacing w:line="240" w:lineRule="auto" w:before="0" w:after="0"/>
        <w:ind w:left="100" w:firstLine="719"/>
        <w:jc w:val="both"/>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240" w:lineRule="auto" w:before="0" w:after="0"/>
        <w:ind w:left="100" w:firstLine="719"/>
        <w:jc w:val="both"/>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pPr>
      <w:r>
        <w:rPr>
          <w:rFonts w:ascii="Times New Roman" w:hAnsi="Times New Roman"/>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240" w:lineRule="auto" w:before="0" w:after="0"/>
        <w:ind w:left="100" w:firstLine="719"/>
        <w:jc w:val="both"/>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pPr>
      <w:r>
        <w:rPr>
          <w:rFonts w:ascii="Times New Roman" w:hAnsi="Times New Roman"/>
        </w:rPr>
        <w:t>4. Escenarios evaluados</w:t>
      </w:r>
    </w:p>
    <w:p>
      <w:pPr>
        <w:spacing w:line="240" w:lineRule="auto" w:before="0" w:after="0"/>
        <w:ind w:left="100" w:firstLine="719"/>
        <w:jc w:val="both"/>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El Escenario B representa una alternativa en la que los purines se almacenan y se aplican directamente en campo de pastoreo. Sus etapas son B1: Almacenamiento de purines y B2: Aplicación de purines en campo de pastoreo.</w:t>
      </w:r>
    </w:p>
    <w:p>
      <w:pPr>
        <w:pStyle w:val="Heading2"/>
      </w:pPr>
      <w:r>
        <w:rPr>
          <w:rFonts w:ascii="Times New Roman" w:hAnsi="Times New Roman"/>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pPr>
      <w:r>
        <w:rPr>
          <w:rFonts w:ascii="Times New Roman" w:hAnsi="Times New Roman"/>
        </w:rPr>
        <w:t>7. Etapas del Escenario B</w:t>
      </w:r>
    </w:p>
    <w:p>
      <w:pPr>
        <w:spacing w:line="240" w:lineRule="auto" w:before="0" w:after="0"/>
        <w:ind w:left="100" w:firstLine="719"/>
        <w:jc w:val="both"/>
      </w:pPr>
      <w:r>
        <w:rPr>
          <w:rFonts w:ascii="Times New Roman" w:hAnsi="Times New Roman"/>
          <w:sz w:val="24"/>
        </w:rPr>
        <w:t>B1: Almacenamiento de purines corresponde al almacenamiento de la mezcla líquida de estiércol, orina, agua de lavado y residuos arrastrados antes de su aplicación. B2: Aplicación de purines en campo de pastoreo corresponde a la aplicación directa de purines sobre el terreno.</w:t>
      </w:r>
    </w:p>
    <w:p>
      <w:pPr>
        <w:spacing w:line="240" w:lineRule="auto" w:before="0" w:after="0"/>
        <w:ind w:left="100" w:firstLine="719"/>
        <w:jc w:val="both"/>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pPr>
      <w:r>
        <w:rPr>
          <w:rFonts w:ascii="Times New Roman" w:hAnsi="Times New Roman"/>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pStyle w:val="Rótuloacadémico"/>
      </w:pPr>
      <w:r>
        <w:rPr>
          <w:rFonts w:ascii="Times New Roman" w:hAnsi="Times New Roman"/>
          <w:b/>
        </w:rPr>
        <w:t>Tabla 1</w:t>
      </w:r>
    </w:p>
    <w:p>
      <w:pPr>
        <w:pStyle w:val="Descripciónacadémica"/>
      </w:pPr>
      <w:r>
        <w:rPr>
          <w:rFonts w:ascii="Times New Roman" w:hAnsi="Times New Roman"/>
          <w:i/>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rPr>
        <w:t>Tabla 2</w:t>
      </w:r>
    </w:p>
    <w:p>
      <w:pPr>
        <w:pStyle w:val="Descripciónacadémica"/>
      </w:pPr>
      <w:r>
        <w:rPr>
          <w:rFonts w:ascii="Times New Roman" w:hAnsi="Times New Roman"/>
          <w:i/>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bl>
    <w:p>
      <w:pPr>
        <w:ind w:left="0" w:firstLine="0"/>
        <w:jc w:val="center"/>
      </w:pPr>
      <w:r>
        <w:drawing>
          <wp:inline xmlns:a="http://schemas.openxmlformats.org/drawingml/2006/main" xmlns:pic="http://schemas.openxmlformats.org/drawingml/2006/picture">
            <wp:extent cx="5669280" cy="2802840"/>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2840"/>
                    </a:xfrm>
                    <a:prstGeom prst="rect"/>
                  </pic:spPr>
                </pic:pic>
              </a:graphicData>
            </a:graphic>
          </wp:inline>
        </w:drawing>
      </w:r>
    </w:p>
    <w:p>
      <w:pPr>
        <w:pStyle w:val="Rótuloacadémico"/>
      </w:pPr>
      <w:r>
        <w:rPr>
          <w:rFonts w:ascii="Times New Roman" w:hAnsi="Times New Roman"/>
          <w:b/>
        </w:rPr>
        <w:t>Figura M1</w:t>
      </w:r>
    </w:p>
    <w:p>
      <w:pPr>
        <w:pStyle w:val="Descripciónacadémica"/>
      </w:pPr>
      <w:r>
        <w:rPr>
          <w:rFonts w:ascii="Times New Roman" w:hAnsi="Times New Roman"/>
          <w:i/>
        </w:rPr>
        <w:t>Masa equivalente total por etapa y escenario.</w:t>
      </w:r>
    </w:p>
    <w:p>
      <w:pPr>
        <w:pStyle w:val="Heading2"/>
      </w:pPr>
      <w:r>
        <w:rPr>
          <w:rFonts w:ascii="Times New Roman" w:hAnsi="Times New Roman"/>
        </w:rPr>
        <w:t>9. Muestreo y análisis de laboratorio</w:t>
      </w:r>
    </w:p>
    <w:p>
      <w:pPr>
        <w:spacing w:line="240" w:lineRule="auto" w:before="0" w:after="0"/>
        <w:ind w:left="100" w:firstLine="719"/>
        <w:jc w:val="both"/>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muestras sólidas permitieron determinar húmedad,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pStyle w:val="Rótuloacadémico"/>
      </w:pPr>
      <w:r>
        <w:rPr>
          <w:rFonts w:ascii="Times New Roman" w:hAnsi="Times New Roman"/>
          <w:b/>
        </w:rPr>
        <w:t>Tabla 3</w:t>
      </w:r>
    </w:p>
    <w:p>
      <w:pPr>
        <w:pStyle w:val="Descripciónacadémica"/>
      </w:pPr>
      <w:r>
        <w:rPr>
          <w:rFonts w:ascii="Times New Roman" w:hAnsi="Times New Roman"/>
          <w:i/>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bl>
    <w:p>
      <w:pPr>
        <w:pStyle w:val="Heading2"/>
      </w:pPr>
      <w:r>
        <w:rPr>
          <w:rFonts w:ascii="Times New Roman" w:hAnsi="Times New Roman"/>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ex,fraction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pPr>
      <w:r>
        <w:rPr>
          <w:rFonts w:ascii="Times New Roman" w:hAnsi="Times New Roman"/>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complementan la interpretación operativa del sistema durante el periodo evaluado, pero no constituyen la unidad funcional.</w:t>
      </w:r>
    </w:p>
    <w:p>
      <w:pPr>
        <w:pStyle w:val="Heading2"/>
      </w:pPr>
      <w:r>
        <w:rPr>
          <w:rFonts w:ascii="Times New Roman" w:hAnsi="Times New Roman"/>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pStyle w:val="Heading2"/>
      </w:pPr>
      <w:r>
        <w:rPr>
          <w:rFonts w:ascii="Times New Roman" w:hAnsi="Times New Roman"/>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ex,fraction como fracción másica de entrada.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pStyle w:val="Heading2"/>
      </w:pPr>
      <w:r>
        <w:rPr>
          <w:rFonts w:ascii="Times New Roman" w:hAnsi="Times New Roman"/>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rPr>
        <w:t>Tabla 4</w:t>
      </w:r>
    </w:p>
    <w:p>
      <w:pPr>
        <w:pStyle w:val="Descripciónacadémica"/>
      </w:pPr>
      <w:r>
        <w:rPr>
          <w:rFonts w:ascii="Times New Roman" w:hAnsi="Times New Roman"/>
          <w:i/>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bl>
    <w:p>
      <w:pPr>
        <w:pStyle w:val="Heading2"/>
      </w:pPr>
      <w:r>
        <w:rPr>
          <w:rFonts w:ascii="Times New Roman" w:hAnsi="Times New Roman"/>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Además, la asignación de sistemas de manejo por etapa y la selección de factores de caracterización deben ser respaldadas con fuentes bibliográficas en la versión final del TFG.</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pPr>
      <w:r>
        <w:rPr>
          <w:rFonts w:ascii="Times New Roman" w:hAnsi="Times New Roman"/>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rPr>
        <w:t>Apéndice interno A. Parámetros completos del modelo ACV</w:t>
      </w:r>
    </w:p>
    <w:p>
      <w:pPr>
        <w:pStyle w:val="Rótuloacadémico"/>
      </w:pPr>
      <w:r>
        <w:rPr>
          <w:rFonts w:ascii="Times New Roman" w:hAnsi="Times New Roman"/>
          <w:b/>
        </w:rPr>
        <w:t>Tabla M1</w:t>
      </w:r>
    </w:p>
    <w:p>
      <w:pPr>
        <w:pStyle w:val="Descripciónacadémica"/>
      </w:pPr>
      <w:r>
        <w:rPr>
          <w:rFonts w:ascii="Times New Roman" w:hAnsi="Times New Roman"/>
          <w:i/>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Heading2"/>
      </w:pPr>
      <w:r>
        <w:rPr>
          <w:rFonts w:ascii="Times New Roman" w:hAnsi="Times New Roman"/>
        </w:rPr>
        <w:t>Apéndice interno B. Factores de emisión y caracterización</w:t>
      </w:r>
    </w:p>
    <w:p>
      <w:pPr>
        <w:pStyle w:val="Rótuloacadémico"/>
      </w:pPr>
      <w:r>
        <w:rPr>
          <w:rFonts w:ascii="Times New Roman" w:hAnsi="Times New Roman"/>
          <w:b/>
        </w:rPr>
        <w:t>Tabla M2</w:t>
      </w:r>
    </w:p>
    <w:p>
      <w:pPr>
        <w:pStyle w:val="Descripciónacadémica"/>
      </w:pPr>
      <w:r>
        <w:rPr>
          <w:rFonts w:ascii="Times New Roman" w:hAnsi="Times New Roman"/>
          <w:i/>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N/ano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co2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ch4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n2o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r>
    </w:tbl>
    <w:p>
      <w:pPr>
        <w:pStyle w:val="Heading2"/>
      </w:pPr>
      <w:r>
        <w:rPr>
          <w:rFonts w:ascii="Times New Roman" w:hAnsi="Times New Roman"/>
        </w:rPr>
        <w:t>Apéndice interno C. Diccionario de variables metodológicas</w:t>
      </w:r>
    </w:p>
    <w:p>
      <w:pPr>
        <w:pStyle w:val="Rótuloacadémico"/>
      </w:pPr>
      <w:r>
        <w:rPr>
          <w:rFonts w:ascii="Times New Roman" w:hAnsi="Times New Roman"/>
          <w:b/>
        </w:rPr>
        <w:t>Tabla M3</w:t>
      </w:r>
    </w:p>
    <w:p>
      <w:pPr>
        <w:pStyle w:val="Descripciónacadémica"/>
      </w:pPr>
      <w:r>
        <w:rPr>
          <w:rFonts w:ascii="Times New Roman" w:hAnsi="Times New Roman"/>
          <w:i/>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eq/ano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CO₂-eq/ano o kg PO₄-eq/ano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