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</w:rPr>
        <w:t>Resultados desarrollados del Análisis de Ciclo de Vida</w:t>
      </w:r>
    </w:p>
    <w:p>
      <w:pPr>
        <w:pStyle w:val="Heading2"/>
      </w:pPr>
      <w:r>
        <w:rPr>
          <w:rFonts w:ascii="Times New Roman" w:hAnsi="Times New Roman"/>
        </w:rPr>
        <w:t>1. Caracterización de las muestras analizadas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caracterización de las muestras analizadas permitió establecer los parámetros fisicoquímicos usados como entradas del inventario de ciclo de vida. El estiércol fresco presentó una húmedad promedio de 85,77 % y una materia seca de 14,23 %. El estiércol precompostado presentó una húmedad promedio de 77,59 % y una materia seca de 22,41 %.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fracción de sólidos volátiles fue mayor en el estiércol fresco, con 85,88 % en base seca, mientras que el estiércol precompostado presentó 70,96 %. En contraste, las cenizas fueron mayores en el material precompostado. El nitrógeno total fue de 0,372 % para estiércol fresco y de 2,425 % para estiércol precompostado.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1 resume los valores de caracterización de las muestras. La Figura 1 presenta húmedad y materia seca, mientras que la Figura 2 presenta sólidos volátiles y cenizas.</w:t>
      </w:r>
    </w:p>
    <w:p>
      <w:pPr>
        <w:pStyle w:val="Rótuloacadémico"/>
      </w:pPr>
      <w:r>
        <w:rPr>
          <w:rFonts w:ascii="Times New Roman" w:hAnsi="Times New Roman"/>
          <w:b/>
        </w:rPr>
        <w:t>Tabla 1</w:t>
      </w:r>
    </w:p>
    <w:p>
      <w:pPr>
        <w:pStyle w:val="Descripciónacadémica"/>
      </w:pPr>
      <w:r>
        <w:rPr>
          <w:rFonts w:ascii="Times New Roman" w:hAnsi="Times New Roman"/>
          <w:i/>
        </w:rPr>
        <w:t>Caracterización resumida de las muestras.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muestra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Humedad (%)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Materia seca (%)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Cenizas (% base seca)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Sólidos volátiles (% base seca)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 total (%)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85,77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14,123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0,372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77,593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22,407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29,041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70,959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</w:tr>
    </w:tbl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51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1_caracterizacion_humedad_materia_se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1</w:t>
      </w:r>
    </w:p>
    <w:p>
      <w:pPr>
        <w:pStyle w:val="Descripciónacadémica"/>
      </w:pPr>
      <w:r>
        <w:rPr>
          <w:rFonts w:ascii="Times New Roman" w:hAnsi="Times New Roman"/>
          <w:i/>
        </w:rPr>
        <w:t>Humedad y materia seca promedio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51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caracterizacion_solidos_volatiles_ceniz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2</w:t>
      </w:r>
    </w:p>
    <w:p>
      <w:pPr>
        <w:pStyle w:val="Descripciónacadémica"/>
      </w:pPr>
      <w:r>
        <w:rPr>
          <w:rFonts w:ascii="Times New Roman" w:hAnsi="Times New Roman"/>
          <w:i/>
        </w:rPr>
        <w:t>Sólidos volátiles y cenizas por tipo de muestra.</w:t>
      </w:r>
    </w:p>
    <w:p>
      <w:pPr>
        <w:pStyle w:val="Heading2"/>
      </w:pPr>
      <w:r>
        <w:rPr>
          <w:rFonts w:ascii="Times New Roman" w:hAnsi="Times New Roman"/>
        </w:rPr>
        <w:t>2. Flujos del inventario de ciclo de vida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Estos valores se presentan como flujos anuales estimados del inventario, manteniendo como referencia metodológica la unidad funcional de 1 kg de estiércol fresco, tal y como fue recolectado del módulo lechero.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flujos del inventario se expresaron como masa equivalente total por año para cada etapa. B2: Aplicación de purines en campo de pastoreo presentó la mayor masa equivalente total, con 76 557,27 kg eq/año. En el Escenario A, A4: Aplicación de aguas verdes en campos de pastoreo dominó la masa equivalente, con 71 789,81 kg eq/año.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masa equivalente de A4 integra el componente líquido de aguas verdes y una fracción de boñiga asociada a esa línea. La masa equivalente de B2 integra agua de lavado y boñiga fresca incorporada al purín aplicado en campo.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etapas con menor masa equivalente fueron A3: Almacenamiento de aguas verdes y A2: Lombricompostaje. La Tabla 2 presenta la masa equivalente total por etapa y la Figura 3 resume su distribución por escenario.</w:t>
      </w:r>
    </w:p>
    <w:p>
      <w:pPr>
        <w:pStyle w:val="Rótuloacadémico"/>
      </w:pPr>
      <w:r>
        <w:rPr>
          <w:rFonts w:ascii="Times New Roman" w:hAnsi="Times New Roman"/>
          <w:b/>
        </w:rPr>
        <w:t>Tabla 2</w:t>
      </w:r>
    </w:p>
    <w:p>
      <w:pPr>
        <w:pStyle w:val="Descripciónacadémica"/>
      </w:pPr>
      <w:r>
        <w:rPr>
          <w:rFonts w:ascii="Times New Roman" w:hAnsi="Times New Roman"/>
          <w:i/>
        </w:rPr>
        <w:t>Masa equivalente total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total (kg eq/año)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4 767,46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5 126,3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76 557,27</w:t>
            </w:r>
          </w:p>
        </w:tc>
      </w:tr>
    </w:tbl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2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4_flujos_masa_equivalente_to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2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3</w:t>
      </w:r>
    </w:p>
    <w:p>
      <w:pPr>
        <w:pStyle w:val="Descripciónacadémica"/>
      </w:pPr>
      <w:r>
        <w:rPr>
          <w:rFonts w:ascii="Times New Roman" w:hAnsi="Times New Roman"/>
          <w:i/>
        </w:rPr>
        <w:t>Masa equivalente total por etapa y escenario.</w:t>
      </w:r>
    </w:p>
    <w:p>
      <w:pPr>
        <w:pStyle w:val="Heading2"/>
      </w:pPr>
      <w:r>
        <w:rPr>
          <w:rFonts w:ascii="Times New Roman" w:hAnsi="Times New Roman"/>
        </w:rPr>
        <w:t>3. Parámetros utilizados en el modelo ACV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parámetros utilizados en el modelo se organizaron por escenario y etapa. La tabla final distingue entre N total reportado (%), que corresponde al nitrógeno total reportado en porcentaje, y Fracción másica de N, que corresponde a la fracción másica usada en ecuaciones de nitrógeno. La relación aplicada fue Fracción másica de N = N total reportado (%) / 100.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A2: Lombricompostaje aparece como etapa con modelo Factor medido. Las demás etapas se calculan con modelo IPCC según el sistema de manejo asignado. La Tabla 3 resume los parámetros principales, y los parámetros completos se presentan en los apéndices internos.</w:t>
      </w:r>
    </w:p>
    <w:p>
      <w:pPr>
        <w:pStyle w:val="Rótuloacadémico"/>
      </w:pPr>
      <w:r>
        <w:rPr>
          <w:rFonts w:ascii="Times New Roman" w:hAnsi="Times New Roman"/>
          <w:b/>
        </w:rPr>
        <w:t>Tabla 3</w:t>
      </w:r>
    </w:p>
    <w:p>
      <w:pPr>
        <w:pStyle w:val="Descripciónacadémica"/>
      </w:pPr>
      <w:r>
        <w:rPr>
          <w:rFonts w:ascii="Times New Roman" w:hAnsi="Times New Roman"/>
          <w:i/>
        </w:rPr>
        <w:t>Parámetros principales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Modelo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(kg eq/año)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Fracción másica de 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 total reportado (%)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0,0242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0,0072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0,0114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4. Emisiones estimadas por etapa y escenario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emisiones consolidadas muestran diferencias entre escenarios y sustancias. El Escenario A presentó 9,55 kg CH₄/año, 0,79 kg N₂O/año, 5,23 kg NH₃/año, 19,06 kg NO₃⁻/año y 33,65 kg CO₂/año. El Escenario B presentó 80,59 kg CH₄/año, 0,31 kg N₂O/año, 6,35 kg NH₃/año y 23,17 kg NO₃⁻/año.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B1: Almacenamiento de purines presentó la mayor contribución de CH₄. A1: Precomposteo presentó la mayor emisión de N₂O. A2: Lombricompostaje reportó CO₂ por el uso de un factor Factor medido. La Tabla 4 resume las emisiones anuales por escenario y sustancia, y la Figura 4 presenta las emisiones de CH₄ por etapa.</w:t>
      </w:r>
    </w:p>
    <w:p>
      <w:pPr>
        <w:pStyle w:val="Rótuloacadémico"/>
      </w:pPr>
      <w:r>
        <w:rPr>
          <w:rFonts w:ascii="Times New Roman" w:hAnsi="Times New Roman"/>
          <w:b/>
        </w:rPr>
        <w:t>Tabla 4</w:t>
      </w:r>
    </w:p>
    <w:p>
      <w:pPr>
        <w:pStyle w:val="Descripciónacadémica"/>
      </w:pPr>
      <w:r>
        <w:rPr>
          <w:rFonts w:ascii="Times New Roman" w:hAnsi="Times New Roman"/>
          <w:i/>
        </w:rPr>
        <w:t>Emisiones anuales por escenario y sustancia.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CH₄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N₂O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NH₃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NO₃⁻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CO₂ (kg/año)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9,55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19,06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80,59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6,35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23,17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896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emisiones_ch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9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4</w:t>
      </w:r>
    </w:p>
    <w:p>
      <w:pPr>
        <w:pStyle w:val="Descripciónacadémica"/>
      </w:pPr>
      <w:r>
        <w:rPr>
          <w:rFonts w:ascii="Times New Roman" w:hAnsi="Times New Roman"/>
          <w:i/>
        </w:rPr>
        <w:t>Emisiones anuales de CH₄ por etapa y escenario.</w:t>
      </w:r>
    </w:p>
    <w:p>
      <w:pPr>
        <w:pStyle w:val="Heading2"/>
      </w:pPr>
      <w:r>
        <w:rPr>
          <w:rFonts w:ascii="Times New Roman" w:hAnsi="Times New Roman"/>
        </w:rPr>
        <w:t>5. Impactos ambientales por etapa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impactos ambientales por etapa muestran que B1: Almacenamiento de purines presentó la mayor contribución al potencial de calentamiento global, con 1 737,81 kg CO₂-eq/año. En el Escenario A, A1: Precomposteo presentó la mayor contribución a esta categoría.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eutrofización, B1: Almacenamiento de purines presentó el valor más alto, seguido por A1: Precomposteo. A2: Lombricompostaje registró 0 kg PO₄-eq/año en la tabla final, debido a que no reporta emisiones de NH₃ ni NO₃⁻ en la tabla de emisiones por etapa. La Tabla 5 resume los impactos por etapa; la Figura 5 presenta calentamiento global y la Figura 6 presenta eutrofización.</w:t>
      </w:r>
    </w:p>
    <w:p>
      <w:pPr>
        <w:pStyle w:val="Rótuloacadémico"/>
      </w:pPr>
      <w:r>
        <w:rPr>
          <w:rFonts w:ascii="Times New Roman" w:hAnsi="Times New Roman"/>
          <w:b/>
        </w:rPr>
        <w:t>Tabla 5</w:t>
      </w:r>
    </w:p>
    <w:p>
      <w:pPr>
        <w:pStyle w:val="Descripciónacadémica"/>
      </w:pPr>
      <w:r>
        <w:rPr>
          <w:rFonts w:ascii="Times New Roman" w:hAnsi="Times New Roman"/>
          <w:i/>
        </w:rPr>
        <w:t>Impactos ambientales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Calentamiento global (kg CO₂-eq/año)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Eutrofización (kg PO₄-eq/año)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241,72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2,48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86,31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121,65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0,19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0,97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1 737,81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2,78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49,38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1,65</w:t>
            </w:r>
          </w:p>
        </w:tc>
      </w:tr>
    </w:tbl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impactos_calentamiento_global_et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5</w:t>
      </w:r>
    </w:p>
    <w:p>
      <w:pPr>
        <w:pStyle w:val="Descripciónacadémica"/>
      </w:pPr>
      <w:r>
        <w:rPr>
          <w:rFonts w:ascii="Times New Roman" w:hAnsi="Times New Roman"/>
          <w:i/>
        </w:rPr>
        <w:t>Potencial de calentamiento global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impactos_eutrofizacion_etap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6</w:t>
      </w:r>
    </w:p>
    <w:p>
      <w:pPr>
        <w:pStyle w:val="Descripciónacadémica"/>
      </w:pPr>
      <w:r>
        <w:rPr>
          <w:rFonts w:ascii="Times New Roman" w:hAnsi="Times New Roman"/>
          <w:i/>
        </w:rPr>
        <w:t>Potencial de eutrofización por etapa y escenario.</w:t>
      </w:r>
    </w:p>
    <w:p>
      <w:pPr>
        <w:pStyle w:val="Heading2"/>
      </w:pPr>
      <w:r>
        <w:rPr>
          <w:rFonts w:ascii="Times New Roman" w:hAnsi="Times New Roman"/>
        </w:rPr>
        <w:t>6. Impactos totales por escenario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El Escenario A alcanzó 478,78 kg CO₂-eq/año para calentamiento global y 3,64 kg PO₄-eq/año para eutrofización. El Escenario B alcanzó 1 787,19 kg CO₂-eq/año para calentamiento global y 4,43 kg PO₄-eq/año para eutrofización.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6 presenta la agregación por escenario y conserva las categorías de impacto y unidades definidas en las tablas finales validadas.</w:t>
      </w:r>
    </w:p>
    <w:p>
      <w:pPr>
        <w:pStyle w:val="Rótuloacadémico"/>
      </w:pPr>
      <w:r>
        <w:rPr>
          <w:rFonts w:ascii="Times New Roman" w:hAnsi="Times New Roman"/>
          <w:b/>
        </w:rPr>
        <w:t>Tabla 6</w:t>
      </w:r>
    </w:p>
    <w:p>
      <w:pPr>
        <w:pStyle w:val="Descripciónacadémica"/>
      </w:pPr>
      <w:r>
        <w:rPr>
          <w:rFonts w:ascii="Times New Roman" w:hAnsi="Times New Roman"/>
          <w:i/>
        </w:rPr>
        <w:t>Impactos ambientales totales por escenario.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Calentamiento global (kg CO₂-eq/año)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Eutrofización (kg PO₄-eq/año)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478,78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7. Comparación entre escenarios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comparación entre escenarios muestra mayores impactos totales en el Escenario B para las dos categorías evaluadas. En calentamiento global, la diferencia absoluta B menos A fue de 1 308,41 kg CO₂-eq/año, equivalente a 273,28 % respecto al Escenario 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En eutrofización, la diferencia absoluta fue de 0,786 kg PO₄-eq/año, equivalente a 21,58 % respecto al Escenario A. La Tabla 7 resume la comparación entre escenarios y la Figura 7 presenta la diferencia porcentual por categoría de impacto.</w:t>
      </w:r>
    </w:p>
    <w:p>
      <w:pPr>
        <w:pStyle w:val="Rótuloacadémico"/>
      </w:pPr>
      <w:r>
        <w:rPr>
          <w:rFonts w:ascii="Times New Roman" w:hAnsi="Times New Roman"/>
          <w:b/>
        </w:rPr>
        <w:t>Tabla 7</w:t>
      </w:r>
    </w:p>
    <w:p>
      <w:pPr>
        <w:pStyle w:val="Descripciónacadémica"/>
      </w:pPr>
      <w:r>
        <w:rPr>
          <w:rFonts w:ascii="Times New Roman" w:hAnsi="Times New Roman"/>
          <w:i/>
        </w:rPr>
        <w:t>Comparación de impactos ambientales entre escenarios.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B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absoluta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porcentual B respecto a 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con mayor impacto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478,779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1 308,414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273,28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0,786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21,58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</w:tbl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80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5_comparacion_diferencia_porcen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7</w:t>
      </w:r>
    </w:p>
    <w:p>
      <w:pPr>
        <w:pStyle w:val="Descripciónacadémica"/>
      </w:pPr>
      <w:r>
        <w:rPr>
          <w:rFonts w:ascii="Times New Roman" w:hAnsi="Times New Roman"/>
          <w:i/>
        </w:rPr>
        <w:t>Diferencia porcentual del Escenario B respecto al Escenario A por categoría de impacto.</w:t>
      </w:r>
    </w:p>
    <w:p>
      <w:pPr>
        <w:pStyle w:val="Heading1"/>
      </w:pPr>
      <w:r>
        <w:rPr>
          <w:rFonts w:ascii="Times New Roman" w:hAnsi="Times New Roman"/>
        </w:rPr>
        <w:t>Apéndices internos de resultados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apéndices internos contienen las Tablas R1, R2, R3, R4, R5, R6, R7 y R8, las Figuras R1 a R8 y la Tabla R10 de correspondencia. Las figuras complementarias de emisiones de N₂O, NH₃, NO₃⁻ y CO₂ respaldan la interpretación de las emisiones por sustancia.</w:t>
      </w:r>
    </w:p>
    <w:p>
      <w:pPr>
        <w:pStyle w:val="Heading2"/>
      </w:pPr>
      <w:r>
        <w:rPr>
          <w:rFonts w:ascii="Times New Roman" w:hAnsi="Times New Roman"/>
        </w:rPr>
        <w:t>Tabla R1</w:t>
      </w:r>
    </w:p>
    <w:p>
      <w:pPr>
        <w:pStyle w:val="Rótuloacadémico"/>
      </w:pPr>
      <w:r>
        <w:rPr>
          <w:rFonts w:ascii="Times New Roman" w:hAnsi="Times New Roman"/>
          <w:b/>
        </w:rPr>
        <w:t>Tabla R1</w:t>
      </w:r>
    </w:p>
    <w:p>
      <w:pPr>
        <w:pStyle w:val="Descripciónacadémica"/>
      </w:pPr>
      <w:r>
        <w:rPr>
          <w:rFonts w:ascii="Times New Roman" w:hAnsi="Times New Roman"/>
          <w:i/>
        </w:rPr>
        <w:t>Caracterización completa de muestras.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material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Material analizado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Jornada de muestreo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Número de muestras de sólidos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Número de muestras de nitrógeno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Variable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Desviación estándar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Humedad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85,7698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0,6205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14,2302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0,6205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Cenizas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14,123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0,6677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0,6677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3 716,6667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Humedad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77,593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3,9269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22,407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3,9269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Cenizas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29,0414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4,256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70,9586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4,256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24 250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Tabla R2</w:t>
      </w:r>
    </w:p>
    <w:p>
      <w:pPr>
        <w:pStyle w:val="Rótuloacadémico"/>
      </w:pPr>
      <w:r>
        <w:rPr>
          <w:rFonts w:ascii="Times New Roman" w:hAnsi="Times New Roman"/>
          <w:b/>
        </w:rPr>
        <w:t>Tabla R2</w:t>
      </w:r>
    </w:p>
    <w:p>
      <w:pPr>
        <w:pStyle w:val="Descripciónacadémica"/>
      </w:pPr>
      <w:r>
        <w:rPr>
          <w:rFonts w:ascii="Times New Roman" w:hAnsi="Times New Roman"/>
          <w:i/>
        </w:rPr>
        <w:t>Flujos completos del inventario.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Flujo o material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sólida precompostada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de boñiga asociada a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de boñiga incorporada a las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71 430,9693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 almacenado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Boñiga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71 430,9693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Tabla R3</w:t>
      </w:r>
    </w:p>
    <w:p>
      <w:pPr>
        <w:pStyle w:val="Rótuloacadémico"/>
      </w:pPr>
      <w:r>
        <w:rPr>
          <w:rFonts w:ascii="Times New Roman" w:hAnsi="Times New Roman"/>
          <w:b/>
        </w:rPr>
        <w:t>Tabla R3</w:t>
      </w:r>
    </w:p>
    <w:p>
      <w:pPr>
        <w:pStyle w:val="Descripciónacadémica"/>
      </w:pPr>
      <w:r>
        <w:rPr>
          <w:rFonts w:ascii="Times New Roman" w:hAnsi="Times New Roman"/>
          <w:i/>
        </w:rPr>
        <w:t>Parámetros completos del modelo ACV.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material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Modelo de cálculo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Sistema de manejo asignado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Parámetro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0,0242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70,9586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0,0114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Tabla R4</w:t>
      </w:r>
    </w:p>
    <w:p>
      <w:pPr>
        <w:pStyle w:val="Rótuloacadémico"/>
      </w:pPr>
      <w:r>
        <w:rPr>
          <w:rFonts w:ascii="Times New Roman" w:hAnsi="Times New Roman"/>
          <w:b/>
        </w:rPr>
        <w:t>Tabla R4</w:t>
      </w:r>
    </w:p>
    <w:p>
      <w:pPr>
        <w:pStyle w:val="Descripciónacadémica"/>
      </w:pPr>
      <w:r>
        <w:rPr>
          <w:rFonts w:ascii="Times New Roman" w:hAnsi="Times New Roman"/>
          <w:i/>
        </w:rPr>
        <w:t>Factores completos de emisión y caracterización.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factor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Sistema o compuesto evaluado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factor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emision 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Factor medido CO₂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0,102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emision 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Factor medido CH₄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emision 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Factor medido 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eutrofizacion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eutrofizacion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B0 T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m³ CH₄/kg SV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AWMS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unidad o cabeza equivalente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 cdg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N₂O-N/(kg NH₃-N + NOx-N volatilizado)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 lixiviado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 gasm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 leach h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R N2 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N2-N/kg N₂O-N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N A 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1,5714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N₂O/kg N₂O-N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N A NH₃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1,2143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N A NO₃⁻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4,4286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 4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CH₄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 2 O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N₂O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 3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NH₃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 3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NO₃⁻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co2 kg por kg residuo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0,102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ch4 kg por kg residuo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n2o kg por kg residuo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N₂O/kg residuo seco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Tabla R5</w:t>
      </w:r>
    </w:p>
    <w:p>
      <w:pPr>
        <w:pStyle w:val="Rótuloacadémico"/>
      </w:pPr>
      <w:r>
        <w:rPr>
          <w:rFonts w:ascii="Times New Roman" w:hAnsi="Times New Roman"/>
          <w:b/>
        </w:rPr>
        <w:t>Tabla R5</w:t>
      </w:r>
    </w:p>
    <w:p>
      <w:pPr>
        <w:pStyle w:val="Descripciónacadémica"/>
      </w:pPr>
      <w:r>
        <w:rPr>
          <w:rFonts w:ascii="Times New Roman" w:hAnsi="Times New Roman"/>
          <w:i/>
        </w:rPr>
        <w:t>Emisiones completas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Sustancia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Emisión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total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1,4052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0,5569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0,1169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0,0107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3,5546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12,9638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Dioxido de carbono Factor Factor medido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33,6517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2,5074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5,6411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0,0103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0,2794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1,0191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entradas de 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0,0486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deposicion atmosferica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0,0214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1,3919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5,0765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80,5873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0,1467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3,992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14,5592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entradas de 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0,0825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deposicion atmosferica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0,0404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0,0363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2,3619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8,6141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Tabla R6</w:t>
      </w:r>
    </w:p>
    <w:p>
      <w:pPr>
        <w:pStyle w:val="Rótuloacadémico"/>
      </w:pPr>
      <w:r>
        <w:rPr>
          <w:rFonts w:ascii="Times New Roman" w:hAnsi="Times New Roman"/>
          <w:b/>
        </w:rPr>
        <w:t>Tabla R6</w:t>
      </w:r>
    </w:p>
    <w:p>
      <w:pPr>
        <w:pStyle w:val="Descripciónacadémica"/>
      </w:pPr>
      <w:r>
        <w:rPr>
          <w:rFonts w:ascii="Times New Roman" w:hAnsi="Times New Roman"/>
          <w:i/>
        </w:rPr>
        <w:t>Impactos completos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</w:tblGrid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Emisión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de emisión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Factor de caracterización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del factor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Resultado equivalente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equivalente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1,4052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29,5101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0,6846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212,2105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3,5546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1,2441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12,9638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1,2316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2,5074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52,6551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33,6517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33,6517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5,6411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118,4634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0,0103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3,1835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0,2794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0,0978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1,0191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0,0968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0,0939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29,1005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1,3919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0,4872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5,0765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0,4823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80,5873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1 692,334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0,1467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45,4789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3,992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1,3972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14,5592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1,3831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0,1593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49,3798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2,3619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0,8267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8,6141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0,8183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Tabla R7</w:t>
      </w:r>
    </w:p>
    <w:p>
      <w:pPr>
        <w:pStyle w:val="Rótuloacadémico"/>
      </w:pPr>
      <w:r>
        <w:rPr>
          <w:rFonts w:ascii="Times New Roman" w:hAnsi="Times New Roman"/>
          <w:b/>
        </w:rPr>
        <w:t>Tabla R7</w:t>
      </w:r>
    </w:p>
    <w:p>
      <w:pPr>
        <w:pStyle w:val="Descripciónacadémica"/>
      </w:pPr>
      <w:r>
        <w:rPr>
          <w:rFonts w:ascii="Times New Roman" w:hAnsi="Times New Roman"/>
          <w:i/>
        </w:rPr>
        <w:t>Impactos totales completos por escenario.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Resultado total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478,7789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3,6397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1 787,1927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4,4254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Tabla R8</w:t>
      </w:r>
    </w:p>
    <w:p>
      <w:pPr>
        <w:pStyle w:val="Rótuloacadémico"/>
      </w:pPr>
      <w:r>
        <w:rPr>
          <w:rFonts w:ascii="Times New Roman" w:hAnsi="Times New Roman"/>
          <w:b/>
        </w:rPr>
        <w:t>Tabla R8</w:t>
      </w:r>
    </w:p>
    <w:p>
      <w:pPr>
        <w:pStyle w:val="Descripciónacadémica"/>
      </w:pPr>
      <w:r>
        <w:rPr>
          <w:rFonts w:ascii="Times New Roman" w:hAnsi="Times New Roman"/>
          <w:i/>
        </w:rPr>
        <w:t>Comparación completa de escenarios.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absoluta B −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porcentual B respecto a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con mayor impacto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478,7789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1 787,1927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1 308,4138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273,2814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3,6397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4,4254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0,7856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21,5841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Apéndice R9. Figuras complementarias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Figura R1 complementa la caracterización de nitrógeno total; la Figura R2 complementa los flujos del inventario; la Figura R3 complementa las emisiones de N₂O; la Figura R4 complementa las emisiones de NH₃; la Figura R5 complementa las emisiones de NO₃⁻; la Figura R6 complementa las emisiones de CO₂; la Figura R7 complementa la comparación total de calentamiento global; y la Figura R8 complementa la comparación total de eutrofización.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512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caracterizacion_nitrogeno_tot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R1</w:t>
      </w:r>
    </w:p>
    <w:p>
      <w:pPr>
        <w:pStyle w:val="Descripciónacadémica"/>
      </w:pPr>
      <w:r>
        <w:rPr>
          <w:rFonts w:ascii="Times New Roman" w:hAnsi="Times New Roman"/>
          <w:i/>
        </w:rPr>
        <w:t>Nitrógeno total promedio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04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5_flujos_distribucion_componen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R2</w:t>
      </w:r>
    </w:p>
    <w:p>
      <w:pPr>
        <w:pStyle w:val="Descripciónacadémica"/>
      </w:pPr>
      <w:r>
        <w:rPr>
          <w:rFonts w:ascii="Times New Roman" w:hAnsi="Times New Roman"/>
          <w:i/>
        </w:rPr>
        <w:t>Distribución de componentes del inventario por etapa.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emisiones_n2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R3</w:t>
      </w:r>
    </w:p>
    <w:p>
      <w:pPr>
        <w:pStyle w:val="Descripciónacadémica"/>
      </w:pPr>
      <w:r>
        <w:rPr>
          <w:rFonts w:ascii="Times New Roman" w:hAnsi="Times New Roman"/>
          <w:i/>
        </w:rPr>
        <w:t>Emisiones anuales de N₂O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8_emisiones_nh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R4</w:t>
      </w:r>
    </w:p>
    <w:p>
      <w:pPr>
        <w:pStyle w:val="Descripciónacadémica"/>
      </w:pPr>
      <w:r>
        <w:rPr>
          <w:rFonts w:ascii="Times New Roman" w:hAnsi="Times New Roman"/>
          <w:i/>
        </w:rPr>
        <w:t>Emisiones anuales de NH₃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9_emisiones_no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R5</w:t>
      </w:r>
    </w:p>
    <w:p>
      <w:pPr>
        <w:pStyle w:val="Descripciónacadémica"/>
      </w:pPr>
      <w:r>
        <w:rPr>
          <w:rFonts w:ascii="Times New Roman" w:hAnsi="Times New Roman"/>
          <w:i/>
        </w:rPr>
        <w:t>Emisiones anuales de NO₃⁻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493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0_emisiones_co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R6</w:t>
      </w:r>
    </w:p>
    <w:p>
      <w:pPr>
        <w:pStyle w:val="Descripciónacadémica"/>
      </w:pPr>
      <w:r>
        <w:rPr>
          <w:rFonts w:ascii="Times New Roman" w:hAnsi="Times New Roman"/>
          <w:i/>
        </w:rPr>
        <w:t>Emisiones anuales de CO₂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39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3_comparacion_total_calentamiento_glob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3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R7</w:t>
      </w:r>
    </w:p>
    <w:p>
      <w:pPr>
        <w:pStyle w:val="Descripciónacadémica"/>
      </w:pPr>
      <w:r>
        <w:rPr>
          <w:rFonts w:ascii="Times New Roman" w:hAnsi="Times New Roman"/>
          <w:i/>
        </w:rPr>
        <w:t>Comparación del potencial total de calentamiento global entre escenarios.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39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4_comparacion_total_eutrofizac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3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</w:rPr>
        <w:t>Figura R8</w:t>
      </w:r>
    </w:p>
    <w:p>
      <w:pPr>
        <w:pStyle w:val="Descripciónacadémica"/>
      </w:pPr>
      <w:r>
        <w:rPr>
          <w:rFonts w:ascii="Times New Roman" w:hAnsi="Times New Roman"/>
          <w:i/>
        </w:rPr>
        <w:t>Comparación del potencial total de eutrofización entre escenarios.</w:t>
      </w:r>
    </w:p>
    <w:p>
      <w:pPr>
        <w:pStyle w:val="Heading2"/>
      </w:pPr>
      <w:r>
        <w:rPr>
          <w:rFonts w:ascii="Times New Roman" w:hAnsi="Times New Roman"/>
        </w:rPr>
        <w:t>Apéndice R10. Correspondencia entre tablas, figuras y archivos fuente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R10 resume la correspondencia académica entre contenidos, bases de información y figuras utilizadas en el documento.</w:t>
      </w:r>
    </w:p>
    <w:p>
      <w:pPr>
        <w:pStyle w:val="Rótuloacadémico"/>
      </w:pPr>
      <w:r>
        <w:rPr>
          <w:rFonts w:ascii="Times New Roman" w:hAnsi="Times New Roman"/>
          <w:b/>
        </w:rPr>
        <w:t>Tabla R10</w:t>
      </w:r>
    </w:p>
    <w:p>
      <w:pPr>
        <w:pStyle w:val="Descripciónacadémica"/>
      </w:pPr>
      <w:r>
        <w:rPr>
          <w:rFonts w:ascii="Times New Roman" w:hAnsi="Times New Roman"/>
          <w:i/>
        </w:rPr>
        <w:t>Correspondencia de insumos usados.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Contenido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Base de información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Tablas o figuras relacionadas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Caracterización de muestras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Caracterización fisicoquímica de materiales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1, 2 y R1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Flujos del ICV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Inventario de flujos por escenario y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3 y R2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Parámetros del modelo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Parámetros principales del modelo ACV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Tabla 3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Factores de emisión y caracterización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Apéndice R4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Emisiones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Emisiones estimadas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4, R3, R4, R5 y R6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ambientales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5 y 6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totales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agregados por 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R7 y R8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Comparación de escenarios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Comparación ambiental entre escenarios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 7</w:t>
            </w:r>
          </w:p>
        </w:tc>
      </w:tr>
    </w:tbl>
    <w:sectPr w:rsidR="00FC693F" w:rsidRPr="0006063C" w:rsidSect="00034616"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left="100" w:firstLine="71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ind w:left="0"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académico">
    <w:name w:val="Rótulo académico"/>
    <w:pPr>
      <w:spacing w:before="120" w:after="0"/>
      <w:ind w:left="0" w:firstLine="0"/>
      <w:jc w:val="both"/>
    </w:pPr>
    <w:rPr>
      <w:rFonts w:ascii="Times New Roman" w:hAnsi="Times New Roman" w:eastAsia="Times New Roman"/>
      <w:b/>
      <w:i w:val="0"/>
      <w:sz w:val="24"/>
    </w:rPr>
  </w:style>
  <w:style w:type="paragraph" w:customStyle="1" w:styleId="Descripciónacadémica">
    <w:name w:val="Descripción académica"/>
    <w:pPr>
      <w:spacing w:before="0" w:after="120"/>
      <w:ind w:left="0" w:firstLine="0"/>
      <w:jc w:val="both"/>
    </w:pPr>
    <w:rPr>
      <w:rFonts w:ascii="Times New Roman" w:hAnsi="Times New Roman" w:eastAsia="Times New Roman"/>
      <w:b w:val="0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