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las mediciones de laboratorio, los flujos del inventario y las ecuaciones de estimación de emisiones. Las categorías de impacto consideradas fueron calentamiento global y eutrofización.</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una lechería especializada ubicada en Turrialba, Costa Rica. La evaluación se concentró en el manejo del estiércol fresco, la fracción sólida precompostada, las aguas verdes y los purines generados durante las actividades de manejo animal y lavado de las áreas operativas.</w:t>
      </w:r>
    </w:p>
    <w:p>
      <w:pPr>
        <w:spacing w:line="240" w:lineRule="auto" w:before="0" w:after="0"/>
        <w:ind w:left="100" w:firstLine="719"/>
        <w:jc w:val="both"/>
      </w:pPr>
      <w:r>
        <w:rPr>
          <w:rFonts w:ascii="Times New Roman" w:hAnsi="Times New Roman"/>
          <w:sz w:val="24"/>
        </w:rPr>
        <w:t>La información primaria incluyó mediciones de campo relacionadas con generación de estiércol, uso de agua de lavado y flujos asociados a las etapas de almacenamiento, transformación y aplicación en campo. La información de laboratorio permitió caracterizar los materiales empleados como entradas del inventario.</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tal y como fue recolectado del módulo lechero. Esta unidad permitió expresar y comparar los flujos, emisiones e impactos asociados a los escenarios de manejo evaluados bajo una misma base funcional.</w:t>
      </w:r>
    </w:p>
    <w:p>
      <w:pPr>
        <w:spacing w:line="240" w:lineRule="auto" w:before="0" w:after="0"/>
        <w:ind w:left="100" w:firstLine="719"/>
        <w:jc w:val="both"/>
      </w:pPr>
      <w:r>
        <w:rPr>
          <w:rFonts w:ascii="Times New Roman" w:hAnsi="Times New Roman"/>
          <w:sz w:val="24"/>
        </w:rPr>
        <w:t>Adicionalmente, algunos resultados se presentan como flujos anuales estimados para describir la magnitud operacional del sistema durante el periodo evaluado; sin embargo, estos valores no sustituyen la unidad funcional del ACV.</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El Escenario A representa una alternativa de manejo en la que la fracción sólida del estiércol pasa por precomposteo y lombricompostaje, mientras que las aguas verdes se almacenan y posteriormente se aplican en campos de pastoreo. Sus etapas son A1: Precomposteo, A2: Lombricompostaje, A3: Almacenamiento de aguas verdes y A4: Aplicación de aguas verdes en campos de pastoreo.</w:t>
      </w:r>
    </w:p>
    <w:p>
      <w:pPr>
        <w:spacing w:line="240" w:lineRule="auto" w:before="0" w:after="0"/>
        <w:ind w:left="100" w:firstLine="719"/>
        <w:jc w:val="both"/>
      </w:pPr>
      <w:r>
        <w:rPr>
          <w:rFonts w:ascii="Times New Roman" w:hAnsi="Times New Roman"/>
          <w:sz w:val="24"/>
        </w:rPr>
        <w:t>El Escenario B representa una alternativa en la que los purines se almacenan y se aplican directamente en campo de pastoreo. Sus etapas son B1: Almacenamiento de purines y B2: Aplicación de purines en campo de pastoreo.</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antes del lombricompostaje. A2: Lombricompostaje corresponde a la transformación de la fracción sólida precompostada y representa el manejo posterior de dicha fracción.</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lavado y arrastre de residuos líquidos. A4: Aplicación de aguas verdes en campos de pastoreo corresponde al uso de ese flujo líquido en campo.</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al almacenamiento de la mezcla líquida de estiércol, orina, agua de lavado y residuos arrastrados antes de su aplicación. B2: Aplicación de purines en campo de pastoreo corresponde a la aplicación directa de purines sobre el terreno.</w:t>
      </w:r>
    </w:p>
    <w:p>
      <w:pPr>
        <w:spacing w:line="240" w:lineRule="auto" w:before="0" w:after="0"/>
        <w:ind w:left="100" w:firstLine="719"/>
        <w:jc w:val="both"/>
      </w:pPr>
      <w:r>
        <w:rPr>
          <w:rFonts w:ascii="Times New Roman" w:hAnsi="Times New Roman"/>
          <w:sz w:val="24"/>
        </w:rPr>
        <w:t>Ambas etapas utilizan los parámetros de masa equivalente, nitrógeno total y factores de emisión necesarios para estimar emisiones nitrogenadas y emisiones de gases de efecto invernadero.</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húmedad, materia seca, cenizas, sólidos volátiles y nitrógeno total. El estiércol precompostado permitió representar la transformación de la fracción sólida durante el proceso de lombricompostaje.</w:t>
      </w:r>
    </w:p>
    <w:p>
      <w:pPr>
        <w:spacing w:line="240" w:lineRule="auto" w:before="0" w:after="0"/>
        <w:ind w:left="100" w:firstLine="719"/>
        <w:jc w:val="both"/>
      </w:pPr>
      <w:r>
        <w:rPr>
          <w:rFonts w:ascii="Times New Roman" w:hAnsi="Times New Roman"/>
          <w:sz w:val="24"/>
        </w:rPr>
        <w:t>Las aguas verdes correspondieron al efluente generado durante el lavado de las áreas de manejo animal y fueron consideradas en el Escenario A para las etapas de almacenamiento y aplicación. Los purines representaron la mezcla líquida de estiércol, orina, agua de lavado y otros residuos arrastrados, considerada en el Escenario B para almacenamiento y aplicación directa en campo.</w:t>
      </w:r>
    </w:p>
    <w:p>
      <w:pPr>
        <w:spacing w:line="240" w:lineRule="auto" w:before="0" w:after="0"/>
        <w:ind w:left="100" w:firstLine="719"/>
        <w:jc w:val="both"/>
      </w:pPr>
      <w:r>
        <w:rPr>
          <w:rFonts w:ascii="Times New Roman" w:hAnsi="Times New Roman"/>
          <w:sz w:val="24"/>
        </w:rPr>
        <w:t>Para cada flujo se organizaron las variables necesarias para estimar emisiones de CH₄, N₂O, NH₃ y NO₃⁻, así como los impactos asociados a calentamiento global y eutrofización. Los resultados de la caracterización fisicoquímica de los materiales analizados se resumen en la Tabla 1.</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14,123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0,372</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77,593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22,407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29,041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71 430,969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71 430,969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9"/>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El muestreo se orientó a caracterizar los materiales que intervienen en las etapas del sistema evaluado.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Las muestras sólidas permitieron determinar húmedad,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húmedad se estimó como la fracción de agua removida durante el secado.</w:t>
      </w:r>
    </w:p>
    <w:p>
      <w:pPr>
        <w:ind w:left="0" w:firstLine="0"/>
        <w:jc w:val="center"/>
      </w:pPr>
      <w:r>
        <w:rPr>
          <w:rFonts w:ascii="Cambria Math" w:hAnsi="Cambria Math"/>
          <w:sz w:val="24"/>
        </w:rPr>
        <w:t>MS(\%) = \frac{m_{\mathrm{seca}}}{m_{\mathrm{fresca}}} \times 100</w:t>
      </w:r>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ind w:left="0" w:firstLine="0"/>
        <w:jc w:val="center"/>
      </w:pPr>
      <w:r>
        <w:rPr>
          <w:rFonts w:ascii="Cambria Math" w:hAnsi="Cambria Math"/>
          <w:sz w:val="24"/>
        </w:rPr>
        <w:t>Humedad(\%) = \frac{m_{\mathrm{fresca}} - m_{\mathrm{seca}}}{m_{\mathrm{fresca}}} \times 100</w:t>
      </w:r>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ind w:left="0" w:firstLine="0"/>
        <w:jc w:val="center"/>
      </w:pPr>
      <w:r>
        <w:rPr>
          <w:rFonts w:ascii="Cambria Math" w:hAnsi="Cambria Math"/>
          <w:sz w:val="24"/>
        </w:rPr>
        <w:t>Cenizas(\%) = \frac{m_{\mathrm{cenizas}}}{m_{\mathrm{seca}}} \times 100</w:t>
      </w:r>
    </w:p>
    <w:p>
      <w:pPr>
        <w:spacing w:line="240" w:lineRule="auto" w:before="0" w:after="0"/>
        <w:ind w:left="100" w:firstLine="719"/>
        <w:jc w:val="both"/>
      </w:pPr>
      <w:r>
        <w:rPr>
          <w:rFonts w:ascii="Times New Roman" w:hAnsi="Times New Roman"/>
          <w:sz w:val="24"/>
        </w:rPr>
        <w:t>Donde: m cenizas = masa remanente después de calcinación, g.</w:t>
      </w:r>
    </w:p>
    <w:p>
      <w:pPr>
        <w:ind w:left="0" w:firstLine="0"/>
        <w:jc w:val="center"/>
      </w:pPr>
      <w:r>
        <w:rPr>
          <w:rFonts w:ascii="Cambria Math" w:hAnsi="Cambria Math"/>
          <w:sz w:val="24"/>
        </w:rPr>
        <w:t>SV(\%) = \frac{m_{\mathrm{seca}} - m_{\mathrm{cenizas}}}{m_{\mathrm{seca}}} \times 100</w:t>
      </w:r>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fue convertido a fracción másica antes de emplearse en las ecuaciones de estimación de emisiones. Esta conversión permitió expresar el contenido de nitrógeno en kg N/kg de muestra.</w:t>
      </w:r>
    </w:p>
    <w:p>
      <w:pPr>
        <w:spacing w:line="240" w:lineRule="auto" w:before="0" w:after="0"/>
        <w:ind w:left="100" w:firstLine="719"/>
        <w:jc w:val="both"/>
      </w:pPr>
      <w:r>
        <w:rPr>
          <w:rFonts w:ascii="Times New Roman" w:hAnsi="Times New Roman"/>
          <w:sz w:val="24"/>
        </w:rPr>
        <w:t>La masa de nitrógeno asociada a cada flujo se estimó multiplicando la masa del flujo por la fracción másica de nitrógeno correspondiente.</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ind w:left="0" w:firstLine="0"/>
        <w:jc w:val="center"/>
      </w:pPr>
      <w:r>
        <w:rPr>
          <w:rFonts w:ascii="Cambria Math" w:hAnsi="Cambria Math"/>
          <w:sz w:val="24"/>
        </w:rPr>
        <w:t>n_{\mathrm{ex,fraction}} = \frac{n_{\mathrm{ex,pct}}}{100}</w:t>
      </w:r>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ind w:left="0" w:firstLine="0"/>
        <w:jc w:val="center"/>
      </w:pPr>
      <w:r>
        <w:rPr>
          <w:rFonts w:ascii="Cambria Math" w:hAnsi="Cambria Math"/>
          <w:sz w:val="24"/>
        </w:rPr>
        <w:t>N_{\mathrm{total}} = m_{\mathrm{flujo}} \times n_{\mathrm{ex,fraction}}</w:t>
      </w:r>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ind w:left="0" w:firstLine="0"/>
        <w:jc w:val="center"/>
      </w:pPr>
      <w:r>
        <w:rPr>
          <w:rFonts w:ascii="Cambria Math" w:hAnsi="Cambria Math"/>
          <w:sz w:val="24"/>
        </w:rPr>
        <w:t>m_{\mathrm{cenizas,fresco}} = m_{\mathrm{MS,fresco}} \times f_{\mathrm{cenizas,fresco}}</w:t>
      </w:r>
    </w:p>
    <w:p>
      <w:pPr>
        <w:ind w:left="0" w:firstLine="0"/>
        <w:jc w:val="center"/>
      </w:pPr>
      <w:r>
        <w:rPr>
          <w:rFonts w:ascii="Cambria Math" w:hAnsi="Cambria Math"/>
          <w:sz w:val="24"/>
        </w:rPr>
        <w:t>m_{\mathrm{MS,precompostado}} = \frac{m_{\mathrm{cenizas,fresco}}}{f_{\mathrm{cenizas,precompostado}}}</w:t>
      </w:r>
    </w:p>
    <w:p>
      <w:pPr>
        <w:ind w:left="0" w:firstLine="0"/>
        <w:jc w:val="center"/>
      </w:pPr>
      <w:r>
        <w:rPr>
          <w:rFonts w:ascii="Cambria Math" w:hAnsi="Cambria Math"/>
          <w:sz w:val="24"/>
        </w:rPr>
        <w:t>F_{\mathrm{MS,remanente}} = \frac{m_{\mathrm{MS,precompostado}}}{m_{\mathrm{MS,fresco}}} = \frac{f_{\mathrm{cenizas,fresco}}}{f_{\mathrm{cenizas,precompostado}}}</w:t>
      </w:r>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mediciones de generación de estiércol, consumo de agua de lavado, masas o volúmenes asociados a cada etapa y duración temporal considerada para representar la operación del sistema.</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7 % de la boñiga fresca anual asociada con la línea de aguas verdes; en B2, corresponde a la masa anual total de boñiga fresca integrada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flujos, emisiones e impactos respecto a la unidad funcional del estudio: 1 kg de estiércol fresco, tal y como fue recolectado del módulo lechero.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complementan la interpretación operativa del sistema durante el periodo evaluado, pero no constituyen la unidad funcional.</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La etapa A2: Lombricompostaje se trató como caso especial cuando la estimación se basó en factores Factor medidos. En los demás casos, las emisiones se estimaron con los factores de manejo y parámetros descritos en la Tabla 3.</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Las sustancias consideradas fueron CO₂, CH₄, N₂O, NH₃ y NO₃⁻. Las ecuaciones de nitrógeno utilizaron n ex,Fracción como fracción másica de entrada.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4.</w:t>
      </w:r>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convirtió las emisiones estimadas en resultados equivalentes mediante factores de caracterización. Las categorías consideradas fueron calentamiento global, expresado como kg CO₂-eq/año, y eutrofización, expresada como kg PO₄-eq/año. La unidad de eutrofización se expresa como equivalente de fosfato y se relaciona con el ion PO₄³⁻.</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Factores de caracterización para las categorías de impacto.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r>
    </w:tbl>
    <w:p>
      <w:pPr>
        <w:pStyle w:val="Heading2"/>
      </w:pPr>
      <w:r>
        <w:rPr>
          <w:rFonts w:ascii="Times New Roman" w:hAnsi="Times New Roman"/>
          <w:color w:val="000000"/>
        </w:rPr>
        <w:t>20.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21. Limitaciones metodológicas</w:t>
      </w:r>
    </w:p>
    <w:p>
      <w:pPr>
        <w:spacing w:line="240" w:lineRule="auto" w:before="0" w:after="0"/>
        <w:ind w:left="100" w:firstLine="719"/>
        <w:jc w:val="both"/>
      </w:pPr>
      <w:r>
        <w:rPr>
          <w:rFonts w:ascii="Times New Roman" w:hAnsi="Times New Roman"/>
          <w:sz w:val="24"/>
        </w:rPr>
        <w:t>La estimación depende de la representatividad de las muestras de laboratorio y de la duración del muestreo de agua y estiércol. Además, la asignación de sistemas de manejo por etapa y la selección de factores de caracterización deben ser respaldadas con fuentes bibliográficas en la versión final del TFG.</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70,9586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0,0114</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B0 T</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SV</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o cabeza equivalente</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cdg</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 + NOx-N volatilizado)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lixiviado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gasm</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leach 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 N2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N₂O-N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N A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N A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N A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 4 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2 O 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 3 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NH₃</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3 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NO₃⁻</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co2 kg por kg residuo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ch4 kg por kg residuo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n2o kg por kg residuo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usada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o kg PO₄-eq/año</w:t>
            </w:r>
          </w:p>
        </w:tc>
      </w:tr>
    </w:tbl>
    <w:sectPr w:rsidR="00FC693F" w:rsidRPr="0006063C" w:rsidSect="00034616">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