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  <w:color w:val="000000"/>
        </w:rPr>
        <w:t>Conclusiones</w:t>
      </w:r>
    </w:p>
    <w:p>
      <w:pPr>
        <w:spacing w:line="240" w:lineRule="auto" w:before="0" w:after="0"/>
        <w:ind w:left="100" w:firstLine="719"/>
        <w:jc w:val="both"/>
      </w:pPr>
      <w:r>
        <w:rPr>
          <w:rFonts w:ascii="Times New Roman" w:hAnsi="Times New Roman"/>
          <w:b/>
          <w:sz w:val="24"/>
        </w:rPr>
        <w:t>PROVISIONAL M1–M2</w:t>
      </w:r>
    </w:p>
    <w:p>
      <w:pPr>
        <w:spacing w:line="240" w:lineRule="auto" w:before="0" w:after="0"/>
        <w:ind w:left="100" w:firstLine="719"/>
        <w:jc w:val="both"/>
      </w:pPr>
      <w:r>
        <w:rPr>
          <w:rFonts w:ascii="Times New Roman" w:hAnsi="Times New Roman"/>
          <w:sz w:val="24"/>
        </w:rPr>
        <w:t>Estas conclusiones se derivan de la corrida provisional M1–M2 vigente. La incorporación de M3 actualizará la caracterización final y podrá modificar los resultados cuantitativos.</w:t>
      </w:r>
    </w:p>
    <w:p>
      <w:pPr>
        <w:pStyle w:val="Heading1"/>
      </w:pPr>
      <w:r>
        <w:rPr>
          <w:rFonts w:ascii="Times New Roman" w:hAnsi="Times New Roman"/>
          <w:color w:val="000000"/>
        </w:rPr>
        <w:t>Conclusiones del análisis de ciclo de vida</w:t>
      </w:r>
    </w:p>
    <w:p>
      <w:pPr>
        <w:spacing w:line="240" w:lineRule="auto" w:before="0" w:after="0"/>
        <w:ind w:left="100" w:firstLine="719"/>
        <w:jc w:val="both"/>
      </w:pPr>
      <w:r>
        <w:rPr>
          <w:rFonts w:ascii="Times New Roman" w:hAnsi="Times New Roman"/>
          <w:sz w:val="24"/>
        </w:rPr>
        <w:t>El inventario de ciclo de vida representó y cuantificó las rutas diferenciadas de manejo del estiércol en los dos escenarios, a partir de un flujo anual común de aproximadamente 26 278,7 kg de estiércol fresco. En el Escenario A, 66,69 % ingresó a la ruta sólida mediante A1: Precomposteo; posteriormente, la masa resultante continuó hacia A2: Lombricompostaje, mientras que 33,31 % se incorporó a las aguas verdes. En el Escenario B, el 100 % ingresó al sistema de purines. De este modo, el inventario caracterizó las trayectorias de manejo y los flujos asociados a cada alternativa estudiada. El inventario incorporó además 53,23 kWh/año de electricidad en A3 o B1 y 182,50 L/año de diésel en A4 o B2; la electricidad se evaluó mediante el factor IMN agregado de consumo 2025, como aproximación temporal de la operación observada en 2026, y las emisiones físicas IMN del diésel se caracterizaron con EF 3.1. El total climático combina ambos aportes con el manejo del estiércol, sin cadenas de fondo ecoinvent.</w:t>
      </w:r>
    </w:p>
    <w:p>
      <w:pPr>
        <w:spacing w:line="240" w:lineRule="auto" w:before="0" w:after="0"/>
        <w:ind w:left="100" w:firstLine="719"/>
        <w:jc w:val="both"/>
      </w:pPr>
      <w:r>
        <w:rPr>
          <w:rFonts w:ascii="Times New Roman" w:hAnsi="Times New Roman"/>
          <w:sz w:val="24"/>
        </w:rPr>
        <w:t>Las cargas ambientales se concentraron en etapas específicas, que variaron según el escenario y la categoría. En calentamiento global, A3: Almacenamiento de aguas verdes aportó 53,93 % del total del Escenario A y B1: Almacenamiento de purines aportó 81,99 % del total del Escenario B. En eutrofización terrestre, A1: Precomposteo aportó 47,44 % del total del Escenario A y B2: Aplicación de purines en campo de pastoreo aportó 62,92 % del total del Escenario B. En eutrofización marina, A4: Aplicación de aguas verdes en campos de pastoreo aportó 70,63 % del total del Escenario A y B2: Aplicación de purines en campo de pastoreo aportó 93,14 % del total del Escenario B. La evaluación por etapa identificó así patrones de concentración diferenciados entre las alternativas estudiadas.</w:t>
      </w:r>
    </w:p>
    <w:p>
      <w:pPr>
        <w:spacing w:line="240" w:lineRule="auto" w:before="0" w:after="0"/>
        <w:ind w:left="100" w:firstLine="719"/>
        <w:jc w:val="both"/>
      </w:pPr>
      <w:r>
        <w:rPr>
          <w:rFonts w:ascii="Times New Roman" w:hAnsi="Times New Roman"/>
          <w:sz w:val="24"/>
        </w:rPr>
        <w:t>Para calentamiento global, el Escenario B presentó el mayor impacto por unidad funcional: 0,238 kg CO₂-eq/kg de estiércol fresco manejado, frente a 0,121 kg CO₂-eq/kg de estiércol fresco manejado en el Escenario A. La diferencia B menos A fue de 97,29 % respecto a A, lo que evidenció un menor indicador para el Escenario A bajo las condiciones estudiadas.</w:t>
      </w:r>
    </w:p>
    <w:p>
      <w:pPr>
        <w:spacing w:line="240" w:lineRule="auto" w:before="0" w:after="0"/>
        <w:ind w:left="100" w:firstLine="719"/>
        <w:jc w:val="both"/>
      </w:pPr>
      <w:r>
        <w:rPr>
          <w:rFonts w:ascii="Times New Roman" w:hAnsi="Times New Roman"/>
          <w:sz w:val="24"/>
        </w:rPr>
        <w:t>Para eutrofización marina EF 3.1, el Escenario B presentó el mayor impacto por unidad funcional: 0,001356 kg N-eq/kg de estiércol fresco manejado, frente a 0,000595 kg N-eq/kg en el Escenario A. La diferencia B menos A fue de 127,64 % respecto a A. Para eutrofización terrestre, el Escenario B también presentó el mayor impacto por unidad funcional: 0,036580 mol N-eq/kg de estiércol fresco manejado, frente a 0,023481 mol N-eq/kg en el Escenario A; la diferencia B menos A fue de 55,78 % respecto a A.</w:t>
      </w:r>
    </w:p>
    <w:p>
      <w:pPr>
        <w:spacing w:line="240" w:lineRule="auto" w:before="0" w:after="0"/>
        <w:ind w:left="100" w:firstLine="719"/>
        <w:jc w:val="both"/>
      </w:pPr>
      <w:r>
        <w:rPr>
          <w:rFonts w:ascii="Times New Roman" w:hAnsi="Times New Roman"/>
          <w:sz w:val="24"/>
        </w:rPr>
        <w:t>En conjunto, el ACV permitió estimar el desempeño ambiental de las dos alternativas de manejo en la lechería estudiada. Bajo la unidad funcional común de 1 kg de estiércol fresco manejado y las condiciones modeladas, el Escenario A presentó el menor indicador de calentamiento global y el Escenario A presentó el menor indicador de eutrofización marina; el Escenario A presentó asimismo el menor indicador de eutrofización terrestre, expresado separadamente en mol N-eq. Environmental Footprint 3.1 caracterizó las emisiones directas. Este resultado se circunscribió al sistema evaluado y no implicó la superioridad universal de una alternativa en otras lecherías o condiciones operativas.</w:t>
      </w:r>
    </w:p>
    <w:sectPr w:rsidR="00FC693F" w:rsidRPr="0006063C" w:rsidSect="00034616">
      <w:headerReference w:type="default" r:id="rId9"/>
      <w:pgSz w:w="12240" w:h="15840"/>
      <w:pgMar w:top="1500" w:right="1320" w:bottom="280" w:left="13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PROVISIONAL M1–M2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ind w:left="100" w:firstLine="719"/>
      <w:jc w:val="both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ind w:left="0" w:firstLine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/>
      <w:ind w:left="0" w:firstLine="0"/>
      <w:jc w:val="both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/>
      <w:ind w:left="0" w:firstLine="0"/>
      <w:jc w:val="both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ind w:left="0"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 w:val="0"/>
      <w:i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ótuloacadémico">
    <w:name w:val="Rótulo académico"/>
    <w:pPr>
      <w:spacing w:before="120" w:after="0"/>
      <w:ind w:left="0" w:firstLine="0"/>
      <w:jc w:val="both"/>
    </w:pPr>
    <w:rPr>
      <w:rFonts w:ascii="Times New Roman" w:hAnsi="Times New Roman" w:eastAsia="Times New Roman"/>
      <w:b/>
      <w:i w:val="0"/>
      <w:color w:val="000000"/>
      <w:sz w:val="24"/>
    </w:rPr>
  </w:style>
  <w:style w:type="paragraph" w:customStyle="1" w:styleId="Descripciónacadémica">
    <w:name w:val="Descripción académica"/>
    <w:pPr>
      <w:spacing w:before="0" w:after="120"/>
      <w:ind w:left="0" w:firstLine="0"/>
      <w:jc w:val="both"/>
    </w:pPr>
    <w:rPr>
      <w:rFonts w:ascii="Times New Roman" w:hAnsi="Times New Roman" w:eastAsia="Times New Roman"/>
      <w:b w:val="0"/>
      <w:i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