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53,66 % del total del Escenario A y B1: Almacenamiento de purines aportó 97,50 % del total del Escenario B. Para eutrofización, las mayores contribuciones correspondieron a A2: Lombricompostaje (59,45 % del total de A) y B1: Almacenamiento de purines (73,26 %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0,332 kg CO₂-eq/kg de estiércol fresco manejado, frente a 0,201 kg CO₂-eq/kg de estiércol fresco manejado en el Escenario A. La diferencia fue de 65,21 %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el Escenario B también presentó el mayor impacto por unidad funcional: 0,001032 kg PO₄-eq/kg de estiércol fresco manejado, en comparación con 0,002234 kg PO₄-eq/kg de estiércol fresco manejado en el Escenario A. Bajo el supuesto de representación del nitrógeno potencialmente eutrofizante adoptado en el estudio, la diferencia de -53,82 % respecto a A mostró que el Escenario A también alcanzó el menor indicador de eutrofización en el sistema evaluado.</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menores indicadores que el Escenario B tanto para calentamiento global como para eutrofización.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