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Esta conversión permitió expresar el contenido de nitrógeno en kg N/kg de muestra.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Para A3: Almacenamiento de aguas verdes y B1: Almacenamiento de purines, las emisiones asociadas con el manejo del estiércol se estimaron a partir de la masa de estiércol sometida al sistema, la caracterización del estiércol fresco y los factores correspondientes al sistema IPCC seleccionado. Aunque durante la operación real estos sistemas contienen agua de lavado, dicho volumen no se incorporó como masa de estiércol en las ecuaciones de manejo.</w:t>
      </w:r>
    </w:p>
    <w:p>
      <w:pPr>
        <w:spacing w:line="240" w:lineRule="auto" w:before="0" w:after="0"/>
        <w:ind w:left="100" w:firstLine="719"/>
        <w:jc w:val="both"/>
      </w:pPr>
      <w:r>
        <w:rPr>
          <w:rFonts w:ascii="Times New Roman" w:hAnsi="Times New Roman"/>
          <w:sz w:val="24"/>
        </w:rPr>
        <w:t>El componente líquido se incorporó en las etapas subsecuentes de aplicación en campo, A4: Aplicación de aguas verdes en campos de pastoreo y B2: Aplicación de purines en campo de pastoreo. En estas etapas se representó el flujo total aplicado, integrado por el agua de lavado y la fracción de estiércol correspondiente, y se utilizó la caracterización química específica de las aguas verdes o del purín, según el escenario, en las ecuaciones asociadas con suelos gestionados.</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Las sustancias consideradas fueron CO₂, CH₄, N₂O, NH₃ y NO₃⁻. Las ecuaciones de nitrógeno utilizaron n ex,Fracción como fracción másica de entrada.</w:t>
      </w:r>
    </w:p>
    <w:p>
      <w:pPr>
        <w:spacing w:line="240" w:lineRule="auto" w:before="0" w:after="0"/>
        <w:ind w:left="100" w:firstLine="719"/>
        <w:jc w:val="both"/>
      </w:pPr>
      <w:r>
        <w:rPr>
          <w:rFonts w:ascii="Times New Roman" w:hAnsi="Times New Roman"/>
          <w:sz w:val="24"/>
        </w:rPr>
        <w:t>Las ecuaciones del IPCC permitieron estimar las pérdidas de N por volatilización y lixiviación, así como la fracción de dichas pérdidas transformada en N₂O-N indirecto. Estas ecuaciones no se utilizaron originalmente para calcular eutrofización; por ello, el presente TFG incorporó una adaptación metodológica para representar el N remanente potencialmente contribuyente a esa categoría.</w:t>
      </w:r>
    </w:p>
    <w:p>
      <w:pPr>
        <w:spacing w:line="240" w:lineRule="auto" w:before="0" w:after="0"/>
        <w:ind w:left="100" w:firstLine="719"/>
        <w:jc w:val="both"/>
      </w:pPr>
      <w:r>
        <w:rPr>
          <w:rFonts w:ascii="Times New Roman" w:hAnsi="Times New Roman"/>
          <w:sz w:val="24"/>
        </w:rPr>
        <w:t>Se definió Nᴳ como el nitrógeno remanente de la ruta de volatilización después de descontar la fracción transformada en N₂O-N indirecto, y Nᴸ como el nitrógeno remanente de la ruta de lixiviación después del descuento equivalente. El conjunto potencialmente eutrofizante, Nₑᵤₜ, se definió como la suma de Nᴳ y Nᴸ. Las ecuaciones siguientes presentan estas magnitudes mediante subíndices en notación LaTeX.</w:t>
      </w:r>
    </w:p>
    <w:p>
      <w:pPr>
        <w:spacing w:line="240" w:lineRule="auto" w:before="0" w:after="0"/>
        <w:ind w:left="100" w:firstLine="719"/>
        <w:jc w:val="both"/>
      </w:pPr>
      <w:r>
        <w:rPr>
          <w:rFonts w:ascii="Times New Roman" w:hAnsi="Times New Roman"/>
          <w:sz w:val="24"/>
        </w:rPr>
        <w:t>Para representar la especiación de Nₑᵤₜ dentro del inventario, se adoptó como supuesto metodológico del presente TFG una distribución de 50 % como N asociado a NH₃ y 50 % como N asociado a NO₃⁻. Esta distribución tomó como antecedente el supuesto empleado por Komakech et al. (2016) para el N del estiércol que alcanza cuerpos de agua, sin atribuir a esos autores la aplicación directa de este reparto al N remanente de las rutas IPCC.</w:t>
      </w:r>
    </w:p>
    <w:p>
      <w:pPr>
        <w:spacing w:line="240" w:lineRule="auto" w:before="0" w:after="0"/>
        <w:ind w:left="100" w:firstLine="719"/>
        <w:jc w:val="both"/>
      </w:pPr>
      <w:r>
        <w:rPr>
          <w:rFonts w:ascii="Times New Roman" w:hAnsi="Times New Roman"/>
          <w:sz w:val="24"/>
        </w:rPr>
        <w:t>En consecuencia, NH₃ y NO₃⁻ se derivaron del conjunto Nₑᵤₜ y no de una correspondencia directa entre Nᴳ y NH₃ o entre Nᴸ y NO₃⁻. Una etapa con Nᴸ igual a cero puede presentar NO₃⁻ equivalente porque una mitad de Nₑᵤₜ se asigna a N asociado a nitrato bajo el supuesto de especiación; este resultado no representa una predicción directa de lixiviación física ni de la especie química final en el ambiente.</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N_G = N_{volatilizado} \times (1 - EF_4)</w:t>
      </w:r>
    </w:p>
    <w:p>
      <w:pPr>
        <w:ind w:left="0" w:firstLine="0"/>
        <w:jc w:val="center"/>
      </w:pPr>
      <w:r>
        <w:rPr>
          <w:rFonts w:ascii="Cambria Math" w:hAnsi="Cambria Math"/>
          <w:sz w:val="24"/>
        </w:rPr>
        <w:t>N_L = N_{lixiviado} \times (1 - EF_5)</w:t>
      </w:r>
    </w:p>
    <w:p>
      <w:pPr>
        <w:ind w:left="0" w:firstLine="0"/>
        <w:jc w:val="center"/>
      </w:pPr>
      <w:r>
        <w:rPr>
          <w:rFonts w:ascii="Cambria Math" w:hAnsi="Cambria Math"/>
          <w:sz w:val="24"/>
        </w:rPr>
        <w:t>N_{eut} = N_G + N_L</w:t>
      </w:r>
    </w:p>
    <w:p>
      <w:pPr>
        <w:ind w:left="0" w:firstLine="0"/>
        <w:jc w:val="center"/>
      </w:pPr>
      <w:r>
        <w:rPr>
          <w:rFonts w:ascii="Cambria Math" w:hAnsi="Cambria Math"/>
          <w:sz w:val="24"/>
        </w:rPr>
        <w:t>N_{NH_3} = 0,5 \times N_{eut}</w:t>
      </w:r>
    </w:p>
    <w:p>
      <w:pPr>
        <w:ind w:left="0" w:firstLine="0"/>
        <w:jc w:val="center"/>
      </w:pPr>
      <w:r>
        <w:rPr>
          <w:rFonts w:ascii="Cambria Math" w:hAnsi="Cambria Math"/>
          <w:sz w:val="24"/>
        </w:rPr>
        <w:t>N_{NO_3^-} = 0,5 \times N_{eut}</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m_{NO_3^-} = N_{NO_3^-} \times 4,4268</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la eutrofización se incluyó además la adaptación que distribuye por partes iguales el conjunto Nₑᵤₜ entre N asociado a NH₃ y N asociado a NO₃⁻. Esta adaptación representa una convención de inventario del presente TFG y no una medición directa de la especiación ambiental.</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21.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22.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muestra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