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color w:val="000000"/>
        </w:rPr>
        <w:t>Resultados desarrollados del Análisis de Ciclo de Vida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b/>
          <w:sz w:val="24"/>
        </w:rPr>
        <w:t>PROVISIONAL M1–M2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Esta versión incorpora las jornadas disponibles M1 y M2. Para los sólidos se utiliza la integración provisional M1–M2; para el N total de aguas verdes y purines se utiliza exclusivamente M2 mediante Kjeldahl. La caracterización final se actualizará al incorporar M3.</w:t>
      </w:r>
    </w:p>
    <w:p>
      <w:pPr>
        <w:pStyle w:val="Heading2"/>
      </w:pPr>
      <w:r>
        <w:rPr>
          <w:rFonts w:ascii="Times New Roman" w:hAnsi="Times New Roman"/>
          <w:color w:val="000000"/>
        </w:rPr>
        <w:t>1. Caracterización de las muestras analizadas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caracterización de las muestras analizadas permitió establecer los parámetros fisicoquímicos usados como entradas del inventario de ciclo de vida. El estiércol fresco presentó un contenido promedio de agua de 86,4 % y una materia seca de 13,6 %. El estiércol precompostado presentó un contenido promedio de agua de 79,33 % y una materia seca de 20,67 %.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fracción de sólidos volátiles fue mayor en el estiércol fresco, con 84,71 % en base seca, mientras que el estiércol precompostado presentó 75,02 %. En contraste, las cenizas fueron mayores en el material precompostado. El nitrógeno total fue de 0,518 % para estiércol fresco y de 2,504 % para estiércol precompostado.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1 resume los valores de caracterización de las muestras. La Figura 1 presenta húmedad y materia seca, mientras que la Figura 2 presenta sólidos volátiles y cenizas.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R1 del bloque de apéndices internos, Caracterización completa de muestras, presenta la desagregación de los resultados fisicoquímicos utilizados en esta sección.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valores presentados corresponden a la integración provisional M1–M2 para sólidos y al N total Kjeldahl de M2 para aguas verdes y purines. La jornada M3 se incorporará posteriormente para actualizar la caracterización final.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Caracterización resumida de las muestras.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rPr>
          <w:cantSplit/>
          <w:tblHeader w:val="true"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muestra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 total (%)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Humedad (%)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Materia seca (%)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Cenizas (% base seca)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Sólidos volátiles (% base seca)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0,518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86,4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13,6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15,287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84,713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2,504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79,332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20,668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24,976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75,024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Purines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Humedad y materia seca promedio por tipo de muestra.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62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1_caracterizacion_humedad_materia_se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2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Sólidos volátiles y cenizas por tipo de muestra.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621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_caracterizacion_solidos_volatiles_ceniz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2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2. Flujos del inventario de ciclo de vida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Estos valores se presentan como flujos anuales estimados del inventario, manteniendo como referencia metodológica la unidad funcional de 1 kg de estiércol fresco manejado. El flujo anual común expresa la escala operacional del inventario y no redefine la unidad funcional.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flujos del inventario se expresaron como masa equivalente total por año para cada etapa. B2: Aplicación de purines en campo de pastoreo presentó la mayor masa equivalente total, con 276 851,23 kg eq/año. En el Escenario A, A4: Aplicación de aguas verdes en campos de pastoreo dominó la masa equivalente, con 259 326,13 kg eq/año.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masa equivalente de A4 integra el agua de lavado y 8 753,63 kg/año de estiércol remanente derivados del balance en sala. La masa equivalente de B2 integra agua de lavado y 26 278,73 kg/año de estiércol fresco teóricamente depositado.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En contraste, para estimar las emisiones de manejo en A3: Almacenamiento de aguas verdes y B1: Almacenamiento de purines se utilizó la masa de estiércol correspondiente, sin sumar el agua de lavado como masa de actividad. El flujo total de agua y estiércol se incorporó en las etapas subsecuentes de aplicación A4 y B2.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A2: Lombricompostaje presentó la menor masa equivalente. La Tabla 2 presenta la masa equivalente total por etapa y la Figura 3 resume su distribución por escenario.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R2 del bloque de apéndices internos, Flujos completos del inventario, contiene la desagregación de los flujos empleados para construir el ICV.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Masa equivalente total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rPr>
          <w:cantSplit/>
          <w:tblHeader w:val="true"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total (kg eq/año)</w:t>
            </w:r>
          </w:p>
        </w:tc>
      </w:tr>
      <w:tr>
        <w:trPr>
          <w:cantSplit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17 525,1</w:t>
            </w:r>
          </w:p>
        </w:tc>
      </w:tr>
      <w:tr>
        <w:trPr>
          <w:cantSplit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7 429,97</w:t>
            </w:r>
          </w:p>
        </w:tc>
      </w:tr>
      <w:tr>
        <w:trPr>
          <w:cantSplit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8 753,63</w:t>
            </w:r>
          </w:p>
        </w:tc>
      </w:tr>
      <w:tr>
        <w:trPr>
          <w:cantSplit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259 326,13</w:t>
            </w:r>
          </w:p>
        </w:tc>
      </w:tr>
      <w:tr>
        <w:trPr>
          <w:cantSplit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26 278,73</w:t>
            </w:r>
          </w:p>
        </w:tc>
      </w:tr>
      <w:tr>
        <w:trPr>
          <w:cantSplit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276 851,23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Masa equivalente total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087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4_flujos_masa_equivalente_to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8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3. Parámetros utilizados en el modelo ACV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parámetros utilizados en el modelo se organizaron por escenario y etapa. La tabla distingue entre el nitrógeno total reportado en porcentaje y la fracción másica empleada en las ecuaciones de nitrógeno. La fracción másica se obtuvo al dividir el porcentaje reportado entre 100.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A2: Lombricompostaje se calculó con ecuaciones IPCC y la categoría Composting – Passive Windrow. La fracción de lixiviación se estableció en cero como parámetro específico del sistema estudiado, sin alterar el valor genérico de la categoría. La Tabla 3 resume los parámetros principales.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restantes factores de A2 —MCF, EF3 y fracción volatilizada— corresponden a la categoría IPCC seleccionada.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R3 del bloque de apéndices internos, Parámetros completos del modelo ACV, amplía los parámetros por escenario y etapa; la Tabla R4, Factores completos de emisión y caracterización, documenta los factores asociados.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Parámetros principales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>
        <w:trPr>
          <w:cantSplit/>
          <w:tblHeader w:val="true"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Modelo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Marco de cálculo de la etapa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EF3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MCF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(kg eq/año)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Fracción másica de 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 total reportado (%)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17 525,1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0,5181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7 429,9686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2,5042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8 753,6252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0,5181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259 326,1252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0,0093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26 278,7252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0,5181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276 851,2252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0,0139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4. Emisiones estimadas por etapa y escenario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Las emisiones consolidadas muestran diferencias entre escenarios y sustancias. El Escenario A presentó 139,23 kg CH₄/año, 7,6 kg N₂O/año, 84,31 kg NH₃/año, 307,37 kg NO₃⁻/año y 0 kg CO₂/año. El Escenario B presentó 389,46 kg CH₄/año, 1,75 kg N₂O/año, 38,94 kg NH₃/año, 141,95 kg NO₃⁻/año y 0 kg CO₂/año.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B1: Almacenamiento de purines presentó la mayor contribución de CH₄. A1: Precomposteo presentó la mayor emisión de N₂O. A2: Lombricompostaje fue estimada mediante las vías IPCC de manejo de estiércol. La Tabla 4 resume las emisiones anuales por escenario y sustancia, y la Figura 4 presenta las emisiones de CH₄ por etapa.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R5 del bloque de apéndices internos, Emisiones completas por etapa, presenta la desagregación por sustancia, escenario y etapa. Además, el Apéndice R9, Figuras complementarias, reúne las representaciones gráficas que respaldan la interpretación de la caracterización, los flujos, las emisiones y la comparación de escenarios.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por escenario y sustancia.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rPr>
          <w:cantSplit/>
          <w:tblHeader w:val="true"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CH₄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N₂O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NH₃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NO₃⁻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CO₂ (kg/año)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139,23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7,6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84,31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307,37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389,46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1,75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38,94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141,95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CH₄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89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_emisiones_ch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9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5. Impactos ambientales por etapa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impactos ambientales por etapa mostraron que B1: Almacenamiento de purines concentró 97,5 % del calentamiento global del Escenario B, con 8 503,713522 kg CO₂-eq/año. En el Escenario A, A3: Almacenamiento de aguas verdes aportó 53,66 % del total de esta categoría.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eutrofización, B1: Almacenamiento de purines presentó la mayor contribución del Escenario B, con 73,26 % de su total; en el Escenario A, A2: Lombricompostaje concentró 59,45 %. A2: Lombricompostaje registró 0 kg PO₄-eq/año porque no presenta emisiones de NH₃ ni NO₃⁻ en el inventario de esa etapa. La Tabla 5 resume los impactos por etapa; la Figura 5 presenta calentamiento global y la Figura 6 presenta eutrofización.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En B1: Almacenamiento de purines, la lixiviación explícita utilizada para estimar N₂O indirecto fue nula. No obstante, bajo el supuesto de especiación adoptado, el conjunto de N potencialmente eutrofizante se distribuyó en partes iguales como N asociado a NH₃ y a NO₃⁻. Por ello, los 103,988543 kg NO₃⁻/año registrados para B1 representan NO₃⁻ equivalente derivado de esa asignación y no evidencia de lixiviación física directa.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factores de caracterización para calentamiento global se referencian al IMN (2021), mientras que los factores de eutrofización se basan en Ecobilan (1999, como se citó en Vallejo, 2004).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R6 del bloque de apéndices internos, Impactos completos por etapa, presenta los resultados desagregados por categoría de impacto.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ambientales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rPr>
          <w:cantSplit/>
          <w:tblHeader w:val="true"/>
        </w:trP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Calentamiento global (kg CO₂-eq/año)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Eutrofización (kg PO₄-eq/año)</w:t>
            </w:r>
          </w:p>
        </w:tc>
      </w:tr>
      <w:tr>
        <w:trPr>
          <w:cantSplit/>
        </w:trP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1 189,6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12,68</w:t>
            </w:r>
          </w:p>
        </w:tc>
      </w:tr>
      <w:tr>
        <w:trPr>
          <w:cantSplit/>
        </w:trP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1 121,46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34,9</w:t>
            </w:r>
          </w:p>
        </w:tc>
      </w:tr>
      <w:tr>
        <w:trPr>
          <w:cantSplit/>
        </w:trP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2 832,65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6,62</w:t>
            </w:r>
          </w:p>
        </w:tc>
      </w:tr>
      <w:tr>
        <w:trPr>
          <w:cantSplit/>
        </w:trP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135,4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4,51</w:t>
            </w:r>
          </w:p>
        </w:tc>
      </w:tr>
      <w:tr>
        <w:trPr>
          <w:cantSplit/>
        </w:trP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8 503,71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19,86</w:t>
            </w:r>
          </w:p>
        </w:tc>
      </w:tr>
      <w:tr>
        <w:trPr>
          <w:cantSplit/>
        </w:trP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217,67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7,25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Potencial de calentamiento global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76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impactos_calentamiento_global_etap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7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Potencial de eutrofización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76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impactos_eutrofizacion_etap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7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6. Impactos totales por escenario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El Escenario A alcanzó 5 279,113472 kg CO₂-eq/año para calentamiento global y 58,710397 kg PO₄-eq/año para eutrofización. El Escenario B alcanzó 8 721,386683 kg CO₂-eq/año y 27,112498 kg PO₄-eq/año, respectivamente.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Respecto a la unidad funcional, los indicadores del Escenario A fueron 0,200889253 kg CO₂-eq/kg de estiércol fresco y 0,002234142 kg PO₄-eq/kg de estiércol fresco. Para el Escenario B fueron 0,331880128 kg CO₂-eq/kg y 0,001031728 kg PO₄-eq/kg de estiércol fresco.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6 distingue los resultados anualizados, que representan la magnitud operacional, de los resultados normalizados respecto a 1 kg de estiércol fresco manejado.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R7 del bloque de apéndices internos, Impactos totales completos por escenario, presenta el detalle de la agregación utilizada en esta comparación.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ambientales totales y normalizados por escenario.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rPr>
          <w:cantSplit/>
          <w:tblHeader w:val="true"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Calentamiento global (kg CO₂-eq/año)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Eutrofización (kg PO₄-eq/año)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Calentamiento global (kg CO₂-eq/kg de estiércol fresco)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Eutrofización (kg PO₄-eq/kg de estiércol fresco)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5 279,113472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58,710397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0,200889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0,002234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8 721,386683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27,112498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0,33188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0,001032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7. Comparación entre escenarios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comparación bajo la misma unidad funcional mostró un mayor impacto de calentamiento global en el Escenario B. La diferencia B menos A fue de 3 442,273211 kg CO₂-eq/año, equivalente a 65,21 % respecto al Escenario 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En eutrofización, el Escenario B superó al Escenario A en -31,597899 kg PO₄-eq/año, equivalente a -53,82 %. La Tabla 7 resume la comparación y la Figura 7 presenta la diferencia porcentual por categoría de impacto.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R8 del bloque de apéndices internos, Comparación completa de escenarios, amplía las diferencias absolutas y porcentuales. La relación entre los contenidos, sus bases de información y las figuras asociadas se documenta en el Apéndice R10, Correspondencia entre tablas, figuras y archivos fuente.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de impactos ambientales entre escenarios.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rPr>
          <w:cantSplit/>
          <w:tblHeader w:val="true"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B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absoluta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porcentual B respecto a 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con mayor impacto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5 279,113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8 721,387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3 442,273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65,21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58,71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27,112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-31,598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-53,82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Diferencia porcentual del Escenario B respecto al Escenario A por categoría de impacto.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925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5_comparacion_diferencia_porcentu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9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color w:val="000000"/>
        </w:rPr>
        <w:t>Apéndices internos de resultados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apéndices internos contienen las Tablas R1, R2, R3, R4, R5, R6, R7 y R8, las Figuras R1 a R8 y la Tabla R10 de correspondencia. Las figuras complementarias de emisiones de N₂O, NH₃, NO₃⁻ y CO₂ respaldan la interpretación de las emisiones por sustancia.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Caracterización completa de muestras.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</w:tblGrid>
      <w:tr>
        <w:trPr>
          <w:cantSplit/>
          <w:tblHeader w:val="true"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material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Material analizado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Jornada de muestreo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Número de muestras de sólidos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Número de muestras de nitrógeno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Variable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Desviación estándar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estado integracion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M1;M2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0,5181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0,207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provisional M1 M2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M1;M2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Humedad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86,4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0,8913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provisional M1 M2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M1;M2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13,6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0,8913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provisional M1 M2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M1;M2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Cenizas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15,2871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1,6462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provisional M1 M2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M1;M2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84,7129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1,6462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provisional M1 M2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M1;M2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2,5042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0,112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provisional M1 M2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M1;M2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Humedad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79,3321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2,4593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provisional M1 M2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M1;M2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20,6679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2,4593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provisional M1 M2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M1;M2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Cenizas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24,9755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5,75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provisional M1 M2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M1;M2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75,0245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5,75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provisional M1 M2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0,0093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provisional M2 pendiente M3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0,0139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provisional M2 pendiente M3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M1;M2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Densidad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g/mL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solo caracterizacion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M1;M2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Densidad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g/mL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solo caracterizacion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M1;M2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Carbono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36,3058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0,7931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solo caracterizacion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Relación C/N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Relación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solo caracterizacion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Flujos completos del inventario.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rPr>
          <w:cantSplit/>
          <w:tblHeader w:val="true"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Flujo o material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17 525,1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17 525,1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0,424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sólida precompostada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7 429,9686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7 429,9686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0,424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de boñiga asociada a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8 753,6252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8 753,6252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0,424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de boñiga incorporada a las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8 753,6252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250 572,5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259 326,1252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0,424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 almacenado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26 278,7252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26 278,7252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0,424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Boñiga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26 278,7252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250 572,5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276 851,2252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rPr>
          <w:cantSplit/>
        </w:trP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0,424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Parámetros completos del modelo ACV.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>
        <w:trPr>
          <w:cantSplit/>
          <w:tblHeader w:val="true"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material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Modelo de cálculo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Sistema de manejo u origen previo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Parámetro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Marco de cálculo de la etapa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0,5181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84,7129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13,6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17 525,1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0,035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2,5042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75,0245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20,6679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7 429,9686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0,5181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84,7129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13,6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8 753,6252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0,0093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259 326,1252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0,5181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84,7129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13,6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26 278,7252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Manejo del estiércol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0,0139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276 851,2252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  <w:tr>
        <w:trPr>
          <w:cantSplit/>
        </w:trP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Suelos gestionados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Factores completos de emisión y caracterización.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rPr>
          <w:cantSplit/>
          <w:tblHeader w:val="true"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factor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Sistema o compuesto evaluado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factor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Referencia metodológica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0,035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0,48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0,06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Parámetro específico del sistema estudiado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lixiviada efectiva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Vargas Sarmiento (2023) y observación directa del investigador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IMN (2021)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IMN (2021)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eutrofizacion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Ecobilan (1999, como se citó en Vallejo, 2004)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eutrofizacion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Ecobilan (1999, como se citó en Vallejo, 2004)</w:t>
            </w:r>
          </w:p>
        </w:tc>
      </w:tr>
      <w:tr>
        <w:trPr>
          <w:cantSplit/>
        </w:trP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IMN (2021)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completas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rPr>
          <w:cantSplit/>
          <w:tblHeader w:val="true"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Sustancia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Emisión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total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4,87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17 525,1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2,8534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17 525,1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0,5992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17 525,1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0,0549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17 525,1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18,2133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17 525,1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66,3982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17 525,1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4,6314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7 429,9686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1,4619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7 429,9686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1,842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7 429,9686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7 429,9686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50,1222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7 429,9686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182,7257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7 429,9686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129,7333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8 753,6252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8 753,6252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0,3492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8 753,6252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8 753,6252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9,5017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8 753,6252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34,6393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8 753,6252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entradas de 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0,2263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259 326,1252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deposicion atmosferica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0,1109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259 326,1252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0,0996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259 326,1252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6,4766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259 326,1252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23,6112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259 326,1252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389,4643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26 278,7252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26 278,7252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1,0483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26 278,7252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26 278,7252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28,5244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26 278,7252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103,9885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26 278,7252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entradas de 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0,3638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276 851,2252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deposicion atmosferica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0,1783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276 851,2252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0,1601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276 851,2252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10,4118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276 851,2252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37,9571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276 851,2252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completos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</w:tblGrid>
      <w:tr>
        <w:trPr>
          <w:cantSplit/>
          <w:tblHeader w:val="true"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Emisión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de emisión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Factor de caracterización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del factor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Resultado equivalente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equivalente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4,87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102,2691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3,5075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1 087,3351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18,2133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6,3746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66,3982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6,3078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4,6314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97,2596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3,3039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1 024,2005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50,1222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17,5428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182,7257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17,3589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129,7333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2 724,3986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0,3492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108,2472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9,5017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3,3256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34,6393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3,2907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0,4368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135,4033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6,4766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2,2668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23,6112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2,2431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389,4643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8 178,7512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1,0483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324,9624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28,5244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9,9835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103,9885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9,8789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0,7022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217,6732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10,4118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3,6441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rPr>
          <w:cantSplit/>
        </w:trP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37,9571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3,6059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totales completos por escenario.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rPr>
          <w:cantSplit/>
          <w:tblHeader w:val="true"/>
        </w:trP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Resultado total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rPr>
          <w:cantSplit/>
        </w:trP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5 279,1135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58,7104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rPr>
          <w:cantSplit/>
        </w:trP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8 721,3867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rPr>
          <w:cantSplit/>
        </w:trP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27,1125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R8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completa de escenarios.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rPr>
          <w:cantSplit/>
          <w:tblHeader w:val="true"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absoluta B −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porcentual B respecto a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con mayor impacto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5 279,1135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8 721,3867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3 442,2732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65,2055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  <w:tr>
        <w:trPr>
          <w:cantSplit/>
        </w:trP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58,7104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27,1125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-31,5979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-53,8199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Apéndice R9. Figuras complementarias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Figura R1 complementa la caracterización de nitrógeno total; la Figura R2 complementa los flujos del inventario; la Figura R3 complementa las emisiones de N₂O; la Figura R4 complementa las emisiones de NH₃; la Figura R5 complementa las emisiones de NO₃⁻; la Figura R6 complementa las emisiones de CO₂; la Figura R7 complementa la comparación total de calentamiento global; y la Figura R8 complementa la comparación total de eutrofización.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Nitrógeno total promedio por tipo de muestra.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621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caracterizacion_nitrogeno_tot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2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Distribución de componentes del inventario por etapa.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624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5_flujos_distribucion_component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2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N₂O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76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emisiones_n2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7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NH₃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76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8_emisiones_nh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7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NO₃⁻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76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9_emisiones_no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7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CO₂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76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0_emisiones_co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7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del potencial total de calentamiento global entre escenarios.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857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3_comparacion_total_calentamiento_glob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8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R8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del potencial total de eutrofización entre escenarios.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857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4_comparacion_total_eutrofizac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8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Apéndice R10. Correspondencia entre tablas, figuras y archivos fuente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R10 resume la correspondencia académica entre contenidos, bases de información y figuras utilizadas en el documento.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R10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Correspondencia de insumos usados.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rPr>
          <w:cantSplit/>
          <w:tblHeader w:val="true"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Contenido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Base de información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Tablas o figuras relacionadas</w:t>
            </w:r>
          </w:p>
        </w:tc>
      </w:tr>
      <w:tr>
        <w:trPr>
          <w:cantSplit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Caracterización de muestras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Caracterización fisicoquímica de materiales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1, 2 y R1</w:t>
            </w:r>
          </w:p>
        </w:tc>
      </w:tr>
      <w:tr>
        <w:trPr>
          <w:cantSplit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Flujos del ICV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Inventario de flujos por escenario y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3 y R2</w:t>
            </w:r>
          </w:p>
        </w:tc>
      </w:tr>
      <w:tr>
        <w:trPr>
          <w:cantSplit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Parámetros del modelo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Parámetros principales del modelo ACV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Tabla 3</w:t>
            </w:r>
          </w:p>
        </w:tc>
      </w:tr>
      <w:tr>
        <w:trPr>
          <w:cantSplit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Factores de emisión y caracterización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Apéndice R4</w:t>
            </w:r>
          </w:p>
        </w:tc>
      </w:tr>
      <w:tr>
        <w:trPr>
          <w:cantSplit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Emisiones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Emisiones estimadas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4, R3, R4, R5 y R6</w:t>
            </w:r>
          </w:p>
        </w:tc>
      </w:tr>
      <w:tr>
        <w:trPr>
          <w:cantSplit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ambientales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5 y 6</w:t>
            </w:r>
          </w:p>
        </w:tc>
      </w:tr>
      <w:tr>
        <w:trPr>
          <w:cantSplit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totales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agregados por escenario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R7 y R8</w:t>
            </w:r>
          </w:p>
        </w:tc>
      </w:tr>
      <w:tr>
        <w:trPr>
          <w:cantSplit/>
        </w:trP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Comparación de escenarios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Comparación ambiental entre escenarios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 7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500" w:right="1320" w:bottom="280" w:left="1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PROVISIONAL M1–M2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ind w:left="100" w:firstLine="719"/>
      <w:jc w:val="both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ind w:left="0"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 w:val="0"/>
      <w:i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ótuloacadémico">
    <w:name w:val="Rótulo académico"/>
    <w:pPr>
      <w:spacing w:before="120" w:after="0"/>
      <w:ind w:left="0" w:firstLine="0"/>
      <w:jc w:val="both"/>
    </w:pPr>
    <w:rPr>
      <w:rFonts w:ascii="Times New Roman" w:hAnsi="Times New Roman" w:eastAsia="Times New Roman"/>
      <w:b/>
      <w:i w:val="0"/>
      <w:color w:val="000000"/>
      <w:sz w:val="24"/>
    </w:rPr>
  </w:style>
  <w:style w:type="paragraph" w:customStyle="1" w:styleId="Descripciónacadémica">
    <w:name w:val="Descripción académica"/>
    <w:pPr>
      <w:spacing w:before="0" w:after="120"/>
      <w:ind w:left="0" w:firstLine="0"/>
      <w:jc w:val="both"/>
    </w:pPr>
    <w:rPr>
      <w:rFonts w:ascii="Times New Roman" w:hAnsi="Times New Roman" w:eastAsia="Times New Roman"/>
      <w:b w:val="0"/>
      <w:i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