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spacing w:line="240" w:lineRule="auto" w:before="0" w:after="0"/>
        <w:ind w:left="100" w:firstLine="719"/>
        <w:jc w:val="both"/>
      </w:pPr>
      <w:r>
        <w:rPr>
          <w:rFonts w:ascii="Times New Roman" w:hAnsi="Times New Roman"/>
          <w:sz w:val="24"/>
        </w:rPr>
        <w:t>Apéndice F. Trazabilidad de la verificación independiente Python–SimaPro</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pPr>
        <w:spacing w:line="240" w:lineRule="auto" w:before="0" w:after="0"/>
        <w:ind w:left="100" w:firstLine="719"/>
        <w:jc w:val="both"/>
      </w:pPr>
      <w:r>
        <w:rPr>
          <w:rFonts w:ascii="Times New Roman" w:hAnsi="Times New Roman"/>
          <w:sz w:val="24"/>
        </w:rP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 el 12, producción y consumo responsables; y el 13, acción por el clima.</w:t>
      </w:r>
    </w:p>
    <w:p>
      <w:pPr>
        <w:spacing w:line="240" w:lineRule="auto" w:before="0" w:after="0"/>
        <w:ind w:left="100" w:firstLine="719"/>
        <w:jc w:val="both"/>
      </w:pPr>
      <w:r>
        <w:rPr>
          <w:rFonts w:ascii="Times New Roman" w:hAnsi="Times New Roman"/>
          <w:sz w:val="24"/>
        </w:rP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en el campo como enmienda agrícola.</w:t>
      </w:r>
    </w:p>
    <w:p>
      <w:pPr>
        <w:spacing w:line="240" w:lineRule="auto" w:before="0" w:after="0"/>
        <w:ind w:left="100" w:firstLine="719"/>
        <w:jc w:val="both"/>
      </w:pPr>
      <w:r>
        <w:rPr>
          <w:rFonts w:ascii="Times New Roman" w:hAnsi="Times New Roman"/>
          <w:sz w:val="24"/>
        </w:rP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 aplicarse manualmente con palas y cubetas o mediante una bomba de aspersión; la elección depende de las condiciones específicas de manejo del estiércol en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pPr>
        <w:spacing w:line="240" w:lineRule="auto" w:before="0" w:after="0"/>
        <w:ind w:left="100" w:firstLine="719"/>
        <w:jc w:val="both"/>
      </w:pPr>
      <w:r>
        <w:rPr>
          <w:rFonts w:ascii="Times New Roman" w:hAnsi="Times New Roman"/>
          <w:sz w:val="24"/>
        </w:rP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transporte y la eliminación del producto. Al considerar el ciclo de vida completo, ofrece una visión detallada de los aspectos ambientales y una comprensión más precisa de las compensaciones asociadas con la selección de productos y procesos (Curran, 2006).</w:t>
      </w:r>
    </w:p>
    <w:p>
      <w:pPr>
        <w:spacing w:line="240" w:lineRule="auto" w:before="0" w:after="0"/>
        <w:ind w:left="100" w:firstLine="719"/>
        <w:jc w:val="both"/>
      </w:pPr>
      <w:r>
        <w:rPr>
          <w:rFonts w:ascii="Times New Roman" w:hAnsi="Times New Roman"/>
          <w:sz w:val="24"/>
        </w:rP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pPr>
        <w:spacing w:line="240" w:lineRule="auto" w:before="0" w:after="0"/>
        <w:ind w:left="100" w:firstLine="719"/>
        <w:jc w:val="both"/>
      </w:pPr>
      <w:r>
        <w:rPr>
          <w:rFonts w:ascii="Times New Roman" w:hAnsi="Times New Roman"/>
          <w:sz w:val="24"/>
        </w:rP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pPr>
        <w:spacing w:line="240" w:lineRule="auto" w:before="0" w:after="0"/>
        <w:ind w:left="100" w:firstLine="719"/>
        <w:jc w:val="both"/>
      </w:pPr>
      <w:r>
        <w:rPr>
          <w:rFonts w:ascii="Times New Roman" w:hAnsi="Times New Roman"/>
          <w:sz w:val="24"/>
        </w:rPr>
        <w:t>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evaluado. En la mayoría de las metodologías de EICV, estos flujos se relacionan con tres áreas principales de protección: la calidad del ecosistema, la salud humana y los recursos naturales. Estas áreas se vinculan con indicadores de punto medio y de punto final.</w:t>
      </w:r>
    </w:p>
    <w:p>
      <w:pPr>
        <w:spacing w:line="240" w:lineRule="auto" w:before="0" w:after="0"/>
        <w:ind w:left="100" w:firstLine="719"/>
        <w:jc w:val="both"/>
      </w:pPr>
      <w:r>
        <w:rPr>
          <w:rFonts w:ascii="Times New Roman" w:hAnsi="Times New Roman"/>
          <w:sz w:val="24"/>
        </w:rP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 objetivo del estudio. Puede realizarse mediante escenarios hipotéticos que modifican sistemáticamente parámetros de entrada o mediante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pPr>
        <w:spacing w:line="240" w:lineRule="auto" w:before="0" w:after="0"/>
        <w:ind w:left="100" w:firstLine="719"/>
        <w:jc w:val="both"/>
      </w:pPr>
      <w:r>
        <w:rPr>
          <w:rFonts w:ascii="Times New Roman" w:hAnsi="Times New Roman"/>
          <w:sz w:val="24"/>
        </w:rP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potencial del lombricompost como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pPr>
        <w:spacing w:line="240" w:lineRule="auto" w:before="0" w:after="0"/>
        <w:ind w:left="100" w:firstLine="719"/>
        <w:jc w:val="both"/>
      </w:pPr>
      <w:r>
        <w:rPr>
          <w:rFonts w:ascii="Times New Roman" w:hAnsi="Times New Roman"/>
          <w:sz w:val="24"/>
        </w:rPr>
        <w:t>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con la aplicación del fertilizante en el campo. Para el inventario se cuantificaron los insumos de materiales y energía, así como las emisiones y los productos generados en cada etapa y sistema, mediante datos de mediciones y literatura especializada.</w:t>
      </w:r>
    </w:p>
    <w:p>
      <w:pPr>
        <w:spacing w:line="240" w:lineRule="auto" w:before="0" w:after="0"/>
        <w:ind w:left="100" w:firstLine="719"/>
        <w:jc w:val="both"/>
      </w:pPr>
      <w:r>
        <w:rPr>
          <w:rFonts w:ascii="Times New Roman" w:hAnsi="Times New Roman"/>
          <w:sz w:val="24"/>
        </w:rP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pPr>
        <w:spacing w:line="240" w:lineRule="auto" w:before="0" w:after="0"/>
        <w:ind w:left="100" w:firstLine="719"/>
        <w:jc w:val="both"/>
      </w:pPr>
      <w:r>
        <w:rPr>
          <w:rFonts w:ascii="Times New Roman" w:hAnsi="Times New Roman"/>
          <w:sz w:val="24"/>
        </w:rPr>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la transferencia tecnológica dirigida a productores de Turrialba y Jiménez. La producción se realizó con semovientes de raza Jersey adaptados a las condiciones tropicales de bajura.</w:t>
      </w:r>
    </w:p>
    <w:p>
      <w:pPr>
        <w:spacing w:line="240" w:lineRule="auto" w:before="0" w:after="0"/>
        <w:ind w:left="100" w:firstLine="719"/>
        <w:jc w:val="both"/>
      </w:pPr>
      <w:r>
        <w:rPr>
          <w:rFonts w:ascii="Times New Roman" w:hAnsi="Times New Roman"/>
          <w:sz w:val="24"/>
        </w:rP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pPr>
        <w:spacing w:line="240" w:lineRule="auto" w:before="0" w:after="0"/>
        <w:ind w:left="100" w:firstLine="719"/>
        <w:jc w:val="both"/>
      </w:pPr>
      <w:r>
        <w:rPr>
          <w:rFonts w:ascii="Times New Roman" w:hAnsi="Times New Roman"/>
          <w:sz w:val="24"/>
        </w:rP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keepLines/>
      </w:pPr>
      <w:r>
        <w:rPr>
          <w:rFonts w:ascii="Times New Roman" w:hAnsi="Times New Roman"/>
          <w:b/>
          <w:color w:val="000000"/>
        </w:rPr>
        <w:t>Tabla 1</w:t>
      </w:r>
    </w:p>
    <w:p>
      <w:pPr>
        <w:pStyle w:val="Descripciónacadémica"/>
        <w:keepNext/>
        <w:keepLines/>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keepLines/>
      </w:pPr>
      <w:r>
        <w:rPr>
          <w:rFonts w:ascii="Times New Roman" w:hAnsi="Times New Roman"/>
          <w:b/>
          <w:color w:val="000000"/>
        </w:rPr>
        <w:t>Tabla 2</w:t>
      </w:r>
    </w:p>
    <w:p>
      <w:pPr>
        <w:pStyle w:val="Descripciónacadémica"/>
        <w:keepNext/>
        <w:keepLines/>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keepLines/>
      </w:pPr>
      <w:r>
        <w:rPr>
          <w:rFonts w:ascii="Times New Roman" w:hAnsi="Times New Roman"/>
          <w:b/>
          <w:color w:val="000000"/>
        </w:rPr>
        <w:t>Tabla 3</w:t>
      </w:r>
    </w:p>
    <w:p>
      <w:pPr>
        <w:pStyle w:val="Descripciónacadémica"/>
        <w:keepNext/>
        <w:keepLines/>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keepLines/>
      </w:pPr>
      <w:r>
        <w:rPr>
          <w:rFonts w:ascii="Times New Roman" w:hAnsi="Times New Roman"/>
          <w:b/>
          <w:color w:val="000000"/>
        </w:rPr>
        <w:t>Tabla 4</w:t>
      </w:r>
    </w:p>
    <w:p>
      <w:pPr>
        <w:pStyle w:val="Descripciónacadémica"/>
        <w:keepNext/>
        <w:keepLines/>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spacing w:line="240" w:lineRule="auto" w:before="0" w:after="0"/>
        <w:ind w:left="100" w:firstLine="719"/>
        <w:jc w:val="both"/>
      </w:pPr>
      <w:r>
        <w:rPr>
          <w:rFonts w:ascii="Times New Roman" w:hAnsi="Times New Roman"/>
          <w:sz w:val="24"/>
        </w:rPr>
        <w:t>El contraste provisional se realizó sobre dos bases. Para A1 se comparó el N residual modelado después del precomposteo con una referencia derivada del N medido en el precompostado, convertido a base húmeda y multiplicado por la masa húmeda inferida de A2. Para A3 y B1 se comparó la concentración de N propagado, expresada sobre la mezcla anual teórica de estiércol y agua de lavado, con la concentración de N total medida en M2 para aguas verdes y purines, respectivamente.</w:t>
      </w:r>
    </w:p>
    <w:p>
      <w:pPr>
        <w:spacing w:line="240" w:lineRule="auto" w:before="0" w:after="0"/>
        <w:ind w:left="100" w:firstLine="719"/>
        <w:jc w:val="both"/>
      </w:pPr>
      <w:r>
        <w:rPr>
          <w:rFonts w:ascii="Times New Roman" w:hAnsi="Times New Roman"/>
          <w:sz w:val="24"/>
        </w:rPr>
        <w:t>En los tres casos, la diferencia absoluta se calculó como estimación modelada menos referencia. La diferencia relativa utilizó la referencia como denominador y se expresó en porcentaje. La diferencia absoluta de A1 se expresó en kg N/año; en los líquidos se expresó en puntos porcentuales de N. Estas comparaciones examinan la plausibilidad del balance, pero no constituyen balances experimentales cerrados ni una validación experimental de los factores IPCC–EMEP/EEA.</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keepLines/>
      </w:pPr>
      <w:r>
        <w:rPr>
          <w:rFonts w:ascii="Times New Roman" w:hAnsi="Times New Roman"/>
          <w:b/>
          <w:color w:val="000000"/>
        </w:rPr>
        <w:t>Tabla 5</w:t>
      </w:r>
    </w:p>
    <w:p>
      <w:pPr>
        <w:pStyle w:val="Descripciónacadémica"/>
        <w:keepNext/>
        <w:keepLines/>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La verificación independiente tuvo como propósito el aseguramiento y control de la calidad de la caracterización EF 3.1 implementada en Python. Python permaneció como fuente de verdad del inventario, la estimación de emisiones, la caracterización, la agregación, la normalización y los resultados canónicos. SimaPro no se utilizó para construir el inventario ni para sustituir esos cálculos.</w:t>
      </w:r>
    </w:p>
    <w:p>
      <w:pPr>
        <w:spacing w:line="240" w:lineRule="auto" w:before="0" w:after="0"/>
        <w:ind w:left="100" w:firstLine="719"/>
        <w:jc w:val="both"/>
      </w:pPr>
      <w:r>
        <w:rPr>
          <w:rFonts w:ascii="Times New Roman" w:hAnsi="Times New Roman"/>
          <w:sz w:val="24"/>
        </w:rPr>
        <w:t>La sesión se efectuó el 7 de octubre de 2026 con SimaPro 10.4.0.0 Educational, instalación UCR 004, en el proyecto local MATEO TFG TESTING y con el método Environmental Footprint 3.1 (adapted) V1.05. Se inspeccionaron directamente las nueve combinaciones activas de flujo, compartimento y categoría. Además, se ejecutaron de extremo a extremo cinco procesos unitarios de 1 kg para N₂O, CH₄ biogénico, NH₃, NOx y NO₃⁻. Los factores de CO₂ fósil y CH₄ fósil se inspeccionaron directamente, pero no se ejecutaron procesos unitarios independientes para esos dos flujos.</w:t>
      </w:r>
    </w:p>
    <w:p>
      <w:pPr>
        <w:spacing w:line="240" w:lineRule="auto" w:before="0" w:after="0"/>
        <w:ind w:left="100" w:firstLine="719"/>
        <w:jc w:val="both"/>
      </w:pPr>
      <w:r>
        <w:rPr>
          <w:rFonts w:ascii="Times New Roman" w:hAnsi="Times New Roman"/>
          <w:sz w:val="24"/>
        </w:rPr>
        <w:t>Después de los casos unitarios se compararon por escenario los subtotales de cambio climático, eutrofización marina y eutrofización terrestre obtenidos con las mismas cantidades elementales. La diferencia se definió como el resultado SimaPro menos el resultado Python y, cuando el resultado Python era distinto de cero, la diferencia relativa se calculó respecto de este. La clasificación A identificó identidad o concordancia dentro de la precisión mostrada; B, diferencias explicables por precisión o redondeo; y C–H reservaron, respectivamente, diferencias de versión o configuración, identidad del flujo, compartimento, unidad o conversión, ausencia de correspondencia verificable y discrepancia no resuelta.</w:t>
      </w:r>
    </w:p>
    <w:p>
      <w:pPr>
        <w:spacing w:line="240" w:lineRule="auto" w:before="0" w:after="0"/>
        <w:ind w:left="100" w:firstLine="719"/>
        <w:jc w:val="both"/>
      </w:pPr>
      <w:r>
        <w:rPr>
          <w:rFonts w:ascii="Times New Roman" w:hAnsi="Times New Roman"/>
          <w:sz w:val="24"/>
        </w:rPr>
        <w:t>La comprobación excluyó la contribución eléctrica agregada del IMN, los procesos de fondo y la normalización respecto de la unidad funcional dentro de SimaPro. Tampoco reconstruyó las etapas A1–A4 y B1–B2 como procesos del programa. Por ello, el valor climático comparado corresponde exclusivamente al subtotal caracterizable con EF 3.1: incluye los flujos elementales del manejo y las emisiones fósiles del diésel, pero no el total climático publicado por el ACV, que incorpora además la electricidad IMN. Todo el ejercicio conserva carácter PROVISIONAL M1–M2.</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keepLines/>
      </w:pPr>
      <w:r>
        <w:rPr>
          <w:rFonts w:ascii="Times New Roman" w:hAnsi="Times New Roman"/>
          <w:b/>
          <w:color w:val="000000"/>
        </w:rPr>
        <w:t>Tabla 6</w:t>
      </w:r>
    </w:p>
    <w:p>
      <w:pPr>
        <w:pStyle w:val="Descripciónacadémica"/>
        <w:keepNext/>
        <w:keepLines/>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3"/>
      </w:pPr>
      <w:r>
        <w:rPr>
          <w:rFonts w:ascii="Times New Roman" w:hAnsi="Times New Roman"/>
          <w:color w:val="000000"/>
        </w:rPr>
        <w:t>5.1.1 Contraste provisional del nitrógeno experimental con el balance modelado</w:t>
      </w:r>
    </w:p>
    <w:p>
      <w:pPr>
        <w:spacing w:line="240" w:lineRule="auto" w:before="0" w:after="0"/>
        <w:ind w:left="100" w:firstLine="719"/>
        <w:jc w:val="both"/>
      </w:pPr>
      <w:r>
        <w:rPr>
          <w:rFonts w:ascii="Times New Roman" w:hAnsi="Times New Roman"/>
          <w:sz w:val="24"/>
        </w:rPr>
        <w:t>La Tabla 7 compara las referencias experimentales o derivadas con las estimaciones del balance secuencial. Los signos positivos indican que el modelo conservó una masa residual o estimó una concentración mayor que la referencia correspondiente.</w:t>
      </w:r>
    </w:p>
    <w:p>
      <w:pPr>
        <w:pStyle w:val="Rótuloacadémico"/>
        <w:keepNext/>
        <w:keepLines/>
      </w:pPr>
      <w:r>
        <w:rPr>
          <w:rFonts w:ascii="Times New Roman" w:hAnsi="Times New Roman"/>
          <w:b/>
          <w:color w:val="000000"/>
        </w:rPr>
        <w:t>Tabla 7</w:t>
      </w:r>
    </w:p>
    <w:p>
      <w:pPr>
        <w:pStyle w:val="Descripciónacadémica"/>
        <w:keepNext/>
        <w:keepLines/>
      </w:pPr>
      <w:r>
        <w:rPr>
          <w:rFonts w:ascii="Times New Roman" w:hAnsi="Times New Roman"/>
          <w:i/>
          <w:color w:val="000000"/>
        </w:rPr>
        <w:t>Contraste provisional del N experimental con el balance modelado.</w:t>
      </w:r>
    </w:p>
    <w:tbl>
      <w:tblPr>
        <w:tblW w:type="auto" w:w="0"/>
        <w:jc w:val="center"/>
        <w:tblLayout w:type="fixed"/>
        <w:tblLook w:firstColumn="1" w:firstRow="1" w:lastColumn="0" w:lastRow="0" w:noHBand="0" w:noVBand="1" w:val="04A0"/>
      </w:tblPr>
      <w:tblGrid>
        <w:gridCol w:w="1916"/>
        <w:gridCol w:w="1916"/>
        <w:gridCol w:w="1916"/>
        <w:gridCol w:w="1916"/>
        <w:gridCol w:w="1916"/>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Contraste</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Referencia experimental o derivada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Estimación modelada</w:t>
            </w:r>
          </w:p>
        </w:tc>
        <w:tc>
          <w:tcPr>
            <w:tcW w:type="dxa" w:w="223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absoluta (modelo − referencia)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relativa</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A1: N residual después del precomposteo</w:t>
            </w:r>
          </w:p>
        </w:tc>
        <w:tc>
          <w:tcPr>
            <w:tcW w:type="dxa" w:w="194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38,454527 kg N/año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52,385688 kg N/año</w:t>
            </w:r>
          </w:p>
        </w:tc>
        <w:tc>
          <w:tcPr>
            <w:tcW w:type="dxa" w:w="2232"/>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+13,931161 kg N/año</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+36,23 %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A3→A4: Aguas verdes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0,009255889 %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0,014654477 %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+0,005398588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+58,33 %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B1→B2: Purines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0,013937778 %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0,041208470 %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+0,027270692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+195,66 %</w:t>
            </w:r>
          </w:p>
        </w:tc>
      </w:tr>
    </w:tbl>
    <w:p>
      <w:pPr>
        <w:pStyle w:val="Notadetabla"/>
      </w:pPr>
      <w:r>
        <w:rPr>
          <w:rFonts w:ascii="Times New Roman" w:hAnsi="Times New Roman"/>
          <w:b/>
        </w:rPr>
        <w:t xml:space="preserve">Nota. </w:t>
      </w:r>
      <w:r>
        <w:rPr>
          <w:rFonts w:ascii="Times New Roman" w:hAnsi="Times New Roman"/>
        </w:rPr>
        <w:t>La referencia de A1 es una masa de N derivada del análisis del precompostado y de la masa húmeda inferida de A2; no fue observada directamente. Para aguas verdes y purines, las referencias son concentraciones medidas en M2 y las concentraciones modeladas usan mezclas anuales teóricas, no descargas medidas. Las diferencias no validan experimentalmente los factores IPCC–EMEP/EEA ni identifican una ruta específica de pérdida de N.</w:t>
      </w:r>
    </w:p>
    <w:p>
      <w:pPr>
        <w:spacing w:line="240" w:lineRule="auto" w:before="0" w:after="0"/>
        <w:ind w:left="100" w:firstLine="719"/>
        <w:jc w:val="both"/>
      </w:pPr>
      <w:r>
        <w:rPr>
          <w:rFonts w:ascii="Times New Roman" w:hAnsi="Times New Roman"/>
          <w:sz w:val="24"/>
        </w:rPr>
        <w:t>Después de A1, el modelo conservó 52,385688 kg N/año, frente a una referencia derivada de 38,454527 kg N/año; la diferencia fue 13,931161 kg N/año, equivalente a 36,23 % de la referencia.</w:t>
      </w:r>
    </w:p>
    <w:p>
      <w:pPr>
        <w:spacing w:line="240" w:lineRule="auto" w:before="0" w:after="0"/>
        <w:ind w:left="100" w:firstLine="719"/>
        <w:jc w:val="both"/>
      </w:pPr>
      <w:r>
        <w:rPr>
          <w:rFonts w:ascii="Times New Roman" w:hAnsi="Times New Roman"/>
          <w:sz w:val="24"/>
        </w:rPr>
        <w:t>En aguas verdes, la concentración modelada fue 0,014654477 % N y la medida en M2 fue 0,009255889 % N, con una diferencia de 0,005398588 puntos porcentuales (58,33 %). En purines, los valores respectivos fueron 0,04120847 % N y 0,013937778 % N, con una diferencia de 0,027270692 puntos porcentuales (195,66 %).</w:t>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8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8.</w:t>
      </w:r>
    </w:p>
    <w:p>
      <w:pPr>
        <w:pStyle w:val="Rótuloacadémico"/>
        <w:keepNext/>
        <w:keepLines/>
      </w:pPr>
      <w:r>
        <w:rPr>
          <w:rFonts w:ascii="Times New Roman" w:hAnsi="Times New Roman"/>
          <w:b/>
          <w:color w:val="000000"/>
        </w:rPr>
        <w:t>Tabla 8</w:t>
      </w:r>
    </w:p>
    <w:p>
      <w:pPr>
        <w:pStyle w:val="Descripciónacadémica"/>
        <w:keepNext/>
        <w:keepLines/>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0,0000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9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keepLines/>
      </w:pPr>
      <w:r>
        <w:rPr>
          <w:rFonts w:ascii="Times New Roman" w:hAnsi="Times New Roman"/>
          <w:b/>
          <w:color w:val="000000"/>
        </w:rPr>
        <w:t>Tabla 9</w:t>
      </w:r>
    </w:p>
    <w:p>
      <w:pPr>
        <w:pStyle w:val="Descripciónacadémica"/>
        <w:keepNext/>
        <w:keepLines/>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10 presenta la magnitud anual y la Tabla 11 separa el cambio climático del manejo, la electricidad y el diésel. La Tabla 12 muestra los indicadores por unidad funcional. La Tabla 13 y la Figura 10 presentan la comparación entre escenarios bajo la misma base funcional.</w:t>
      </w:r>
    </w:p>
    <w:p>
      <w:pPr>
        <w:pStyle w:val="Rótuloacadémico"/>
        <w:keepNext/>
        <w:keepLines/>
      </w:pPr>
      <w:r>
        <w:rPr>
          <w:rFonts w:ascii="Times New Roman" w:hAnsi="Times New Roman"/>
          <w:b/>
          <w:color w:val="000000"/>
        </w:rPr>
        <w:t>Tabla 10</w:t>
      </w:r>
    </w:p>
    <w:p>
      <w:pPr>
        <w:pStyle w:val="Descripciónacadémica"/>
        <w:keepNext/>
        <w:keepLines/>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keepLines/>
      </w:pPr>
      <w:r>
        <w:rPr>
          <w:rFonts w:ascii="Times New Roman" w:hAnsi="Times New Roman"/>
          <w:b/>
          <w:color w:val="000000"/>
        </w:rPr>
        <w:t>Tabla 11</w:t>
      </w:r>
    </w:p>
    <w:p>
      <w:pPr>
        <w:pStyle w:val="Descripciónacadémica"/>
        <w:keepNext/>
        <w:keepLines/>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keepLines/>
      </w:pPr>
      <w:r>
        <w:rPr>
          <w:rFonts w:ascii="Times New Roman" w:hAnsi="Times New Roman"/>
          <w:b/>
          <w:color w:val="000000"/>
        </w:rPr>
        <w:t>Tabla 12</w:t>
      </w:r>
    </w:p>
    <w:p>
      <w:pPr>
        <w:pStyle w:val="Descripciónacadémica"/>
        <w:keepNext/>
        <w:keepLines/>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keepLines/>
      </w:pPr>
      <w:r>
        <w:rPr>
          <w:rFonts w:ascii="Times New Roman" w:hAnsi="Times New Roman"/>
          <w:b/>
          <w:color w:val="000000"/>
        </w:rPr>
        <w:t>Tabla 13</w:t>
      </w:r>
    </w:p>
    <w:p>
      <w:pPr>
        <w:pStyle w:val="Descripciónacadémica"/>
        <w:keepNext/>
        <w:keepLines/>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14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keepLines/>
      </w:pPr>
      <w:r>
        <w:rPr>
          <w:rFonts w:ascii="Times New Roman" w:hAnsi="Times New Roman"/>
          <w:b/>
          <w:color w:val="000000"/>
        </w:rPr>
        <w:t>Tabla 14</w:t>
      </w:r>
    </w:p>
    <w:p>
      <w:pPr>
        <w:pStyle w:val="Descripciónacadémica"/>
        <w:keepNext/>
        <w:keepLines/>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pStyle w:val="Heading2"/>
      </w:pPr>
      <w:r>
        <w:rPr>
          <w:rFonts w:ascii="Times New Roman" w:hAnsi="Times New Roman"/>
          <w:color w:val="000000"/>
        </w:rPr>
        <w:t>5.5 Resultados de la verificación independiente Python–SimaPro</w:t>
      </w:r>
    </w:p>
    <w:p>
      <w:pPr>
        <w:pStyle w:val="Heading3"/>
      </w:pPr>
      <w:r>
        <w:rPr>
          <w:rFonts w:ascii="Times New Roman" w:hAnsi="Times New Roman"/>
          <w:color w:val="000000"/>
        </w:rPr>
        <w:t>5.5.1 Comprobación de factores y casos unitarios</w:t>
      </w:r>
    </w:p>
    <w:p>
      <w:pPr>
        <w:spacing w:line="240" w:lineRule="auto" w:before="0" w:after="0"/>
        <w:ind w:left="100" w:firstLine="719"/>
        <w:jc w:val="both"/>
      </w:pPr>
      <w:r>
        <w:rPr>
          <w:rFonts w:ascii="Times New Roman" w:hAnsi="Times New Roman"/>
          <w:sz w:val="24"/>
        </w:rPr>
        <w:t>Se inspeccionaron las nueve combinaciones activas de factores EF 3.1 y se ejecutaron cinco procesos unitarios. Estos cinco procesos produjeron siete resultados de categoría observables, porque NH₃ y NOx contribuyen tanto a eutrofización terrestre como marina. Seis resultados recibieron clasificación A por concordancia dentro de la precisión mostrada. El resultado terrestre de NH₃ fue visible como 13,5 mol N-eq frente al factor 13,47 mol N-eq/kg NH₃ y recibió clasificación B por redondeo de presentación. No quedó ninguna discrepancia científica sin resolver.</w:t>
      </w:r>
    </w:p>
    <w:p>
      <w:pPr>
        <w:spacing w:line="240" w:lineRule="auto" w:before="0" w:after="0"/>
        <w:ind w:left="100" w:firstLine="719"/>
        <w:jc w:val="both"/>
      </w:pPr>
      <w:r>
        <w:rPr>
          <w:rFonts w:ascii="Times New Roman" w:hAnsi="Times New Roman"/>
          <w:sz w:val="24"/>
        </w:rPr>
        <w:t>Los factores de CO₂ fósil y CH₄ fósil coincidieron en la inspección directa, aunque no contaron con procesos unitarios independientes. El Apéndice F, Trazabilidad de la verificación independiente Python–SimaPro, presenta las nueve combinaciones sin confundirlas con nueve procesos ejecutados.</w:t>
      </w:r>
    </w:p>
    <w:p>
      <w:pPr>
        <w:pStyle w:val="Heading3"/>
      </w:pPr>
      <w:r>
        <w:rPr>
          <w:rFonts w:ascii="Times New Roman" w:hAnsi="Times New Roman"/>
          <w:color w:val="000000"/>
        </w:rPr>
        <w:t>5.5.2 Comparación agregada PROVISIONAL M1–M2</w:t>
      </w:r>
    </w:p>
    <w:p>
      <w:pPr>
        <w:spacing w:line="240" w:lineRule="auto" w:before="0" w:after="0"/>
        <w:ind w:left="100" w:firstLine="719"/>
        <w:jc w:val="both"/>
      </w:pPr>
      <w:r>
        <w:rPr>
          <w:rFonts w:ascii="Times New Roman" w:hAnsi="Times New Roman"/>
          <w:sz w:val="24"/>
        </w:rPr>
        <w:t>La Tabla 15 compara los seis subtotales obtenidos con Python y observados en SimaPro. Las diferencias se calcularon como SimaPro menos Python; las seis comparaciones recibieron clasificación A por concordancia dentro de la precisión mostrada.</w:t>
      </w:r>
    </w:p>
    <w:p>
      <w:pPr>
        <w:spacing w:line="240" w:lineRule="auto" w:before="0" w:after="0"/>
        <w:ind w:left="100" w:firstLine="719"/>
        <w:jc w:val="both"/>
      </w:pPr>
      <w:r>
        <w:rPr>
          <w:rFonts w:ascii="Times New Roman" w:hAnsi="Times New Roman"/>
          <w:sz w:val="24"/>
        </w:rPr>
        <w:t>En cambio climático, la comparación no utiliza el total publicado del ACV. Utiliza el subtotal verificable mediante EF 3.1, compuesto por los flujos elementales del manejo y las emisiones fósiles del diésel. La contribución eléctrica agregada del IMN está excluida de ambos lados de esta comprobación; por tanto, estos valores climáticos no deben compararse ni sustituirse por el total climático que aparece en las tablas principales del ACV.</w:t>
      </w:r>
    </w:p>
    <w:p>
      <w:pPr>
        <w:pStyle w:val="Rótuloacadémico"/>
        <w:keepNext/>
        <w:keepLines/>
      </w:pPr>
      <w:r>
        <w:rPr>
          <w:rFonts w:ascii="Times New Roman" w:hAnsi="Times New Roman"/>
          <w:b/>
          <w:color w:val="000000"/>
        </w:rPr>
        <w:t>Tabla 15</w:t>
      </w:r>
    </w:p>
    <w:p>
      <w:pPr>
        <w:pStyle w:val="Descripciónacadémica"/>
        <w:keepNext/>
        <w:keepLines/>
      </w:pPr>
      <w:r>
        <w:rPr>
          <w:rFonts w:ascii="Times New Roman" w:hAnsi="Times New Roman"/>
          <w:i/>
          <w:color w:val="000000"/>
        </w:rPr>
        <w:t>Comparación agregada de la caracterización EF 3.1 entre Python y SimaPro.</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Escenario</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Categoría y unidad</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Python</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SimaPro</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(SimaPro − Python)</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Clasificación</w:t>
            </w:r>
          </w:p>
        </w:tc>
      </w:tr>
      <w:tr>
        <w:trPr>
          <w:cantSplit/>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3167,904519914095</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3167,9045</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-0,000019914095</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15,648347825374902</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0,000000174625098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617,0517125078838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-0,0000025078838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6252,09813683376</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6252,0981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-0,00003683376</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35,62231521609108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-0,00000021609108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961,269308200257</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0,000001799743</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bl>
    <w:p>
      <w:pPr>
        <w:pStyle w:val="Notadetabla"/>
      </w:pPr>
      <w:r>
        <w:rPr>
          <w:rFonts w:ascii="Times New Roman" w:hAnsi="Times New Roman"/>
          <w:b/>
        </w:rPr>
        <w:t xml:space="preserve">Nota. </w:t>
      </w:r>
      <w:r>
        <w:rPr>
          <w:rFonts w:ascii="Times New Roman" w:hAnsi="Times New Roman"/>
        </w:rPr>
        <w:t>Resultados de la sesión del 7 de octubre de 2026. El subtotal de cambio climático excluye la electricidad agregada del IMN y no equivale al cambio climático total publicado por el ACV. Todas las diferencias corresponden a SimaPro menos Python.</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3"/>
      </w:pPr>
      <w:r>
        <w:rPr>
          <w:rFonts w:ascii="Times New Roman" w:hAnsi="Times New Roman"/>
          <w:color w:val="000000"/>
        </w:rPr>
        <w:t>6.1.1 Interpretación del contraste experimental del nitrógeno</w:t>
      </w:r>
    </w:p>
    <w:p>
      <w:pPr>
        <w:spacing w:line="240" w:lineRule="auto" w:before="0" w:after="0"/>
        <w:ind w:left="100" w:firstLine="719"/>
        <w:jc w:val="both"/>
      </w:pPr>
      <w:r>
        <w:rPr>
          <w:rFonts w:ascii="Times New Roman" w:hAnsi="Times New Roman"/>
          <w:sz w:val="24"/>
        </w:rPr>
        <w:t>En A1, el N residual modelado superó en 13,931161 kg N/año (36,23 %) la referencia derivada del precompostado. El resultado indica concordancia limitada entre ambas construcciones, pero no demuestra que el modelo subestime una ruta específica. El N del estiércol fresco se determinó mediante Kjeldahl y el del precompostado mediante Dumas sobre material acondicionado; la conversión a base húmeda combinó este último resultado con materia seca gravimétrica independiente. Además, la masa de A2 se infirió mediante conservación supuesta de cenizas y las muestras no correspondieron a un mismo lote pesado antes y después del precomposteo.</w:t>
      </w:r>
    </w:p>
    <w:p>
      <w:pPr>
        <w:spacing w:line="240" w:lineRule="auto" w:before="0" w:after="0"/>
        <w:ind w:left="100" w:firstLine="719"/>
        <w:jc w:val="both"/>
      </w:pPr>
      <w:r>
        <w:rPr>
          <w:rFonts w:ascii="Times New Roman" w:hAnsi="Times New Roman"/>
          <w:sz w:val="24"/>
        </w:rPr>
        <w:t>En aguas verdes, la concentración modelada fue 58,33 % mayor que la medición M2. Esta discrepancia puede relacionarse hipotéticamente con diferencias entre la dilución anual teórica y la condición puntual muestreada, así como con la acumulación, la residencia, la mezcla, la sedimentación o entradas no representadas con igual detalle. La muestra de la tanqueta no estuvo acompañada por una descarga real medida que permitiera convertir la concentración en un balance anual observado.</w:t>
      </w:r>
    </w:p>
    <w:p>
      <w:pPr>
        <w:spacing w:line="240" w:lineRule="auto" w:before="0" w:after="0"/>
        <w:ind w:left="100" w:firstLine="719"/>
        <w:jc w:val="both"/>
      </w:pPr>
      <w:r>
        <w:rPr>
          <w:rFonts w:ascii="Times New Roman" w:hAnsi="Times New Roman"/>
          <w:sz w:val="24"/>
        </w:rPr>
        <w:t>En purines se obtuvo la mayor diferencia relativa, 195,66 %. Su magnitud no demuestra una pérdida gaseosa mayor ni una pérdida real total de N, porque la concentración modelada combina N propagado, una masa teórica de estiércol depositado y agua anualizada, mientras la referencia procede de muestras M2 de una operación temporal. La dilución efectiva, las condiciones de acumulación y la representatividad temporal pueden contribuir a la discrepancia, pero no fueron identificadas causalmente por el diseño experimental.</w:t>
      </w:r>
    </w:p>
    <w:p>
      <w:pPr>
        <w:spacing w:line="240" w:lineRule="auto" w:before="0" w:after="0"/>
        <w:ind w:left="100" w:firstLine="719"/>
        <w:jc w:val="both"/>
      </w:pPr>
      <w:r>
        <w:rPr>
          <w:rFonts w:ascii="Times New Roman" w:hAnsi="Times New Roman"/>
          <w:sz w:val="24"/>
        </w:rPr>
        <w:t>El cierre del balance demuestra coherencia matemática de las ecuaciones implementadas. El contraste anterior constituye una evaluación parcial de plausibilidad frente a determinaciones experimentales. Una validación experimental completa requeriría masas de entrada y salida emparejadas en A1 y caudales o masas reales de descarga asociados con las muestras líquidas, además de evidencia que permitiera diferenciar las rutas de N.</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16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keepLines/>
      </w:pPr>
      <w:r>
        <w:rPr>
          <w:rFonts w:ascii="Times New Roman" w:hAnsi="Times New Roman"/>
          <w:b/>
          <w:color w:val="000000"/>
        </w:rPr>
        <w:t>Tabla 16</w:t>
      </w:r>
    </w:p>
    <w:p>
      <w:pPr>
        <w:pStyle w:val="Descripciónacadémica"/>
        <w:keepNext/>
        <w:keepLines/>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Heading2"/>
      </w:pPr>
      <w:r>
        <w:rPr>
          <w:rFonts w:ascii="Times New Roman" w:hAnsi="Times New Roman"/>
          <w:color w:val="000000"/>
        </w:rPr>
        <w:t>6.4 Alcance de la verificación Python–SimaPro</w:t>
      </w:r>
    </w:p>
    <w:p>
      <w:pPr>
        <w:spacing w:line="240" w:lineRule="auto" w:before="0" w:after="0"/>
        <w:ind w:left="100" w:firstLine="719"/>
        <w:jc w:val="both"/>
      </w:pPr>
      <w:r>
        <w:rPr>
          <w:rFonts w:ascii="Times New Roman" w:hAnsi="Times New Roman"/>
          <w:sz w:val="24"/>
        </w:rPr>
        <w:t>La concordancia observada permite afirmar únicamente que, para los flujos, compartimentos y categorías comprobados, la caracterización EF 3.1 implementada en Python fue consistente con la caracterización observada de forma independiente en SimaPro dentro de la precisión disponible. La diferencia del caso terrestre de NH₃, visible como 13,5 frente a 13,47, se explica por la presentación redondeada del resultado unitario: el factor 13,47 fue observado directamente y no se identificó una diferencia metodológica.</w:t>
      </w:r>
    </w:p>
    <w:p>
      <w:pPr>
        <w:spacing w:line="240" w:lineRule="auto" w:before="0" w:after="0"/>
        <w:ind w:left="100" w:firstLine="719"/>
        <w:jc w:val="both"/>
      </w:pPr>
      <w:r>
        <w:rPr>
          <w:rFonts w:ascii="Times New Roman" w:hAnsi="Times New Roman"/>
          <w:sz w:val="24"/>
        </w:rPr>
        <w:t>Esta comprobación no valida el inventario, la exactitud de los factores IPCC o EMEP/EEA, la representatividad experimental, la contribución eléctrica agregada del IMN, los procesos de fondo ni la superioridad general de un escenario. Tampoco comprende M3. Su alcance es exclusivamente la consistencia de la caracterización EF 3.1 de los flujos incluidos en la corrida PROVISIONAL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b/>
          <w:sz w:val="24"/>
        </w:rPr>
        <w:t xml:space="preserve">Conclusión provisional 6. </w:t>
      </w:r>
      <w:r>
        <w:rPr>
          <w:rFonts w:ascii="Times New Roman" w:hAnsi="Times New Roman"/>
          <w:sz w:val="24"/>
        </w:rPr>
        <w:t>El contraste provisional del nitrógeno mostró que el modelo conservó 36,23 % más N residual que la referencia derivada de A1 y estimó concentraciones superiores a las medidas en aguas verdes y purines por 58,33 % y 195,66 %, respectivamente. Estas discrepancias delimitan la concordancia observada y orientan la revisión posterior a M3, pero no permiten validar experimentalmente los factores IPCC–EMEP/EEA ni atribuir la diferencia a mecanismos específicos.</w:t>
      </w:r>
    </w:p>
    <w:p>
      <w:pPr>
        <w:spacing w:line="240" w:lineRule="auto" w:before="0" w:after="0"/>
        <w:ind w:left="100" w:firstLine="719"/>
        <w:jc w:val="both"/>
      </w:pPr>
      <w:r>
        <w:rPr>
          <w:rFonts w:ascii="Times New Roman" w:hAnsi="Times New Roman"/>
          <w:sz w:val="24"/>
        </w:rPr>
        <w:t>Como comprobación complementaria, la caracterización EF 3.1 implementada en Python presentó concordancia con la verificación independiente mediante SimaPro para los flujos examinados y dentro de la precisión disponible. Este resultado no sustituye las conclusiones ambientales del ACV ni amplía el alcance provisional M1–M2.</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Repetir la comparación agregada Python–SimaPro después de integrar y validar M3, antes de tratar la verificación como una comprobación definitiva de la caracterización EF 3.1.</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26(5), 485–495. https://doi.org/10.1016/j.biombioe.2003.08.008</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46(3–4), 225–247. https://doi.org/10.18174/njas.v46i3.481</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75, 499–502.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17 muestra cómo la metodología, los resultados y las conclusiones provisionales responden a los objetivos invariantes del estudio.</w:t>
      </w:r>
    </w:p>
    <w:p>
      <w:pPr>
        <w:pStyle w:val="Rótuloacadémico"/>
        <w:keepNext/>
        <w:keepLines/>
      </w:pPr>
      <w:r>
        <w:rPr>
          <w:rFonts w:ascii="Times New Roman" w:hAnsi="Times New Roman"/>
          <w:b/>
          <w:color w:val="000000"/>
        </w:rPr>
        <w:t>Tabla 17</w:t>
      </w:r>
    </w:p>
    <w:p>
      <w:pPr>
        <w:pStyle w:val="Descripciónacadémica"/>
        <w:keepNext/>
        <w:keepLines/>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emisiones y contraste provisional del nitrógeno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1 y 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18 conserva la trazabilidad detallada por familia sin convertir los cálculos derivados en una nueva categoría de fuente.</w:t>
      </w:r>
    </w:p>
    <w:p>
      <w:pPr>
        <w:pStyle w:val="Rótuloacadémico"/>
        <w:keepNext/>
        <w:keepLines/>
      </w:pPr>
      <w:r>
        <w:rPr>
          <w:rFonts w:ascii="Times New Roman" w:hAnsi="Times New Roman"/>
          <w:b/>
          <w:color w:val="000000"/>
        </w:rPr>
        <w:t>Tabla 18</w:t>
      </w:r>
    </w:p>
    <w:p>
      <w:pPr>
        <w:pStyle w:val="Descripciónacadémica"/>
        <w:keepNext/>
        <w:keepLines/>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19 y 20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keepLines/>
      </w:pPr>
      <w:r>
        <w:rPr>
          <w:rFonts w:ascii="Times New Roman" w:hAnsi="Times New Roman"/>
          <w:b/>
          <w:color w:val="000000"/>
        </w:rPr>
        <w:t>Tabla 19</w:t>
      </w:r>
    </w:p>
    <w:p>
      <w:pPr>
        <w:pStyle w:val="Descripciónacadémica"/>
        <w:keepNext/>
        <w:keepLines/>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keepLines/>
      </w:pPr>
      <w:r>
        <w:rPr>
          <w:rFonts w:ascii="Times New Roman" w:hAnsi="Times New Roman"/>
          <w:b/>
          <w:color w:val="000000"/>
        </w:rPr>
        <w:t>Tabla 20</w:t>
      </w:r>
    </w:p>
    <w:p>
      <w:pPr>
        <w:pStyle w:val="Descripciónacadémica"/>
        <w:keepNext/>
        <w:keepLines/>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21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keepLines/>
      </w:pPr>
      <w:r>
        <w:rPr>
          <w:rFonts w:ascii="Times New Roman" w:hAnsi="Times New Roman"/>
          <w:b/>
          <w:color w:val="000000"/>
        </w:rPr>
        <w:t>Tabla 21</w:t>
      </w:r>
    </w:p>
    <w:p>
      <w:pPr>
        <w:pStyle w:val="Descripciónacadémica"/>
        <w:keepNext/>
        <w:keepLines/>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22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keepLines/>
      </w:pPr>
      <w:r>
        <w:rPr>
          <w:rFonts w:ascii="Times New Roman" w:hAnsi="Times New Roman"/>
          <w:b/>
          <w:color w:val="000000"/>
        </w:rPr>
        <w:t>Tabla 22</w:t>
      </w:r>
    </w:p>
    <w:p>
      <w:pPr>
        <w:pStyle w:val="Descripciónacadémica"/>
        <w:keepNext/>
        <w:keepLines/>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23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keepLines/>
      </w:pPr>
      <w:r>
        <w:rPr>
          <w:rFonts w:ascii="Times New Roman" w:hAnsi="Times New Roman"/>
          <w:b/>
          <w:color w:val="000000"/>
        </w:rPr>
        <w:t>Tabla 23</w:t>
      </w:r>
    </w:p>
    <w:p>
      <w:pPr>
        <w:pStyle w:val="Descripciónacadémica"/>
        <w:keepNext/>
        <w:keepLines/>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24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keepLines/>
      </w:pPr>
      <w:r>
        <w:rPr>
          <w:rFonts w:ascii="Times New Roman" w:hAnsi="Times New Roman"/>
          <w:b/>
          <w:color w:val="000000"/>
        </w:rPr>
        <w:t>Tabla 24</w:t>
      </w:r>
    </w:p>
    <w:p>
      <w:pPr>
        <w:pStyle w:val="Descripciónacadémica"/>
        <w:keepNext/>
        <w:keepLines/>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25 desagrega las emisiones que explican los impactos por etapa. Los valores proceden de la tabla canónica de emisiones; la vista no añade rutas ni recalcula factores.</w:t>
      </w:r>
    </w:p>
    <w:p>
      <w:pPr>
        <w:pStyle w:val="Rótuloacadémico"/>
        <w:keepNext/>
        <w:keepLines/>
      </w:pPr>
      <w:r>
        <w:rPr>
          <w:rFonts w:ascii="Times New Roman" w:hAnsi="Times New Roman"/>
          <w:b/>
          <w:color w:val="000000"/>
        </w:rPr>
        <w:t>Tabla 25</w:t>
      </w:r>
    </w:p>
    <w:p>
      <w:pPr>
        <w:pStyle w:val="Descripciónacadémica"/>
        <w:keepNext/>
        <w:keepLines/>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F. Trazabilidad de la verificación independiente Python–SimaPro</w:t>
      </w:r>
    </w:p>
    <w:p>
      <w:pPr>
        <w:spacing w:line="240" w:lineRule="auto" w:before="0" w:after="0"/>
        <w:ind w:left="100" w:firstLine="719"/>
        <w:jc w:val="both"/>
      </w:pPr>
      <w:r>
        <w:rPr>
          <w:rFonts w:ascii="Times New Roman" w:hAnsi="Times New Roman"/>
          <w:sz w:val="24"/>
        </w:rPr>
        <w:t>La Tabla 26 resume las nueve combinaciones activas inspeccionadas y distingue los resultados unitarios de la inspección directa de factores. La evidencia gráfica completa de la sesión se conserva separadamente como respaldo del aseguramiento de la calidad y no se reproduce en el manuscrito.</w:t>
      </w:r>
    </w:p>
    <w:p>
      <w:pPr>
        <w:pStyle w:val="Rótuloacadémico"/>
        <w:keepNext/>
        <w:keepLines/>
      </w:pPr>
      <w:r>
        <w:rPr>
          <w:rFonts w:ascii="Times New Roman" w:hAnsi="Times New Roman"/>
          <w:b/>
          <w:color w:val="000000"/>
        </w:rPr>
        <w:t>Tabla 26</w:t>
      </w:r>
    </w:p>
    <w:p>
      <w:pPr>
        <w:pStyle w:val="Descripciónacadémica"/>
        <w:keepNext/>
        <w:keepLines/>
      </w:pPr>
      <w:r>
        <w:rPr>
          <w:rFonts w:ascii="Times New Roman" w:hAnsi="Times New Roman"/>
          <w:i/>
          <w:color w:val="000000"/>
        </w:rPr>
        <w:t>Factores y resultados unitarios de la verificación EF 3.1.</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108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Flujo</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Compartimento y subcompartimento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Categoría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Factor Python</w:t>
            </w:r>
          </w:p>
        </w:tc>
        <w:tc>
          <w:tcPr>
            <w:tcW w:type="dxa" w:w="30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Observación en SimaPro</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Clasificación</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Explicación</w:t>
            </w:r>
          </w:p>
        </w:tc>
      </w:tr>
      <w:tr>
        <w:trPr>
          <w:cantSplit/>
        </w:trPr>
        <w:tc>
          <w:tcPr>
            <w:tcW w:type="dxa" w:w="108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CH₄ biogénico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27,0 kg CO₂-eq/kg CH₄</w:t>
            </w:r>
          </w:p>
        </w:tc>
        <w:tc>
          <w:tcPr>
            <w:tcW w:type="dxa" w:w="30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 kg CO₂-eq/kg CH₄; resultado: 27 kg CO₂-eq</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N₂O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273,0 kg CO₂-eq/kg N₂O</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 kg CO₂-eq/kg N₂O; resultado: 273 kg CO₂-eq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 resultado: 13,5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B</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Redondeo visible del resultado; el factor observado fue 13,47.</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 resultado: 0,092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 resultado: 4,26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 resultado: 0,389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Agua; agua dulce</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 resultado: 0,226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CO₂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1,0 kg CO₂-eq/kg CO₂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 kg CO₂-eq/kg CO₂;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CH₄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bl>
    <w:p>
      <w:pPr>
        <w:pStyle w:val="Notadetabla"/>
      </w:pPr>
      <w:r>
        <w:rPr>
          <w:rFonts w:ascii="Times New Roman" w:hAnsi="Times New Roman"/>
          <w:b/>
        </w:rPr>
        <w:t xml:space="preserve">Nota. </w:t>
      </w:r>
      <w:r>
        <w:rPr>
          <w:rFonts w:ascii="Times New Roman" w:hAnsi="Times New Roman"/>
        </w:rPr>
        <w:t>La clasificación A indica concordancia exacta o dentro de la precisión mostrada; B indica una diferencia explicable por precisión o redondeo. En CO₂ fósil y CH₄ fósil la clasificación se limita al factor inspeccionado porque no se ejecutó un proceso unitario independiente.</w:t>
      </w:r>
    </w:p>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