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pPr>
      <w:r>
        <w:rPr>
          <w:rFonts w:ascii="Times New Roman" w:hAnsi="Times New Roman"/>
          <w:b/>
        </w:rPr>
        <w:t>Universidad de Costa Rica</w:t>
      </w:r>
    </w:p>
    <w:p>
      <w:pPr>
        <w:pStyle w:val="Portadacentrada"/>
      </w:pPr>
      <w:r>
        <w:rPr>
          <w:rFonts w:ascii="Times New Roman" w:hAnsi="Times New Roman"/>
          <w:b/>
        </w:rPr>
        <w:t>Escuela de Ingeniería de Biosistemas</w:t>
      </w:r>
    </w:p>
    <w:p>
      <w:pPr>
        <w:pStyle w:val="Portadacentrada"/>
      </w:pPr>
      <w:r>
        <w:rPr>
          <w:rFonts w:ascii="Times New Roman" w:hAnsi="Times New Roman"/>
          <w:b/>
        </w:rPr>
        <w:t>Trabajo Final de Graduación</w:t>
      </w:r>
    </w:p>
    <w:p>
      <w:pPr>
        <w:spacing w:line="240" w:lineRule="auto" w:before="0" w:after="0"/>
        <w:ind w:left="100" w:firstLine="719"/>
        <w:jc w:val="both"/>
      </w:pPr>
    </w:p>
    <w:p>
      <w:pPr>
        <w:pStyle w:val="Títulointegral"/>
      </w:pPr>
      <w:r>
        <w:rPr>
          <w:rFonts w:ascii="Times New Roman" w:hAnsi="Times New Roman"/>
        </w:rPr>
        <w:t>Análisis de ciclo de vida de los desechos bovinos, sólidos y líquidos producidos en una lechería especializada en Turrialba, Costa Rica</w:t>
      </w:r>
    </w:p>
    <w:p>
      <w:pPr>
        <w:spacing w:line="240" w:lineRule="auto" w:before="0" w:after="0"/>
        <w:ind w:left="100" w:firstLine="719"/>
        <w:jc w:val="both"/>
      </w:pPr>
    </w:p>
    <w:p>
      <w:pPr>
        <w:pStyle w:val="Portadacentrada"/>
      </w:pPr>
      <w:r>
        <w:rPr>
          <w:rFonts w:ascii="Times New Roman" w:hAnsi="Times New Roman"/>
        </w:rPr>
        <w:t>Mateo Cerdas Barboza</w:t>
        <w:br/>
        <w:t>Carné B71946</w:t>
      </w:r>
    </w:p>
    <w:p>
      <w:pPr>
        <w:spacing w:line="240" w:lineRule="auto" w:before="0" w:after="0"/>
        <w:ind w:left="100" w:firstLine="719"/>
        <w:jc w:val="both"/>
      </w:pPr>
    </w:p>
    <w:p>
      <w:pPr>
        <w:pStyle w:val="Portadacentrada"/>
      </w:pPr>
      <w:r>
        <w:rPr>
          <w:rFonts w:ascii="Times New Roman" w:hAnsi="Times New Roman"/>
          <w:b/>
        </w:rPr>
        <w:t>PROVISIONAL M1–M2</w:t>
      </w:r>
    </w:p>
    <w:p>
      <w:pPr>
        <w:pStyle w:val="Portadacentrada"/>
      </w:pPr>
      <w:r>
        <w:rPr>
          <w:rFonts w:ascii="Times New Roman" w:hAnsi="Times New Roman"/>
          <w:i/>
        </w:rPr>
        <w:t>Documento integral de trabajo para revisión académica. La jornada M3 permanece pendiente.</w:t>
      </w:r>
    </w:p>
    <w:p>
      <w:pPr>
        <w:pStyle w:val="Portadacentrada"/>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documento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2009), el Departamento de Agricultura de los Estados Unidos (USDA)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L/m2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IPCC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kgCO2 eq/ton y 126,4 gPO4-3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10-8 kg de P eq para la eutrofización del agua dulce y 2,17 × 10-9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m2 de espacio funcional, distribuidos en tres secciones: precomposteo, camas y secado, con superficies de 15m2, 60m2 y 81m2, respectivamente. El suelo y las camas estuvieron hechos de cemento y mampostería (con bloques de 12x20x40 cm), respectivamente. La sección de precomposteo tuvo en total 10,3 m de largo, 0,64 m de ancho y una profundidad de 1,7 m, su volumen fue de 11,25 m3. Las camas tuvieron un largo total de 21,5 m y un ancho y profundidad de 1,62 m de 0,425 m, y estuvo dividida en 5 unidades. Siendo una de ellas de la mitad del ancho antes mencionado, el volumen total fue de 13,3 m3.</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Las campañas A y B se realizaron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Tabla 1 presenta la jerarquía de etapas utilizada en todo el documento integral.</w:t>
      </w:r>
    </w:p>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En M1 se analizaron, por cada sólido, dos muestras compuestas en Bioenergía y otras dos muestras compuestas físicamente independientes en el laboratorio externo: LASA para estiércol fresco y CIA para precompostado. En M2 se conservaron tres muestras compuestas por sólido; Bioenergía realizó tres réplicas gravimétricas por muestra y el remanente de esas mismas muestras fue analizado por LASA o CIA.</w:t>
      </w:r>
    </w:p>
    <w:p>
      <w:pPr>
        <w:spacing w:line="240" w:lineRule="auto" w:before="0" w:after="0"/>
        <w:ind w:left="100" w:firstLine="719"/>
        <w:jc w:val="both"/>
      </w:pPr>
      <w:r>
        <w:rPr>
          <w:rFonts w:ascii="Times New Roman" w:hAnsi="Times New Roman"/>
          <w:sz w:val="24"/>
        </w:rPr>
        <w:t>Bioenergía determinó húmedad y materia seca por gravimetría a 105 °C durante 16 h. El CIA determinó N y C del precompostado por Dumas sobre muestra seca o acondicionada a 80 °C durante 48 h. El porcentaje de N se combinó con la materia seca independiente de Bioenergía para construir el benchmark húmedo de A2; C y C/N permanecieron como caracterización descriptiva, sin conversión húmeda ni uso productivo.</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el mismo pipeline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spacing w:line="240" w:lineRule="auto" w:before="0" w:after="0"/>
        <w:ind w:left="100" w:firstLine="719"/>
        <w:jc w:val="both"/>
      </w:pPr>
      <w:r>
        <w:rPr>
          <w:rFonts w:ascii="Times New Roman" w:hAnsi="Times New Roman"/>
          <w:sz w:val="24"/>
        </w:rPr>
        <w:t>Antes de cada campaña líquida, la tanqueta se vació el jueves por la tarde y acumuló material hasta el lunes por la mañana. Durante ese intervalo de acumulación previo al muestreo continuaron las entradas y ocurrieron dos lavados; no fue una carga cerrada ni un ensayo de almacenamiento estático. Esta preparación de muestra no sustituyó la frecuencia operativa representativa de aproximadamente tres días.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Heading2"/>
      </w:pPr>
      <w:r>
        <w:rPr>
          <w:rFonts w:ascii="Times New Roman" w:hAnsi="Times New Roman"/>
          <w:color w:val="000000"/>
        </w:rPr>
        <w:t>4.4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un subbalance sujeto a 0 ≤ TAN ≤ N total.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benchmark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EMEP/EEA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ledger fue secuencial: A2 recibió el N total y el pool residual de TAN a la salida de A1. Por ello, aplicar factores en ambas etapas no duplicó matemáticamente los pools originales. FracGasMS permaneció exclusivamente como benchmark y no generó otra volatilización ni alimentó EF4. Las duraciones específicas introducen incertidumbre de representatividad temporal y de transferencia de los proxies,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proxy para CH₄ y N₂O directo; Komakech et al. (2016), como proxy experimental aprobado para NH₃; y EMEP/EEA de almacenamiento sólido, como proxy metodológico aprobado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4.4.1 Metano de las etapas de manejo</w:t>
      </w:r>
    </w:p>
    <w:p>
      <w:pPr>
        <w:ind w:left="0" w:firstLine="0"/>
        <w:jc w:val="center"/>
      </w:pPr>
      <w:r>
        <w:rPr>
          <w:rFonts w:ascii="Cambria Math" w:hAnsi="Cambria Math"/>
        </w:rPr>
        <w:t>m_CH₄ = m_manejada × VS_húmeda × B₀ × 0,67 × (MCF/100) × AWMS    (1)</w:t>
      </w:r>
    </w:p>
    <w:p>
      <w:pPr>
        <w:spacing w:line="240" w:lineRule="auto" w:before="0" w:after="0"/>
        <w:ind w:left="100" w:firstLine="719"/>
        <w:jc w:val="both"/>
      </w:pPr>
      <w:r>
        <w:rPr>
          <w:rFonts w:ascii="Times New Roman" w:hAnsi="Times New Roman"/>
          <w:sz w:val="24"/>
        </w:rPr>
        <w:t>m_CH₄ es la emisión de metano de la etapa; m_manejada es la masa húmeda manejada; VS_húmeda es la fracción de sólidos volátiles en base húmeda; B₀ es la capacidad máxima de producción de metano; MCF es el factor de conversión de metano y AWMS es la fracción manejada por el sistema.</w:t>
      </w:r>
    </w:p>
    <w:p>
      <w:pPr>
        <w:pStyle w:val="Heading3"/>
      </w:pPr>
      <w:r>
        <w:rPr>
          <w:rFonts w:ascii="Times New Roman" w:hAnsi="Times New Roman"/>
          <w:color w:val="000000"/>
        </w:rPr>
        <w:t>4.4.2 Balance secuencial de N total y TAN</w:t>
      </w:r>
    </w:p>
    <w:p>
      <w:pPr>
        <w:ind w:left="0" w:firstLine="0"/>
        <w:jc w:val="center"/>
      </w:pPr>
      <w:r>
        <w:rPr>
          <w:rFonts w:ascii="Cambria Math" w:hAnsi="Cambria Math"/>
        </w:rPr>
        <w:t>TAN_fresco = 0,60 × N_total,fresco    (2)</w:t>
      </w:r>
    </w:p>
    <w:p>
      <w:pPr>
        <w:spacing w:line="240" w:lineRule="auto" w:before="0" w:after="0"/>
        <w:ind w:left="100" w:firstLine="719"/>
        <w:jc w:val="both"/>
      </w:pPr>
      <w:r>
        <w:rPr>
          <w:rFonts w:ascii="Times New Roman" w:hAnsi="Times New Roman"/>
          <w:sz w:val="24"/>
        </w:rPr>
        <w:t>TAN_fresco es el nitrógeno amoniacal total en la frontera fresca y N_total,fresco es el nitrógeno total del estiércol fresco.</w:t>
      </w:r>
    </w:p>
    <w:p>
      <w:pPr>
        <w:ind w:left="0" w:firstLine="0"/>
        <w:jc w:val="center"/>
      </w:pPr>
      <w:r>
        <w:rPr>
          <w:rFonts w:ascii="Cambria Math" w:hAnsi="Cambria Math"/>
        </w:rPr>
        <w:t>TAN_disponible = TAN_entrada + N_mineralizado    (3)</w:t>
      </w:r>
    </w:p>
    <w:p>
      <w:pPr>
        <w:spacing w:line="240" w:lineRule="auto" w:before="0" w:after="0"/>
        <w:ind w:left="100" w:firstLine="719"/>
        <w:jc w:val="both"/>
      </w:pPr>
      <w:r>
        <w:rPr>
          <w:rFonts w:ascii="Times New Roman" w:hAnsi="Times New Roman"/>
          <w:sz w:val="24"/>
        </w:rPr>
        <w:t>La mineralización se aplica donde corresponde antes de estimar las pérdidas EMEP/EEA sobre el TAN disponible.</w:t>
      </w:r>
    </w:p>
    <w:p>
      <w:pPr>
        <w:ind w:left="0" w:firstLine="0"/>
        <w:jc w:val="center"/>
      </w:pPr>
      <w:r>
        <w:rPr>
          <w:rFonts w:ascii="Cambria Math" w:hAnsi="Cambria Math"/>
        </w:rPr>
        <w:t>N_j = TAN_disponible × f_j,  j ∈ {NH₃-N, NO-N, N₂-N}    (4)</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el proxy experimental aprobado de Komakech et al. (2016), aplicado a la masa húmeda inferida de residuo orgánico que ingresa a la etapa, mientras NO-N y N₂-N conservan los proxies sólidos EMEP/EEA aprobados provisionalmente.</w:t>
      </w:r>
    </w:p>
    <w:p>
      <w:pPr>
        <w:ind w:left="0" w:firstLine="0"/>
        <w:jc w:val="center"/>
      </w:pPr>
      <w:r>
        <w:rPr>
          <w:rFonts w:ascii="Cambria Math" w:hAnsi="Cambria Math"/>
        </w:rPr>
        <w:t>N_N₂O–N,directo = N_total,entrada × EF₃    (5)</w:t>
      </w:r>
    </w:p>
    <w:p>
      <w:pPr>
        <w:ind w:left="0" w:firstLine="0"/>
        <w:jc w:val="center"/>
      </w:pPr>
      <w:r>
        <w:rPr>
          <w:rFonts w:ascii="Cambria Math" w:hAnsi="Cambria Math"/>
        </w:rPr>
        <w:t>m_N₂O,directo = N_N₂O–N,directo × 44/28    (6)</w:t>
      </w:r>
    </w:p>
    <w:p>
      <w:pPr>
        <w:ind w:left="0" w:firstLine="0"/>
        <w:jc w:val="center"/>
      </w:pPr>
      <w:r>
        <w:rPr>
          <w:rFonts w:ascii="Cambria Math" w:hAnsi="Cambria Math"/>
        </w:rPr>
        <w:t>N_total,salida = N_total,entrada − N_NH₃ − N_NOx − N_N₂ − N_N₂O–N,directo − N_pérdida,hídrica    (7)</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ind w:left="0" w:firstLine="0"/>
        <w:jc w:val="center"/>
      </w:pPr>
      <w:r>
        <w:rPr>
          <w:rFonts w:ascii="Cambria Math" w:hAnsi="Cambria Math"/>
        </w:rPr>
        <w:t>N_precursor,vol = N_NH₃ + N_NOx    (8)</w:t>
      </w:r>
    </w:p>
    <w:p>
      <w:pPr>
        <w:ind w:left="0" w:firstLine="0"/>
        <w:jc w:val="center"/>
      </w:pPr>
      <w:r>
        <w:rPr>
          <w:rFonts w:ascii="Cambria Math" w:hAnsi="Cambria Math"/>
        </w:rPr>
        <w:t>m_N₂O,ind,vol = N_precursor,vol × EF₄ × 44/28    (9)</w:t>
      </w:r>
    </w:p>
    <w:p>
      <w:pPr>
        <w:pStyle w:val="Heading3"/>
      </w:pPr>
      <w:r>
        <w:rPr>
          <w:rFonts w:ascii="Times New Roman" w:hAnsi="Times New Roman"/>
          <w:color w:val="000000"/>
        </w:rPr>
        <w:t>4.4.3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ind w:left="0" w:firstLine="0"/>
        <w:jc w:val="center"/>
      </w:pPr>
      <w:r>
        <w:rPr>
          <w:rFonts w:ascii="Cambria Math" w:hAnsi="Cambria Math"/>
        </w:rPr>
        <w:t>N_drenaje,A1 = N_total,A1 × FracLeachMS_A1    (10)</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ind w:left="0" w:firstLine="0"/>
        <w:jc w:val="center"/>
      </w:pPr>
      <w:r>
        <w:rPr>
          <w:rFonts w:ascii="Cambria Math" w:hAnsi="Cambria Math"/>
        </w:rPr>
        <w:t>N_NH₃,aplic = TAN_aplicado × f_NH₃;  N_NOx,aplic = (N_aplicado × f_NO₂) × 14/46    (11)</w:t>
      </w:r>
    </w:p>
    <w:p>
      <w:pPr>
        <w:ind w:left="0" w:firstLine="0"/>
        <w:jc w:val="center"/>
      </w:pPr>
      <w:r>
        <w:rPr>
          <w:rFonts w:ascii="Cambria Math" w:hAnsi="Cambria Math"/>
        </w:rPr>
        <w:t>m_N₂O,directo,suelo = N_aplicado × EF₁ × 44/28    (12)</w:t>
      </w:r>
    </w:p>
    <w:p>
      <w:pPr>
        <w:ind w:left="0" w:firstLine="0"/>
        <w:jc w:val="center"/>
      </w:pPr>
      <w:r>
        <w:rPr>
          <w:rFonts w:ascii="Cambria Math" w:hAnsi="Cambria Math"/>
        </w:rPr>
        <w:t>N_lix,esc = N_entrada,suelo × FracLEACH_suelo    (13)</w:t>
      </w:r>
    </w:p>
    <w:p>
      <w:pPr>
        <w:ind w:left="0" w:firstLine="0"/>
        <w:jc w:val="center"/>
      </w:pPr>
      <w:r>
        <w:rPr>
          <w:rFonts w:ascii="Cambria Math" w:hAnsi="Cambria Math"/>
        </w:rPr>
        <w:t>m_NO₃⁻ = N_lix,esc × 62/14    (14)</w:t>
      </w:r>
    </w:p>
    <w:p>
      <w:pPr>
        <w:ind w:left="0" w:firstLine="0"/>
        <w:jc w:val="center"/>
      </w:pPr>
      <w:r>
        <w:rPr>
          <w:rFonts w:ascii="Cambria Math" w:hAnsi="Cambria Math"/>
        </w:rPr>
        <w:t>m_N₂O,ind,lix = N_lix,esc × EF₅ × 44/28    (15)</w:t>
      </w:r>
    </w:p>
    <w:p>
      <w:pPr>
        <w:pStyle w:val="Heading2"/>
      </w:pPr>
      <w:r>
        <w:rPr>
          <w:rFonts w:ascii="Times New Roman" w:hAnsi="Times New Roman"/>
          <w:color w:val="000000"/>
        </w:rPr>
        <w:t>4.5 Evaluación de impactos y consumos operativos</w:t>
      </w:r>
    </w:p>
    <w:p>
      <w:pPr>
        <w:spacing w:line="240" w:lineRule="auto" w:before="0" w:after="0"/>
        <w:ind w:left="100" w:firstLine="719"/>
        <w:jc w:val="both"/>
      </w:pPr>
      <w:r>
        <w:rPr>
          <w:rFonts w:ascii="Times New Roman" w:hAnsi="Times New Roman"/>
          <w:sz w:val="24"/>
        </w:rPr>
        <w:t>Environmental Footprint 3.1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proxy IPCC conservador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del proxy metodológico se trataron como conceptos distintos.</w:t>
      </w:r>
    </w:p>
    <w:p>
      <w:pPr>
        <w:ind w:left="0" w:firstLine="0"/>
        <w:jc w:val="center"/>
      </w:pPr>
      <w:r>
        <w:rPr>
          <w:rFonts w:ascii="Cambria Math" w:hAnsi="Cambria Math"/>
        </w:rPr>
        <w:t>I_c = Σᵢ (m_i × CF_i,c)    (16)</w:t>
      </w:r>
    </w:p>
    <w:p>
      <w:pPr>
        <w:spacing w:line="240" w:lineRule="auto" w:before="0" w:after="0"/>
        <w:ind w:left="100" w:firstLine="719"/>
        <w:jc w:val="both"/>
      </w:pPr>
      <w:r>
        <w:rPr>
          <w:rFonts w:ascii="Times New Roman" w:hAnsi="Times New Roman"/>
          <w:sz w:val="24"/>
        </w:rPr>
        <w:t>I_c es el indicador de la categoría c, m_i es la masa del flujo elemental i y CF_i,c es su factor de caracterización en esa categoría.</w:t>
      </w:r>
    </w:p>
    <w:p>
      <w:pPr>
        <w:ind w:left="0" w:firstLine="0"/>
        <w:jc w:val="center"/>
      </w:pPr>
      <w:r>
        <w:rPr>
          <w:rFonts w:ascii="Cambria Math" w:hAnsi="Cambria Math"/>
        </w:rPr>
        <w:t>CC_total = CC_manejo + CC_electricidad + CC_diésel    (17)</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718151"/>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718151"/>
                    </a:xfrm>
                    <a:prstGeom prst="rect"/>
                  </pic:spPr>
                </pic:pic>
              </a:graphicData>
            </a:graphic>
          </wp:inline>
        </w:drawing>
      </w:r>
    </w:p>
    <w:p>
      <w:pPr>
        <w:spacing w:line="240" w:lineRule="auto" w:before="0" w:after="0"/>
        <w:ind w:left="100" w:firstLine="719"/>
        <w:jc w:val="both"/>
      </w:pPr>
      <w:r>
        <w:rPr>
          <w:rFonts w:ascii="Times New Roman" w:hAnsi="Times New Roman"/>
          <w:sz w:val="24"/>
        </w:rPr>
        <w:t>La Tabla 3 documenta los factores visibles principales y la Figura 2 muestra la escala operacional de los flujos.</w:t>
      </w:r>
    </w:p>
    <w:p>
      <w:pPr>
        <w:pStyle w:val="Heading2"/>
      </w:pPr>
      <w:r>
        <w:rPr>
          <w:rFonts w:ascii="Times New Roman" w:hAnsi="Times New Roman"/>
          <w:color w:val="000000"/>
        </w:rPr>
        <w:t>4.6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húmedad y 13,6 % de materia seca. El material precompostado presentó 79,33 % de húmedad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Heading2"/>
      </w:pPr>
      <w:r>
        <w:rPr>
          <w:rFonts w:ascii="Times New Roman" w:hAnsi="Times New Roman"/>
          <w:color w:val="000000"/>
        </w:rPr>
        <w:t>5.2 Emisiones estimadas</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763926"/>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763926"/>
                    </a:xfrm>
                    <a:prstGeom prst="rect"/>
                  </pic:spPr>
                </pic:pic>
              </a:graphicData>
            </a:graphic>
          </wp:inline>
        </w:drawing>
      </w:r>
    </w:p>
    <w:p>
      <w:pPr>
        <w:spacing w:line="240" w:lineRule="auto" w:before="0" w:after="0"/>
        <w:ind w:left="100" w:firstLine="719"/>
        <w:jc w:val="both"/>
      </w:pPr>
      <w:r>
        <w:rPr>
          <w:rFonts w:ascii="Times New Roman" w:hAnsi="Times New Roman"/>
          <w:sz w:val="24"/>
        </w:rPr>
        <w:t>La Tabla 4 resume las emisiones del manejo y la Figura 4 muestra la distribución de CH₄. Las contribuciones operativas de electricidad y diésel se incorporaron en el indicador de cambio climático, manteniendo separada su trazabilidad.</w:t>
      </w:r>
    </w:p>
    <w:p>
      <w:pPr>
        <w:pStyle w:val="Heading2"/>
      </w:pPr>
      <w:r>
        <w:rPr>
          <w:rFonts w:ascii="Times New Roman" w:hAnsi="Times New Roman"/>
          <w:color w:val="000000"/>
        </w:rPr>
        <w:t>5.3 Impactos por etapa y por escenario</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2630032"/>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2630032"/>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2630032"/>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2630032"/>
                    </a:xfrm>
                    <a:prstGeom prst="rect"/>
                  </pic:spPr>
                </pic:pic>
              </a:graphicData>
            </a:graphic>
          </wp:inline>
        </w:drawing>
      </w:r>
    </w:p>
    <w:p>
      <w:pPr>
        <w:spacing w:line="240" w:lineRule="auto" w:before="0" w:after="0"/>
        <w:ind w:left="100" w:firstLine="719"/>
        <w:jc w:val="both"/>
      </w:pPr>
      <w:r>
        <w:rPr>
          <w:rFonts w:ascii="Times New Roman" w:hAnsi="Times New Roman"/>
          <w:sz w:val="24"/>
        </w:rPr>
        <w:t>La Tabla 5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spacing w:line="240" w:lineRule="auto" w:before="0" w:after="0"/>
        <w:ind w:left="100" w:firstLine="719"/>
        <w:jc w:val="both"/>
      </w:pPr>
      <w:r>
        <w:rPr>
          <w:rFonts w:ascii="Times New Roman" w:hAnsi="Times New Roman"/>
          <w:sz w:val="24"/>
        </w:rPr>
        <w:t>La Tabla 6 presenta la magnitud anual y la Tabla 7 muestra los indicadores por unidad funcional. La Tabla 8 y la Figura 7 presentan la comparación entre escenarios bajo la misma base funcional.</w:t>
      </w:r>
    </w:p>
    <w:p>
      <w:pPr>
        <w:pStyle w:val="Heading2"/>
      </w:pPr>
      <w:r>
        <w:rPr>
          <w:rFonts w:ascii="Times New Roman" w:hAnsi="Times New Roman"/>
          <w:color w:val="000000"/>
        </w:rPr>
        <w:t>5.4 Contraste bibliográfico de A2</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t>La Tabla 9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húmedad,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 proxy experimental aprobado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10 documenta esta prueba de QA;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los proxies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proxy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t>La Tabla 11 muestra cómo la metodología, los resultados y las conclusiones provisionales responden a los objetivos invariantes del estudio.</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ind w:left="0" w:firstLine="0"/>
      <w:jc w:val="center"/>
    </w:pPr>
    <w:rPr>
      <w:rFonts w:ascii="Times New Roman" w:hAnsi="Times New Roman"/>
      <w:sz w:val="24"/>
    </w:rPr>
  </w:style>
  <w:style w:type="paragraph" w:customStyle="1" w:styleId="Títulointegral">
    <w:name w:val="Título integral"/>
    <w:basedOn w:val="Portadacentrada"/>
    <w:pPr>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