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mediciones, flujos y ecuaciones. Environmental Footprint 3.1 se aplicó a cambio climático, eutrofización terrestre y eutrofización marina de las emisiones directas.</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la lechería de la Sede del Atlántico de la Universidad de Costa Rica, ubicada en Turrialba. La evaluación se concentró en el manejo del estiércol fresco, la fracción sólida precompostada, las aguas verdes y los purines generados durante las actividades de ordeño y lavado de las áreas operativas.</w:t>
      </w:r>
    </w:p>
    <w:p>
      <w:pPr>
        <w:spacing w:line="240" w:lineRule="auto" w:before="0" w:after="0"/>
        <w:ind w:left="100" w:firstLine="719"/>
        <w:jc w:val="both"/>
      </w:pPr>
      <w:r>
        <w:rPr>
          <w:rFonts w:ascii="Times New Roman" w:hAnsi="Times New Roman"/>
          <w:sz w:val="24"/>
        </w:rPr>
        <w:t>Sánchez-Romero y Brenes-Gamboa (2026) estudiaron esta misma lechería y aportaron la base documental de los parámetros operativos utilizados para cuantificar la generación de residuos durante el ordeño. La información de laboratorio del presente TFG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manejado. Esta unidad permitió expresar y comparar los impactos de los escenarios bajo una misma base funcional.</w:t>
      </w:r>
    </w:p>
    <w:p>
      <w:pPr>
        <w:spacing w:line="240" w:lineRule="auto" w:before="0" w:after="0"/>
        <w:ind w:left="100" w:firstLine="719"/>
        <w:jc w:val="both"/>
      </w:pPr>
      <w:r>
        <w:rPr>
          <w:rFonts w:ascii="Times New Roman" w:hAnsi="Times New Roman"/>
          <w:sz w:val="24"/>
        </w:rPr>
        <w:t>El flujo anual común asociado con la unidad funcional fue 26 278,725181 kg de estiércol fresco/año. Los flujos y emisiones anuales describen la magnitud operacional del sistema, mientras que los indicadores expresados por kilogramo de estiércol fresco corresponden a la normalización respecto a la unidad funcional. La unidad funcional no se definió como 1 kg/año.</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Ambos escenarios se definieron como alternativas de manejo para el mismo flujo anual de referencia de 26 278,725181 kg de estiércol fresco/año.</w:t>
      </w:r>
    </w:p>
    <w:p>
      <w:pPr>
        <w:spacing w:line="240" w:lineRule="auto" w:before="0" w:after="0"/>
        <w:ind w:left="100" w:firstLine="719"/>
        <w:jc w:val="both"/>
      </w:pPr>
      <w:r>
        <w:rPr>
          <w:rFonts w:ascii="Times New Roman" w:hAnsi="Times New Roman"/>
          <w:sz w:val="24"/>
        </w:rPr>
        <w:t>El Escenario A representó la operación habitual observada. El estiércol recogido con pala, equivalente a 66,69 % del depósito estimado, entró a A1: Precomposteo y después continuó hacia A2: Lombricompostaje. El 33,31 % restante permaneció en el piso, se incorporó al agua de lavado y formó las aguas verdes que llegaron mediante el drenaje o canal a la tanqueta. A3: Almacenamiento de aguas verdes representó su almacenamiento y A4: Aplicación de aguas verdes en campos de pastoreo, su aplicación.</w:t>
      </w:r>
    </w:p>
    <w:p>
      <w:pPr>
        <w:spacing w:line="240" w:lineRule="auto" w:before="0" w:after="0"/>
        <w:ind w:left="100" w:firstLine="719"/>
        <w:jc w:val="both"/>
      </w:pPr>
      <w:r>
        <w:rPr>
          <w:rFonts w:ascii="Times New Roman" w:hAnsi="Times New Roman"/>
          <w:sz w:val="24"/>
        </w:rPr>
        <w:t>El Escenario B fue la alternativa comparativa del ACV, pero no una condición puramente hipotética ni la operación habitual permanente. Para materializarlo temporalmente se suspendió la desviación normal del sólido hacia precomposteo y lombricompostaje, el estiércol paleado se dirigió a la tanqueta y el remanente del piso se incorporó mediante lavado. Así se generaron, acumularon, observaron y muestrearon los purines representativos. El 100 % del estiércol teóricamente depositado, equivalente a 26 278,725181 kg/año, se representó en B1: Almacenamiento de purines y B2: Aplicación de purines en campo de pastoreo.</w:t>
      </w:r>
    </w:p>
    <w:p>
      <w:pPr>
        <w:spacing w:line="240" w:lineRule="auto" w:before="0" w:after="0"/>
        <w:ind w:left="100" w:firstLine="719"/>
        <w:jc w:val="both"/>
      </w:pPr>
      <w:r>
        <w:rPr>
          <w:rFonts w:ascii="Times New Roman" w:hAnsi="Times New Roman"/>
          <w:sz w:val="24"/>
        </w:rPr>
        <w:t>Las campañas de aguas verdes y purines ocurrieron en momentos diferentes y utilizaron la misma tanqueta; no implicaron la coexistencia simultánea de ambos contenidos. La tanqueta cumplió la función de almacenamiento. El cañón VAIA, accionado por el tractor, cumplió la función distinta de aplicar los efluentes al campo en A4 o B2.</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Su duración observada fue aproximadamente de 21 días a cerca de un mes, por lo que se describe como tres a cuatro semanas sin atribuir una exactitud medida a 28 días. A2: Lombricompostaje comienza cuando el material que completó A1 ingresa a las camas y su operación regular dura aproximadamente 13 semanas. Vargas Sarmiento (2023, sección 5.2.2.1, p. 14; sección 6.1.3, p. 25) documentó en el mismo lombricario 13 semanas desde la siembra de las lombrices y para procesar toda la boñiga.</w:t>
      </w:r>
    </w:p>
    <w:p>
      <w:pPr>
        <w:spacing w:line="240" w:lineRule="auto" w:before="0" w:after="0"/>
        <w:ind w:left="100" w:firstLine="719"/>
        <w:jc w:val="both"/>
      </w:pPr>
      <w:r>
        <w:rPr>
          <w:rFonts w:ascii="Times New Roman" w:hAnsi="Times New Roman"/>
          <w:sz w:val="24"/>
        </w:rPr>
        <w:t>Las duraciones de A1 y A2 son consecutivas y contextuales; no se sumaron para atribuirlas a una sola etapa ni se utilizaron para escalar factores IPCC, EMEP/EEA o Komakech. Las muestras sólidas del presente TFG correspondieron a estiércol fresco y estiércol precompostado listo para alimentar las lombrices. No se muestreó el lombricompost terminado y las 13 semanas no describen la edad del material precompostado analizado.</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el lavado y el arrastre de residuos. Para estimar las emisiones de manejo en esta etapa se utilizó como masa de actividad únicamente el estiércol remanente sometido al sistema, junto con la caracterización química del estiércol fresco y los factores del sistema IPCC seleccionado; el agua de lavado presente físicamente no se sumó como masa de estiércol en esas ecuaciones.</w:t>
      </w:r>
    </w:p>
    <w:p>
      <w:pPr>
        <w:spacing w:line="240" w:lineRule="auto" w:before="0" w:after="0"/>
        <w:ind w:left="100" w:firstLine="719"/>
        <w:jc w:val="both"/>
      </w:pPr>
      <w:r>
        <w:rPr>
          <w:rFonts w:ascii="Times New Roman" w:hAnsi="Times New Roman"/>
          <w:sz w:val="24"/>
        </w:rPr>
        <w:t>A4: Aplicación de aguas verdes en campos de pastoreo corresponde a la etapa subsecuente de aplicación del efluente al suelo. Su flujo aplicado integró el agua de lavado y el estiércol remanente incorporado a las aguas verdes, y se empleó la caracterización química específica de las aguas verdes en las ecuaciones asociadas con suelos gestionados.</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físicamente al almacenamiento previo a la aplicación del efluente. Para estimar las emisiones de manejo se utilizó como masa de actividad la totalidad del estiércol teóricamente depositado, junto con la caracterización química del estiércol fresco y los factores del sistema IPCC seleccionado. Aunque el almacenamiento contiene agua de lavado, ese volumen no se incorporó como masa de estiércol en las ecuaciones de manejo.</w:t>
      </w:r>
    </w:p>
    <w:p>
      <w:pPr>
        <w:spacing w:line="240" w:lineRule="auto" w:before="0" w:after="0"/>
        <w:ind w:left="100" w:firstLine="719"/>
        <w:jc w:val="both"/>
      </w:pPr>
      <w:r>
        <w:rPr>
          <w:rFonts w:ascii="Times New Roman" w:hAnsi="Times New Roman"/>
          <w:sz w:val="24"/>
        </w:rPr>
        <w:t>B2: Aplicación de purines en campo de pastoreo corresponde a la etapa subsecuente de aplicación del efluente al suelo. El flujo aplicado integró el agua de lavado y la totalidad del estiércol incorporado al purín, y se utilizó la caracterización química específica del purín en las ecuaciones asociadas con suelos gestionados.</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húmedad, materia seca, cenizas, sólidos volátiles y nitrógeno total. El estiércol precompostado caracterizó el material obtenido tras A1 y disponible al ingreso de A2; no representa el producto final del lombricompostaje.</w:t>
      </w:r>
    </w:p>
    <w:p>
      <w:pPr>
        <w:spacing w:line="240" w:lineRule="auto" w:before="0" w:after="0"/>
        <w:ind w:left="100" w:firstLine="719"/>
        <w:jc w:val="both"/>
      </w:pPr>
      <w:r>
        <w:rPr>
          <w:rFonts w:ascii="Times New Roman" w:hAnsi="Times New Roman"/>
          <w:sz w:val="24"/>
        </w:rPr>
        <w:t>El agua de lavado procede principalmente de lluvia captada y almacenada en un reservorio existente. La bomba impulsa esta agua para lavar el piso; el agua se incorpora a las aguas verdes del escenario A o al purín del escenario B. No se modelaron agua potable de red ni cargas municipales de potabilización y distribución. La captación, el reservorio y su infraestructura existente permanecieron fuera de la frontera.</w:t>
      </w:r>
    </w:p>
    <w:p>
      <w:pPr>
        <w:spacing w:line="240" w:lineRule="auto" w:before="0" w:after="0"/>
        <w:ind w:left="100" w:firstLine="719"/>
        <w:jc w:val="both"/>
      </w:pPr>
      <w:r>
        <w:rPr>
          <w:rFonts w:ascii="Times New Roman" w:hAnsi="Times New Roman"/>
          <w:sz w:val="24"/>
        </w:rPr>
        <w:t>Para cada flujo se organizaron las variables necesarias para estimar CH₄, N₂O, NH₃, NOx y NO₃⁻, junto con electricidad y diésel. Los resultados de la caracterización fisicoquímica se resumen en la Tabla 1.</w:t>
      </w:r>
    </w:p>
    <w:p>
      <w:pPr>
        <w:spacing w:line="240" w:lineRule="auto" w:before="0" w:after="0"/>
        <w:ind w:left="100" w:firstLine="719"/>
        <w:jc w:val="both"/>
      </w:pPr>
      <w:r>
        <w:rPr>
          <w:rFonts w:ascii="Times New Roman" w:hAnsi="Times New Roman"/>
          <w:sz w:val="24"/>
        </w:rPr>
        <w:t>Los parámetros operativos publicados para la misma lechería fueron: peso vivo promedio de 396,6 kg/animal, población media de 18 vacas en ordeño, permanencia aproximada de 3,5 h/día, recolección de 2,7 kg de estiércol fresco/animal, total recolectado de 17 525,1 kg/año y consumo de agua de lavado de 686,5 L/día (Sánchez-Romero y Brenes-Gamboa, 2026). El consumo anual derivado fue 250 572,5 L/año.</w:t>
      </w:r>
    </w:p>
    <w:p>
      <w:pPr>
        <w:spacing w:line="240" w:lineRule="auto" w:before="0" w:after="0"/>
        <w:ind w:left="100" w:firstLine="719"/>
        <w:jc w:val="both"/>
      </w:pPr>
      <w:r>
        <w:rPr>
          <w:rFonts w:ascii="Times New Roman" w:hAnsi="Times New Roman"/>
          <w:sz w:val="24"/>
        </w:rPr>
        <w:t>El valor de 17 525,1 kg/año representa el estiércol efectivamente recolectado durante las actividades de ordeño estudiadas; no corresponde a la excreción fisiológica total diaria de los animales.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10"/>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De acuerdo con el diseño previsto en el documento maestro, el muestreo se orientó a caracterizar los materiales que intervienen en las etapas del sistema evaluado mediante jornadas distribuidas durante el periodo de estudio.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En M1 se obtuvieron, para cada material sólido, dos muestras compuestas analizadas por Bioenergía y otras dos muestras compuestas independientes destinadas al laboratorio externo: LASA para el estiércol fresco y CIA para el precompostado. En M2 se obtuvieron tres muestras compuestas por material sólido; Bioenergía efectuó tres réplicas gravimétricas de cada muestra y el remanente de esas mismas muestras se remitió a LASA o CIA. Por tanto, los conjuntos físicos de M1 fueron disjuntos entre laboratorios, mientras que en M2 la identidad de las muestras fue compartida.</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no se trataron como observaciones temporales independientes y M1 y M2 recibieron igual peso temporal.</w:t>
      </w:r>
    </w:p>
    <w:p>
      <w:pPr>
        <w:spacing w:line="240" w:lineRule="auto" w:before="0" w:after="0"/>
        <w:ind w:left="100" w:firstLine="719"/>
        <w:jc w:val="both"/>
      </w:pPr>
      <w:r>
        <w:rPr>
          <w:rFonts w:ascii="Times New Roman" w:hAnsi="Times New Roman"/>
          <w:sz w:val="24"/>
        </w:rPr>
        <w:t>Esta versión metodológica corresponde a la integración provisional de M1 y M2. La jornada M3 permanece pendiente y su incorporación actualizará la caracterización final.</w:t>
      </w:r>
    </w:p>
    <w:p>
      <w:pPr>
        <w:spacing w:line="240" w:lineRule="auto" w:before="0" w:after="0"/>
        <w:ind w:left="100" w:firstLine="719"/>
        <w:jc w:val="both"/>
      </w:pPr>
      <w:r>
        <w:rPr>
          <w:rFonts w:ascii="Times New Roman" w:hAnsi="Times New Roman"/>
          <w:sz w:val="24"/>
        </w:rPr>
        <w:t>Antes de cada campaña de muestreo líquido, la tanqueta se vació el jueves por la tarde y se dejó acumular material hasta el lunes por la mañana. Durante ese intervalo de acumulación previo al muestreo continuaron entrando materiales y ocurrieron dos lavados; por tanto, no se trató de una carga cerrada ni de un ensayo de almacenamiento estático. Las campañas de aguas verdes y purines se realizaron por separado.</w:t>
      </w:r>
    </w:p>
    <w:p>
      <w:pPr>
        <w:spacing w:line="240" w:lineRule="auto" w:before="0" w:after="0"/>
        <w:ind w:left="100" w:firstLine="719"/>
        <w:jc w:val="both"/>
      </w:pPr>
      <w:r>
        <w:rPr>
          <w:rFonts w:ascii="Times New Roman" w:hAnsi="Times New Roman"/>
          <w:sz w:val="24"/>
        </w:rPr>
        <w:t>Las muestras sólidas permitieron determinar contenido de agua,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húmedad se estimó como la fracción de agua removida durante el secado. Estas determinaciones gravimétricas fueron realizadas por Bioenergía a 105 °C durante 16 h y son independientes del acondicionamiento aplicado por el CIA para el análisis elemental.</w:t>
      </w:r>
    </w:p>
    <w:p>
      <w:pPr>
        <w:ind w:left="0" w:firstLine="0"/>
        <w:jc w:val="center"/>
      </w:pPr>
      <w:r>
        <w:rPr>
          <w:rFonts w:ascii="Cambria Math" w:hAnsi="Cambria Math"/>
          <w:sz w:val="24"/>
        </w:rPr>
        <w:t>MS(\%) = \frac{m_{\mathrm{seca}}}{m_{\mathrm{fresca}}} \times 100</w:t>
      </w:r>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ind w:left="0" w:firstLine="0"/>
        <w:jc w:val="center"/>
      </w:pPr>
      <w:r>
        <w:rPr>
          <w:rFonts w:ascii="Cambria Math" w:hAnsi="Cambria Math"/>
          <w:sz w:val="24"/>
        </w:rPr>
        <w:t>Humedad(\%) = \frac{m_{\mathrm{fresca}} - m_{\mathrm{seca}}}{m_{\mathrm{fresca}}} \times 100</w:t>
      </w:r>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ind w:left="0" w:firstLine="0"/>
        <w:jc w:val="center"/>
      </w:pPr>
      <w:r>
        <w:rPr>
          <w:rFonts w:ascii="Cambria Math" w:hAnsi="Cambria Math"/>
          <w:sz w:val="24"/>
        </w:rPr>
        <w:t>Cenizas(\%) = \frac{m_{\mathrm{cenizas}}}{m_{\mathrm{seca}}} \times 100</w:t>
      </w:r>
    </w:p>
    <w:p>
      <w:pPr>
        <w:spacing w:line="240" w:lineRule="auto" w:before="0" w:after="0"/>
        <w:ind w:left="100" w:firstLine="719"/>
        <w:jc w:val="both"/>
      </w:pPr>
      <w:r>
        <w:rPr>
          <w:rFonts w:ascii="Times New Roman" w:hAnsi="Times New Roman"/>
          <w:sz w:val="24"/>
        </w:rPr>
        <w:t>Donde: m cenizas = masa remanente después de calcinación, g.</w:t>
      </w:r>
    </w:p>
    <w:p>
      <w:pPr>
        <w:ind w:left="0" w:firstLine="0"/>
        <w:jc w:val="center"/>
      </w:pPr>
      <w:r>
        <w:rPr>
          <w:rFonts w:ascii="Cambria Math" w:hAnsi="Cambria Math"/>
          <w:sz w:val="24"/>
        </w:rPr>
        <w:t>SV(\%) = \frac{m_{\mathrm{seca}} - m_{\mathrm{cenizas}}}{m_{\mathrm{seca}}} \times 100</w:t>
      </w:r>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se convirtió a fracción másica según la función metodológica de cada frontera. Para el estiércol fresco analizado por LASA mediante Kjeldahl, así como para aguas verdes y purines, se conservó el tratamiento directo sobre la muestra o alícuota analizada, sin multiplicar por materia seca.</w:t>
      </w:r>
    </w:p>
    <w:p>
      <w:pPr>
        <w:spacing w:line="240" w:lineRule="auto" w:before="0" w:after="0"/>
        <w:ind w:left="100" w:firstLine="719"/>
        <w:jc w:val="both"/>
      </w:pPr>
      <w:r>
        <w:rPr>
          <w:rFonts w:ascii="Times New Roman" w:hAnsi="Times New Roman"/>
          <w:sz w:val="24"/>
        </w:rPr>
        <w:t>En el precompostado, el CIA determinó N por Dumas sobre muestra seca o acondicionada a 80 °C durante 48 h. Este procedimiento fue distinto de la gravimetría de Bioenergía a 105 °C durante 16 h. El porcentaje integrado de N se convirtió a base húmeda con la materia seca gravimétrica exclusivamente para construir el benchmark experimental de A2. El acondicionamiento CIA no se utilizó para reconstruir húmedad ni se corrigieron posibles pérdidas de N durante esa preparación.</w:t>
      </w:r>
    </w:p>
    <w:p>
      <w:pPr>
        <w:spacing w:line="240" w:lineRule="auto" w:before="0" w:after="0"/>
        <w:ind w:left="100" w:firstLine="719"/>
        <w:jc w:val="both"/>
      </w:pPr>
      <w:r>
        <w:rPr>
          <w:rFonts w:ascii="Times New Roman" w:hAnsi="Times New Roman"/>
          <w:sz w:val="24"/>
        </w:rPr>
        <w:t>El benchmark experimental del precompostado no reinicializó el balance productivo de A2. El N total y el nitrógeno amoniacal total de entrada a A2 fueron los remanentes propagados desde A1. El carbono y la relación C/N se conservaron únicamente como caracterización descriptiva, sin conversión a base húmeda ni participación en el ACV.</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ind w:left="0" w:firstLine="0"/>
        <w:jc w:val="center"/>
      </w:pPr>
      <w:r>
        <w:rPr>
          <w:rFonts w:ascii="Cambria Math" w:hAnsi="Cambria Math"/>
          <w:sz w:val="24"/>
        </w:rPr>
        <w:t>n_{\mathrm{ex,fraction}} = \frac{n_{\mathrm{ex,pct}}}{100}</w:t>
      </w:r>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ind w:left="0" w:firstLine="0"/>
        <w:jc w:val="center"/>
      </w:pPr>
      <w:r>
        <w:rPr>
          <w:rFonts w:ascii="Cambria Math" w:hAnsi="Cambria Math"/>
          <w:sz w:val="24"/>
        </w:rPr>
        <w:t>N_{\mathrm{fraction,wet,A2}} = \frac{n_{\mathrm{ex,pct,A2}}}{100} \times \frac{MS_{\mathrm{A2}}}{100}</w:t>
      </w:r>
    </w:p>
    <w:p>
      <w:pPr>
        <w:spacing w:line="240" w:lineRule="auto" w:before="0" w:after="0"/>
        <w:ind w:left="100" w:firstLine="719"/>
        <w:jc w:val="both"/>
      </w:pPr>
      <w:r>
        <w:rPr>
          <w:rFonts w:ascii="Times New Roman" w:hAnsi="Times New Roman"/>
          <w:sz w:val="24"/>
        </w:rPr>
        <w:t>Donde: N fraction,wet,A2 = fracción de N del benchmark experimental, kg N/kg de precompostado húmedo; n ex,pct,A2 = concentración analítica integrada de N del material preparado/seco, %; MS A2 = materia seca gravimétrica integrada del TFG, % de la masa húmeda.</w:t>
      </w:r>
    </w:p>
    <w:p>
      <w:pPr>
        <w:ind w:left="0" w:firstLine="0"/>
        <w:jc w:val="center"/>
      </w:pPr>
      <w:r>
        <w:rPr>
          <w:rFonts w:ascii="Cambria Math" w:hAnsi="Cambria Math"/>
          <w:sz w:val="24"/>
        </w:rPr>
        <w:t>N_{\mathrm{total}} = m_{\mathrm{flujo}} \times n_{\mathrm{ex,fraction}}</w:t>
      </w:r>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ind w:left="0" w:firstLine="0"/>
        <w:jc w:val="center"/>
      </w:pPr>
      <w:r>
        <w:rPr>
          <w:rFonts w:ascii="Cambria Math" w:hAnsi="Cambria Math"/>
          <w:sz w:val="24"/>
        </w:rPr>
        <w:t>m_{\mathrm{cenizas,fresco}} = m_{\mathrm{MS,fresco}} \times f_{\mathrm{cenizas,fresco}}</w:t>
      </w:r>
    </w:p>
    <w:p>
      <w:pPr>
        <w:ind w:left="0" w:firstLine="0"/>
        <w:jc w:val="center"/>
      </w:pPr>
      <w:r>
        <w:rPr>
          <w:rFonts w:ascii="Cambria Math" w:hAnsi="Cambria Math"/>
          <w:sz w:val="24"/>
        </w:rPr>
        <w:t>m_{\mathrm{MS,precompostado}} = \frac{m_{\mathrm{cenizas,fresco}}}{f_{\mathrm{cenizas,precompostado}}}</w:t>
      </w:r>
    </w:p>
    <w:p>
      <w:pPr>
        <w:ind w:left="0" w:firstLine="0"/>
        <w:jc w:val="center"/>
      </w:pPr>
      <w:r>
        <w:rPr>
          <w:rFonts w:ascii="Cambria Math" w:hAnsi="Cambria Math"/>
          <w:sz w:val="24"/>
        </w:rPr>
        <w:t>F_{\mathrm{MS,remanente}} = \frac{m_{\mathrm{MS,precompostado}}}{m_{\mathrm{MS,fresco}}} = \frac{f_{\mathrm{cenizas,fresco}}}{f_{\mathrm{cenizas,precompostado}}}</w:t>
      </w:r>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ind w:left="0" w:firstLine="0"/>
        <w:jc w:val="center"/>
      </w:pPr>
      <w:r>
        <w:rPr>
          <w:rFonts w:ascii="Cambria Math" w:hAnsi="Cambria Math"/>
          <w:sz w:val="24"/>
        </w:rPr>
        <w:t>R_{j}=\frac{f_{\mathrm{MS,fresco},j}\,f_{\mathrm{cenizas,fresco},j}}{f_{\mathrm{MS,precompostado},j}\,f_{\mathrm{cenizas,precompostado},j}};\quad \widehat m_{\mathrm{húmeda,A2}}=m_{\mathrm{húmeda,A1}}\,\overline R</w:t>
      </w:r>
    </w:p>
    <w:p>
      <w:pPr>
        <w:spacing w:line="240" w:lineRule="auto" w:before="0" w:after="0"/>
        <w:ind w:left="100" w:firstLine="719"/>
        <w:jc w:val="both"/>
      </w:pPr>
      <w:r>
        <w:rPr>
          <w:rFonts w:ascii="Times New Roman" w:hAnsi="Times New Roman"/>
          <w:sz w:val="24"/>
        </w:rPr>
        <w:t>Donde: R j = razón estimada de masas húmedas en la jornada j, kg/kg; las fracciones de materia seca se refieren a masa húmeda y las de cenizas a materia seca; la barra representa la media de los factores de las jornadas elegibles con igual peso temporal. El sombrero identifica una masa inferida, no pesada a la salida de A1.</w:t>
      </w:r>
    </w:p>
    <w:p>
      <w:pPr>
        <w:spacing w:line="240" w:lineRule="auto" w:before="0" w:after="0"/>
        <w:ind w:left="100" w:firstLine="719"/>
        <w:jc w:val="both"/>
      </w:pPr>
      <w:r>
        <w:rPr>
          <w:rFonts w:ascii="Times New Roman" w:hAnsi="Times New Roman"/>
          <w:sz w:val="24"/>
        </w:rPr>
        <w:t>La conservación de cenizas es un supuesto de trazador: presupone que el material comparado representa la misma corriente y que no entra ni sale ceniza mineral. Cada razón se calculó con los promedios de la jornada antes de integrar las razones. La masa anual estimada a la entrada de A2 no es una medición de salida de A1; tampoco se exige que la razón integrada conserve exactamente las cenizas al combinarla con concentraciones integradas por separado.</w:t>
      </w:r>
    </w:p>
    <w:p>
      <w:pPr>
        <w:spacing w:line="240" w:lineRule="auto" w:before="0" w:after="0"/>
        <w:ind w:left="100" w:firstLine="719"/>
        <w:jc w:val="both"/>
      </w:pPr>
      <w:r>
        <w:rPr>
          <w:rFonts w:ascii="Times New Roman" w:hAnsi="Times New Roman"/>
          <w:sz w:val="24"/>
        </w:rPr>
        <w:t>La disminución estimada de masa húmeda no identifica por sí misma evaporación, degradación de sólidos, emisiones gaseosas ni drenaje. Se midió la húmedad de muestras de estiércol fresco y precompostado, pero no los caudales de agua añadida, evaporada o drenada ni la masa de los sólidos perdidos entre ambas fronteras. Por ello no se cerró un balance cuantitativo de agua. El agua de lavado cuantificada corresponde a la ruta de aguas verdes y no se asignó a A1 ni a A2; la ausencia de riego regular observada en A2 tampoco equivale a demostrar un flujo de agua nulo.</w:t>
      </w:r>
    </w:p>
    <w:p>
      <w:pPr>
        <w:spacing w:line="240" w:lineRule="auto" w:before="0" w:after="0"/>
        <w:ind w:left="100" w:firstLine="719"/>
        <w:jc w:val="both"/>
      </w:pPr>
      <w:r>
        <w:rPr>
          <w:rFonts w:ascii="Times New Roman" w:hAnsi="Times New Roman"/>
          <w:sz w:val="24"/>
        </w:rPr>
        <w:t>La masa húmeda inferida sirve como base de actividad del metano de manejo y del factor de amoníaco de A2 expresado por masa de residuo entrante. El N total y el nitrógeno amoniacal total de A2 proceden del balance secuencial de A1, con pérdidas de N definidas por sus mecanismos específicos. La concentración analítica del precompostado multiplicada por la masa inferida constituye solo un contraste experimental independiente.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los parámetros operativos publicados para la lechería, el supuesto conservador adoptado para estimar el estiércol depositado durante la permanencia en sala y las masas o volúmenes asociados a cada etapa.</w:t>
      </w:r>
    </w:p>
    <w:p>
      <w:pPr>
        <w:spacing w:line="240" w:lineRule="auto" w:before="0" w:after="0"/>
        <w:ind w:left="100" w:firstLine="719"/>
        <w:jc w:val="both"/>
      </w:pPr>
      <w:r>
        <w:rPr>
          <w:rFonts w:ascii="Times New Roman" w:hAnsi="Times New Roman"/>
          <w:sz w:val="24"/>
        </w:rPr>
        <w:t>Sánchez-Romero y Brenes-Gamboa (2026) citan un intervalo bibliográfico según el cual una vaca lechera puede producir diariamente estiércol equivalente a 7–10 % de su peso vivo. El presente TFG adoptó deliberadamente el límite inferior de 7 % como supuesto conservador, con el fin de evitar sobreestimar una fracción que no fue medida directamente. Por tanto, el 7 % no se atribuyó a una medición realizada por esos autores.</w:t>
      </w:r>
    </w:p>
    <w:p>
      <w:pPr>
        <w:spacing w:line="240" w:lineRule="auto" w:before="0" w:after="0"/>
        <w:ind w:left="100" w:firstLine="719"/>
        <w:jc w:val="both"/>
      </w:pPr>
      <w:r>
        <w:rPr>
          <w:rFonts w:ascii="Times New Roman" w:hAnsi="Times New Roman"/>
          <w:sz w:val="24"/>
        </w:rPr>
        <w:t>La generación teórica diaria se estimó como 396,6 × 0,07 = 27,762 kg/animal/día. Para una permanencia de 3,5 h/día, el depósito teórico fue 27,762 × (3,5/24) = 4,048625 kg/animal. Al descontar los 2,7 kg/animal recolectados, el remanente estimado fue 1,348625 kg/animal.</w:t>
      </w:r>
    </w:p>
    <w:p>
      <w:pPr>
        <w:spacing w:line="240" w:lineRule="auto" w:before="0" w:after="0"/>
        <w:ind w:left="100" w:firstLine="719"/>
        <w:jc w:val="both"/>
      </w:pPr>
      <w:r>
        <w:rPr>
          <w:rFonts w:ascii="Times New Roman" w:hAnsi="Times New Roman"/>
          <w:sz w:val="24"/>
        </w:rPr>
        <w:t>La fracción remanente se calculó como 1,348625/4,048625 = 0,333106919016, equivalente a 33,31 %. La fracción recolectada fue 66,69 %. El 33,31 % constituye una estimación derivada mediante balance y no una medición directa.</w:t>
      </w:r>
    </w:p>
    <w:p>
      <w:pPr>
        <w:spacing w:line="240" w:lineRule="auto" w:before="0" w:after="0"/>
        <w:ind w:left="100" w:firstLine="719"/>
        <w:jc w:val="both"/>
      </w:pPr>
      <w:r>
        <w:rPr>
          <w:rFonts w:ascii="Times New Roman" w:hAnsi="Times New Roman"/>
          <w:sz w:val="24"/>
        </w:rPr>
        <w:t>A partir del total recolectado publicado y de la fracción recolectada se obtuvo un total teóricamente depositado de 26 278,725181 kg/año y un remanente de 8 753,625181 kg/año. En el Escenario A, el total se dividió entre la ruta sólida y las aguas verdes; en el Escenario B, el total ingresó al sistema de purines.</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estiércol remanente derivado del balance entre la masa teóricamente depositada en sala y la masa recolectada; en B2, corresponde al total anual de estiércol teóricamente depositado e integrado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los impactos respecto a la unidad funcional del estudio: 1 kg de estiércol fresco manejado.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describen la magnitud operacional asociada al flujo común de 26 278,725181 kg/año, pero no constituyen la unidad funcional. El indicador normalizado se obtuvo al dividir cada impacto anual entre dicho flujo de referencia.</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Para representar A2: Lombricompostaje se seleccionó la categoría Composting – Passive Windrow de las Directrices del IPCC, por constituir la aproximación disponible más cercana a las condiciones operativas del sistema estudiado. El proceso se desarrolla con material sólido y no corresponde a un reactor cerrado; tampoco utiliza aireación forzada ni volteo mecánico intensivo diario. La actividad y el desplazamiento de las lombrices, sin embargo, contribuyen a la movilización y aireación no intensiva del sustrato.</w:t>
      </w:r>
    </w:p>
    <w:p>
      <w:pPr>
        <w:spacing w:line="240" w:lineRule="auto" w:before="0" w:after="0"/>
        <w:ind w:left="100" w:firstLine="719"/>
        <w:jc w:val="both"/>
      </w:pPr>
      <w:r>
        <w:rPr>
          <w:rFonts w:ascii="Times New Roman" w:hAnsi="Times New Roman"/>
          <w:sz w:val="24"/>
        </w:rPr>
        <w:t>En A2 se adoptó una fracción de pérdida de N por lixiviación igual a cero como parámetro específico del sistema, sin alterar el valor genérico de la categoría Composting – Passive Windrow. Vargas Sarmiento (2023), en un ensayo efectuado en el mismo lombricario de la UCR Sede del Atlántico, documentó infraestructura bajo techo y camas construidas completamente con piso y paredes de cemento, sin drenajes; indicó además que la ausencia de drenajes dificultaba el escurrimiento del exceso de agua aplicado durante el riego experimental destinado a mantener la húmedad objetivo.</w:t>
      </w:r>
    </w:p>
    <w:p>
      <w:pPr>
        <w:spacing w:line="240" w:lineRule="auto" w:before="0" w:after="0"/>
        <w:ind w:left="100" w:firstLine="719"/>
        <w:jc w:val="both"/>
      </w:pPr>
      <w:r>
        <w:rPr>
          <w:rFonts w:ascii="Times New Roman" w:hAnsi="Times New Roman"/>
          <w:sz w:val="24"/>
        </w:rPr>
        <w:t>De manera separada, las observaciones directas efectuadas durante las giras de campo del presente TFG confirmaron que las camas se encontraban bajo techo, sin exposición directa a la precipitación, y que la adición regular de agua no constituía una práctica operacional habitual. Con base en la exclusión de lluvia directa, la impermeabilización de las camas, la ausencia de drenaje y la ausencia observada de riego operacional regular, no se modeló una pérdida de N hacia el ambiente por lixiviación durante A2. Este supuesto representa la ausencia de una salida significativa de N por esa vía y no niega que pueda ocurrir movimiento de agua dentro del sustrato.</w:t>
      </w:r>
    </w:p>
    <w:p>
      <w:pPr>
        <w:spacing w:line="240" w:lineRule="auto" w:before="0" w:after="0"/>
        <w:ind w:left="100" w:firstLine="719"/>
        <w:jc w:val="both"/>
      </w:pPr>
      <w:r>
        <w:rPr>
          <w:rFonts w:ascii="Times New Roman" w:hAnsi="Times New Roman"/>
          <w:sz w:val="24"/>
        </w:rPr>
        <w:t>A3: Almacenamiento de aguas verdes y B1: Almacenamiento de purines se representaron como almacenamiento de estiércol líquido sin costra natural. La operación habitual se caracterizó por un vaciado de la tanqueta aproximadamente cada tres días. Esta frecuencia operativa sustenta la anualización de los consumos y no se reemplazó por el intervalo jueves–lunes empleado para preparar las muestras líquidas.</w:t>
      </w:r>
    </w:p>
    <w:p>
      <w:pPr>
        <w:spacing w:line="240" w:lineRule="auto" w:before="0" w:after="0"/>
        <w:ind w:left="100" w:firstLine="719"/>
        <w:jc w:val="both"/>
      </w:pPr>
      <w:r>
        <w:rPr>
          <w:rFonts w:ascii="Times New Roman" w:hAnsi="Times New Roman"/>
          <w:sz w:val="24"/>
        </w:rPr>
        <w:t>Para ambas etapas se utilizó un MCF de 38 % como proxy IPCC conservador para clima tropical húmedo. El valor procede de la categoría tabulada de un mes y no corresponde a una medición específica del MCF para tres días ni se transformó como 38 % × 3/30. EF3 permaneció en cero y no se representó lixiviación sistemática. La mineralización previa del 10 % del N orgánico se mantuvo como aproximación EMEP por defecto y tampoco se escaló linealmente por la residencia. El tiempo físico de operación, el intervalo de acumulación previo al muestreo y la duración tabulada del proxy son conceptos distintos.</w:t>
      </w:r>
    </w:p>
    <w:p>
      <w:pPr>
        <w:spacing w:line="240" w:lineRule="auto" w:before="0" w:after="0"/>
        <w:ind w:left="100" w:firstLine="719"/>
        <w:jc w:val="both"/>
      </w:pPr>
      <w:r>
        <w:rPr>
          <w:rFonts w:ascii="Times New Roman" w:hAnsi="Times New Roman"/>
          <w:sz w:val="24"/>
        </w:rPr>
        <w:t>A4: Aplicación de aguas verdes en campos de pastoreo recibió exactamente el N total y el TAN remanentes de A3; B2: Aplicación de purines en campo de pastoreo recibió los pools correspondientes de B1. Ambas etapas representan aplicación al suelo de estiércol líquido previamente manejado y no deposición directa por animales durante pastoreo. Las mediciones intermedias se conservaron como benchmarks experimentales, sin reinicializar el ledger.</w:t>
      </w:r>
    </w:p>
    <w:p>
      <w:pPr>
        <w:spacing w:line="240" w:lineRule="auto" w:before="0" w:after="0"/>
        <w:ind w:left="100" w:firstLine="719"/>
        <w:jc w:val="both"/>
      </w:pPr>
      <w:r>
        <w:rPr>
          <w:rFonts w:ascii="Times New Roman" w:hAnsi="Times New Roman"/>
          <w:sz w:val="24"/>
        </w:rPr>
        <w:t>Para la trazabilidad de la aplicación, el N retornado según EMEP se definió como el N aplicado menos el NH₃-N volatilizado durante la aplicación. Esta variable no descuenta NOx-N, N₂O-N directo ni lixiviación o escorrentía. De forma separada, el ledger calculó el N residual del suelo después de descontar NH₃-N, NOx-N, N₂O-N directo y N lixiviado o escurrido; esta última es una variable contable de cierre y no una definición oficial EMEP o IPCC.</w:t>
      </w:r>
    </w:p>
    <w:p>
      <w:pPr>
        <w:spacing w:line="240" w:lineRule="auto" w:before="0" w:after="0"/>
        <w:ind w:left="100" w:firstLine="719"/>
        <w:jc w:val="both"/>
      </w:pPr>
      <w:r>
        <w:rPr>
          <w:rFonts w:ascii="Times New Roman" w:hAnsi="Times New Roman"/>
          <w:sz w:val="24"/>
        </w:rPr>
        <w:t>A2: Lombricompostaje utilizó una arquitectura híbrida explícita y trazable. La categoría IPCC Composting – Passive Windrow se adoptó como proxy metodológico para estimar CH₄ y N₂O directo. La fracción de lixiviación se estableció en cero como parámetro específico de las condiciones operativas modeladas, sin afirmar imposibilidad física universal. La fracción IPCC de volatilización se conservó únicamente como benchmark de orden de magnitud y no generó una emisión adicional. Esta arquitectura constituye una decisión metodológica vigente y no la aplicación íntegra de una sola guía.</w:t>
      </w:r>
    </w:p>
    <w:p>
      <w:pPr>
        <w:spacing w:line="240" w:lineRule="auto" w:before="0" w:after="0"/>
        <w:ind w:left="100" w:firstLine="719"/>
        <w:jc w:val="both"/>
      </w:pPr>
      <w:r>
        <w:rPr>
          <w:rFonts w:ascii="Times New Roman" w:hAnsi="Times New Roman"/>
          <w:sz w:val="24"/>
        </w:rPr>
        <w:t>La especiación del N de A2 combinó fuentes metodológicas. El NH₃ se estimó con el factor de 12,8 g NH₃ por Mg de residuo orgánico de entrada de Komakech et al. (2016), aplicado una sola vez a la masa húmeda inferida que ingresa a A2. El artículo obtuvo ese factor para reactores pequeños en Kampala, con residuo predominantemente ganadero, a partir de concentraciones gaseosas medidas y un flujo de aire estimado mediante el índice respirométrico dinámico; su transferencia al sistema de Turrialba se clasificó como proxy experimental aprobado y extrapolación con limitaciones. El denominador se interpretó como masa húmeda de entrada porque el estudio formuló su unidad funcional y balance por tonelada de residuo o estiércol húmedo, aunque la expresión puntual del factor utiliza solamente el término residuo biológico. NO-N y N₂-N conservaron factores EMEP/EEA de almacenamiento sólido como proxies metodológicos aprobados provisionalmente ante la ausencia de una categoría específica de lombricompostaje. El factor de N₂-N de 0,300 kg/kg TAN se mantuvo como fuente importante de incertidumbre de representatividad, sin tratarlo como error ni sustituirlo por una relación IPCC N₂:N₂O.</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mediante un ledger secuencial en kg N/año. El N total constituye el pool físico principal y el nitrógeno amoniacal total (TAN) un subpool, sujeto en todo momento a 0 ≤ TAN ≤ N total. En las fronteras de estiércol fresco se utilizó TAN/N = 0,60 para vaca lechera (EMEP/EEA, 2023).</w:t>
      </w:r>
    </w:p>
    <w:p>
      <w:pPr>
        <w:spacing w:line="240" w:lineRule="auto" w:before="0" w:after="0"/>
        <w:ind w:left="100" w:firstLine="719"/>
        <w:jc w:val="both"/>
      </w:pPr>
      <w:r>
        <w:rPr>
          <w:rFonts w:ascii="Times New Roman" w:hAnsi="Times New Roman"/>
          <w:sz w:val="24"/>
        </w:rPr>
        <w:t>Las pérdidas de NH₃-N, NOx-N y N₂-N definidas por EMEP redujeron TAN y N total. El N₂O-N directo y las pérdidas hídricas definidas por IPCC redujeron N total una sola vez, sin reducir automáticamente TAN. El N₂ se mantuvo como término físico de cierre y no se caracterizó en la evaluación de impactos.</w:t>
      </w:r>
    </w:p>
    <w:p>
      <w:pPr>
        <w:spacing w:line="240" w:lineRule="auto" w:before="0" w:after="0"/>
        <w:ind w:left="100" w:firstLine="719"/>
        <w:jc w:val="both"/>
      </w:pPr>
      <w:r>
        <w:rPr>
          <w:rFonts w:ascii="Times New Roman" w:hAnsi="Times New Roman"/>
          <w:sz w:val="24"/>
        </w:rPr>
        <w:t>En A1 se aplicaron los factores EMEP de almacenamiento sólido sobre TAN. El drenaje de A1 redujo el N total y llegó primero al suelo; solamente la fracción posteriormente lixiviada o escurrida desde el suelo originó NO₃⁻. En A2, el NH₃ se calculó con el proxy experimental de 12,8 g NH₃ por Mg de residuo orgánico húmedo de entrada (Komakech et al., 2016), mientras NO y N₂ utilizaron los factores EMEP sólidos como aproximación ante la ausencia de una categoría explícita de lombricompostaje.</w:t>
      </w:r>
    </w:p>
    <w:p>
      <w:pPr>
        <w:spacing w:line="240" w:lineRule="auto" w:before="0" w:after="0"/>
        <w:ind w:left="100" w:firstLine="719"/>
        <w:jc w:val="both"/>
      </w:pPr>
      <w:r>
        <w:rPr>
          <w:rFonts w:ascii="Times New Roman" w:hAnsi="Times New Roman"/>
          <w:sz w:val="24"/>
        </w:rPr>
        <w:t>El uso consecutivo de factores en A1 y A2 no duplicó el mismo N: A2 recibió el N total y el pool residual de TAN a la salida de A1. Las duraciones específicas de ambas etapas introducen incertidumbre de representatividad temporal y de transferencia de los proxies, pero no justifican un escalado lineal ni demuestran doble conteo.</w:t>
      </w:r>
    </w:p>
    <w:p>
      <w:pPr>
        <w:spacing w:line="240" w:lineRule="auto" w:before="0" w:after="0"/>
        <w:ind w:left="100" w:firstLine="719"/>
        <w:jc w:val="both"/>
      </w:pPr>
      <w:r>
        <w:rPr>
          <w:rFonts w:ascii="Times New Roman" w:hAnsi="Times New Roman"/>
          <w:sz w:val="24"/>
        </w:rPr>
        <w:t>En A3 y B1, la mineralización EMEP aumentó el TAN disponible antes de calcular NH₃-N, NO-N y N₂-N. En A4 y B2, NH₃-N se calculó como 0,55 kg NH₃-N por kg TAN aplicado; el NOx se reportó como NO₂ con 0,04 kg NO₂ por kg N aplicado y se convirtió a NOx-N mediante 14/46 para el balance.</w:t>
      </w:r>
    </w:p>
    <w:p>
      <w:pPr>
        <w:spacing w:line="240" w:lineRule="auto" w:before="0" w:after="0"/>
        <w:ind w:left="100" w:firstLine="719"/>
        <w:jc w:val="both"/>
      </w:pPr>
      <w:r>
        <w:rPr>
          <w:rFonts w:ascii="Times New Roman" w:hAnsi="Times New Roman"/>
          <w:sz w:val="24"/>
        </w:rPr>
        <w:t>El N₂O indirecto por volatilización se calculó exclusivamente con las especies explícitas NH₃-N y NOx-N. FracGasMS se conservó solo como benchmark de orden de magnitud y no generó una segunda masa física. El nitrato se originó exclusivamente en rutas hídricas justificadas y el N₂O indirecto asociado no se descontó de la masa de NO₃⁻ inventariada.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ind w:left="0" w:firstLine="0"/>
        <w:jc w:val="center"/>
      </w:pPr>
      <w:r>
        <w:rPr>
          <w:rFonts w:ascii="Cambria Math" w:hAnsi="Cambria Math"/>
          <w:sz w:val="24"/>
        </w:rPr>
        <w:t>TAN_{fresco} = 0{,}60 \times N_{total,fresco}</w:t>
      </w:r>
    </w:p>
    <w:p>
      <w:pPr>
        <w:spacing w:line="240" w:lineRule="auto" w:before="0" w:after="0"/>
        <w:ind w:left="100" w:firstLine="719"/>
        <w:jc w:val="both"/>
      </w:pPr>
      <w:r>
        <w:rPr>
          <w:rFonts w:ascii="Times New Roman" w:hAnsi="Times New Roman"/>
          <w:sz w:val="24"/>
        </w:rPr>
        <w:t>Donde: TAN fresco = nitrógeno amoniacal total en la frontera fresca, kg N/año; N total,fresco = nitrógeno total del estiércol fresco, kg N/año.</w:t>
      </w:r>
    </w:p>
    <w:p>
      <w:pPr>
        <w:ind w:left="0" w:firstLine="0"/>
        <w:jc w:val="center"/>
      </w:pPr>
      <w:r>
        <w:rPr>
          <w:rFonts w:ascii="Cambria Math" w:hAnsi="Cambria Math"/>
          <w:sz w:val="24"/>
        </w:rPr>
        <w:t>N_{precursor,vol} = N_{NH_3} + N_{NO_x}</w:t>
      </w:r>
    </w:p>
    <w:p>
      <w:pPr>
        <w:ind w:left="0" w:firstLine="0"/>
        <w:jc w:val="center"/>
      </w:pPr>
      <w:r>
        <w:rPr>
          <w:rFonts w:ascii="Cambria Math" w:hAnsi="Cambria Math"/>
          <w:sz w:val="24"/>
        </w:rPr>
        <w:t>N_{N_2O,ind,vol} = N_{precursor,vol} \times EF_4</w:t>
      </w:r>
    </w:p>
    <w:p>
      <w:pPr>
        <w:ind w:left="0" w:firstLine="0"/>
        <w:jc w:val="center"/>
      </w:pPr>
      <w:r>
        <w:rPr>
          <w:rFonts w:ascii="Cambria Math" w:hAnsi="Cambria Math"/>
          <w:sz w:val="24"/>
        </w:rPr>
        <w:t>N_{lix,esc} = N_{aplicado} \times FracLEACH</w:t>
      </w:r>
    </w:p>
    <w:p>
      <w:pPr>
        <w:ind w:left="0" w:firstLine="0"/>
        <w:jc w:val="center"/>
      </w:pPr>
      <w:r>
        <w:rPr>
          <w:rFonts w:ascii="Cambria Math" w:hAnsi="Cambria Math"/>
          <w:sz w:val="24"/>
        </w:rPr>
        <w:t>m_{NO_3^-} = N_{lix,esc} \times \frac{62}{14}</w:t>
      </w:r>
    </w:p>
    <w:p>
      <w:pPr>
        <w:ind w:left="0" w:firstLine="0"/>
        <w:jc w:val="center"/>
      </w:pPr>
      <w:r>
        <w:rPr>
          <w:rFonts w:ascii="Cambria Math" w:hAnsi="Cambria Math"/>
          <w:sz w:val="24"/>
        </w:rPr>
        <w:t>N_{N_2O,ind,lix} = N_{lix,esc} \times EF_5</w:t>
      </w:r>
    </w:p>
    <w:p>
      <w:pPr>
        <w:ind w:left="0" w:firstLine="0"/>
        <w:jc w:val="center"/>
      </w:pPr>
      <w:r>
        <w:rPr>
          <w:rFonts w:ascii="Cambria Math" w:hAnsi="Cambria Math"/>
          <w:sz w:val="24"/>
        </w:rPr>
        <w:t>m_{NH_3} = N_{NH_3} \times \frac{17}{14}</w:t>
      </w:r>
    </w:p>
    <w:p>
      <w:pPr>
        <w:ind w:left="0" w:firstLine="0"/>
        <w:jc w:val="center"/>
      </w:pPr>
      <w:r>
        <w:rPr>
          <w:rFonts w:ascii="Cambria Math" w:hAnsi="Cambria Math"/>
          <w:sz w:val="24"/>
        </w:rPr>
        <w:t>N_{NO_x} = m_{NO_2} \times \frac{14}{46}</w:t>
      </w:r>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aplicó Environmental Footprint 3.1 a las emisiones directas. El cambio climático se expresó en kg CO₂-eq, la eutrofización terrestre en mol N-eq y la eutrofización marina en kg N-eq; estas categorías no se sumaron entre sí.</w:t>
      </w:r>
    </w:p>
    <w:p>
      <w:pPr>
        <w:spacing w:line="240" w:lineRule="auto" w:before="0" w:after="0"/>
        <w:ind w:left="100" w:firstLine="719"/>
        <w:jc w:val="both"/>
      </w:pPr>
      <w:r>
        <w:rPr>
          <w:rFonts w:ascii="Times New Roman" w:hAnsi="Times New Roman"/>
          <w:sz w:val="24"/>
        </w:rPr>
        <w:t>El CH₄ del manejo se representó como metano biogénico y el inventario de N₂O se confirmó en kg N₂O, no N₂O-N. NH₃ y NOx como NO₂ se asignaron al aire; NO₃⁻ se asignó a agua dulce como receptor continental final. Los factores proceden de la tabla oficial EF 3.1 de la Comisión Europea y el JRC.</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spacing w:line="240" w:lineRule="auto" w:before="0" w:after="0"/>
        <w:ind w:left="100" w:firstLine="719"/>
        <w:jc w:val="both"/>
      </w:pPr>
      <w:r>
        <w:rPr>
          <w:rFonts w:ascii="Times New Roman" w:hAnsi="Times New Roman"/>
          <w:sz w:val="24"/>
        </w:rPr>
        <w:t>La bomba Aermotor de 1,5 kW mecánicos se modeló con eficiencia media supuesta de 80 %, 7 min por lavado y dos lavados cada tres días, resultando 53,23 kWh/año en A3 y B1. Para el tractor Massey Ferguson 6711 que acciona el cañón VAIA, operado en 540E, los operarios comunicaron una duración aproximada de 30 min por vaciado, no medida instrumentalmente; el consumo de 3 L diésel/h fue un supuesto del estudio. El resultado fue 182,50 L/año en A4 y B2. La tanqueta almacena y el cañón aplica; los escenarios son alternativos y estos consumos no se dividieron entre ellos.</w:t>
      </w:r>
    </w:p>
    <w:p>
      <w:pPr>
        <w:spacing w:line="240" w:lineRule="auto" w:before="0" w:after="0"/>
        <w:ind w:left="100" w:firstLine="719"/>
        <w:jc w:val="both"/>
      </w:pPr>
      <w:r>
        <w:rPr>
          <w:rFonts w:ascii="Times New Roman" w:hAnsi="Times New Roman"/>
          <w:sz w:val="24"/>
        </w:rPr>
        <w:t>El patrón operativo observado el 25 de agosto de 2026 se anualizó a 365 días; no constituye una medición instrumental anual continua. Para electricidad se utilizó el factor IMN de consumo de 2025, 0,0415 kg CO₂-eq/kWh, como proxy temporal del último año disponible; no se utilizó el factor de generación de 2024. La electricidad permanece agregada en CO₂-eq, sin desagregación física ni armonización artificial de potenciales de calentamiento global.</w:t>
      </w:r>
    </w:p>
    <w:p>
      <w:pPr>
        <w:spacing w:line="240" w:lineRule="auto" w:before="0" w:after="0"/>
        <w:ind w:left="100" w:firstLine="719"/>
        <w:jc w:val="both"/>
      </w:pPr>
      <w:r>
        <w:rPr>
          <w:rFonts w:ascii="Times New Roman" w:hAnsi="Times New Roman"/>
          <w:sz w:val="24"/>
        </w:rPr>
        <w:t>El diésel empleó 2,613 kg CO₂/L, 0,382 g CH₄/L y 0,02442 g N₂O/L del IMN. Para CH₄ y N₂O se adoptó Residencial y agrícola/Diésel como proxy sectorial de la operación agrícola con toma de fuerza 540E, no como categoría literal de tractor. Se descartó transporte terrestre sin catalizador porque el transporte vial está fuera de la frontera y no se acreditó esa condición del motor. Las masas se convirtieron a kg y se caracterizaron con EF 3.1: CO₂ fósil = 1, CH₄ fósil = 29,8 y N₂O = 273; el CH₄ biogénico del manejo conserva 27. No se usaron los GWP IMN 1/28/265 para el diésel.</w:t>
      </w:r>
    </w:p>
    <w:p>
      <w:pPr>
        <w:spacing w:line="240" w:lineRule="auto" w:before="0" w:after="0"/>
        <w:ind w:left="100" w:firstLine="719"/>
        <w:jc w:val="both"/>
      </w:pPr>
      <w:r>
        <w:rPr>
          <w:rFonts w:ascii="Times New Roman" w:hAnsi="Times New Roman"/>
          <w:sz w:val="24"/>
        </w:rPr>
        <w:t>El cambio climático total suma manejo del estiércol, electricidad y combustión de diésel, con factores IMN para recursos energéticos y caracterización EF 3.1 de emisiones elementales. La electricidad atribuye emisiones de generación externa al consumo; no se modelan cadenas completas de producción, refinación, infraestructura y suministro mediante ecoinvent. SimaPro es únicamente una herramienta opcional de verificación independiente de las emisiones elementales EF 3.1. El cañón no recibe energía adicional ni el agua pluvial tratamiento municipal.</w:t>
      </w:r>
    </w:p>
    <w:p>
      <w:pPr>
        <w:spacing w:line="240" w:lineRule="auto" w:before="0" w:after="0"/>
        <w:ind w:left="100" w:firstLine="719"/>
        <w:jc w:val="both"/>
      </w:pPr>
      <w:r>
        <w:rPr>
          <w:rFonts w:ascii="Times New Roman" w:hAnsi="Times New Roman"/>
          <w:sz w:val="24"/>
        </w:rPr>
        <w:t>La fuente IMN presenta 16.ª edición, 2026 en portada y 15a edición / 2025 en páginas interiores; se conserva esta discrepancia editorial (IMN, pp. 3–4).</w:t>
      </w:r>
    </w:p>
    <w:p>
      <w:pPr>
        <w:ind w:left="0" w:firstLine="0"/>
        <w:jc w:val="center"/>
      </w:pPr>
      <w:r>
        <w:rPr>
          <w:rFonts w:ascii="Cambria Math" w:hAnsi="Cambria Math"/>
          <w:sz w:val="24"/>
        </w:rPr>
        <w:t>CC_{total}=CC_{manejo}+CC_{electricidad}+CC_{diesel}</w:t>
      </w:r>
    </w:p>
    <w:p>
      <w:pPr>
        <w:ind w:left="0" w:firstLine="0"/>
        <w:jc w:val="center"/>
      </w:pPr>
      <w:r>
        <w:rPr>
          <w:rFonts w:ascii="Cambria Math" w:hAnsi="Cambria Math"/>
          <w:sz w:val="24"/>
        </w:rPr>
        <w:t>CC_{electricidad}=E_{kWh} \times FE_{IMN,consumo,2025}</w:t>
      </w:r>
    </w:p>
    <w:p>
      <w:pPr>
        <w:ind w:left="0" w:firstLine="0"/>
        <w:jc w:val="center"/>
      </w:pPr>
      <w:r>
        <w:rPr>
          <w:rFonts w:ascii="Cambria Math" w:hAnsi="Cambria Math"/>
          <w:sz w:val="24"/>
        </w:rPr>
        <w:t>CC_{diesel}=m_{CO_2,fosil} \times 1 + m_{CH_4,fosil} \times 29{,}8 + m_{N_2O,combustion} \times 273</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Factores de emisión IMN y caracterización EF 3.1.</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bl>
    <w:p>
      <w:pPr>
        <w:pStyle w:val="Heading2"/>
      </w:pPr>
      <w:r>
        <w:rPr>
          <w:rFonts w:ascii="Times New Roman" w:hAnsi="Times New Roman"/>
          <w:color w:val="000000"/>
        </w:rPr>
        <w:t>20. Contraste bibliográfico experimental de A2</w:t>
      </w:r>
    </w:p>
    <w:p>
      <w:pPr>
        <w:spacing w:line="240" w:lineRule="auto" w:before="0" w:after="0"/>
        <w:ind w:left="100" w:firstLine="719"/>
        <w:jc w:val="both"/>
      </w:pPr>
      <w:r>
        <w:rPr>
          <w:rFonts w:ascii="Times New Roman" w:hAnsi="Times New Roman"/>
          <w:sz w:val="24"/>
        </w:rPr>
        <w:t>Como apoyo a la discusión, las estimaciones IPCC de A2: Lombricompostaje se compararon con datos experimentales de Jjagwe et al. (2019; DOI: 10.3390/su11195173). Esta comparación se trató exclusivamente como benchmark bibliográfico y no como una segunda metodología de cálculo, un modelo Factor medido ni un inventario oficial alternativo.</w:t>
      </w:r>
    </w:p>
    <w:p>
      <w:pPr>
        <w:spacing w:line="240" w:lineRule="auto" w:before="0" w:after="0"/>
        <w:ind w:left="100" w:firstLine="719"/>
        <w:jc w:val="both"/>
      </w:pPr>
      <w:r>
        <w:rPr>
          <w:rFonts w:ascii="Times New Roman" w:hAnsi="Times New Roman"/>
          <w:sz w:val="24"/>
        </w:rPr>
        <w:t>La frontera material común fue la materia seca del estiércol precompostado al ingreso de A2, calculada como la masa húmeda anual de A2 multiplicada por su fracción gravimétrica de materia seca. Para CH₄ se utilizó exclusivamente la emisión oficial de A2; para N₂O se utilizó únicamente la emisión directa de manejo. Las vías indirectas IPCC se conservaron en el inventario oficial, pero se excluyeron del contraste directo con las mediciones del lecho.</w:t>
      </w:r>
    </w:p>
    <w:p>
      <w:pPr>
        <w:spacing w:line="240" w:lineRule="auto" w:before="0" w:after="0"/>
        <w:ind w:left="100" w:firstLine="719"/>
        <w:jc w:val="both"/>
      </w:pPr>
      <w:r>
        <w:rPr>
          <w:rFonts w:ascii="Times New Roman" w:hAnsi="Times New Roman"/>
          <w:sz w:val="24"/>
        </w:rPr>
        <w:t>La referencia experimental adoptada fue 7,6 g CH₄/kg de materia seca y 39,43 mg N₂O/kg de materia seca. El artículo contiene una inconsistencia interna para N₂O: el resumen presenta 3,943 × 10⁻⁵ g/kg, mientras los resultados, la Figura 3 y el potencial de calentamiento global publicado respaldan el orden de decenas de miligramos. La selección de 39,43 mg/kg constituye una resolución explícita de esa discrepancia.</w:t>
      </w:r>
    </w:p>
    <w:p>
      <w:pPr>
        <w:spacing w:line="240" w:lineRule="auto" w:before="0" w:after="0"/>
        <w:ind w:left="100" w:firstLine="719"/>
        <w:jc w:val="both"/>
      </w:pPr>
      <w:r>
        <w:rPr>
          <w:rFonts w:ascii="Times New Roman" w:hAnsi="Times New Roman"/>
          <w:sz w:val="24"/>
        </w:rPr>
        <w:t>El indicador complementario de N₂O-N directo por N inicial convirtió N₂O a N₂O-N mediante 28/44. Para la referencia experimental se empleó un TKN inicial de 1,44 % de la materia seca. El contraste climático armonizado incluyó exclusivamente CH₄ y N₂O directo y aplicó a ambos lados los factores de caracterización vigentes del TFG; no incorporó CO₂ experimental ni N₂O indirecto IPCC.</w:t>
      </w:r>
    </w:p>
    <w:p>
      <w:pPr>
        <w:spacing w:line="240" w:lineRule="auto" w:before="0" w:after="0"/>
        <w:ind w:left="100" w:firstLine="719"/>
        <w:jc w:val="both"/>
      </w:pPr>
      <w:r>
        <w:rPr>
          <w:rFonts w:ascii="Times New Roman" w:hAnsi="Times New Roman"/>
          <w:sz w:val="24"/>
        </w:rPr>
        <w:t>No se construyó eutrofización experimental porque el NH₃ no fue detectado, el N atmosférico no quedó completamente especiado y la representación del N potencialmente eutrofizante del TFG no equivale a una especiación experimental. La pérdida atmosférica de N de 18,18 % se utilizó solo como referencia conceptual, sin equipararla numéricamente con la fracción IPCC encaminada a volatilización.</w:t>
      </w:r>
    </w:p>
    <w:p>
      <w:pPr>
        <w:spacing w:line="240" w:lineRule="auto" w:before="0" w:after="0"/>
        <w:ind w:left="100" w:firstLine="719"/>
        <w:jc w:val="both"/>
      </w:pPr>
      <w:r>
        <w:rPr>
          <w:rFonts w:ascii="Times New Roman" w:hAnsi="Times New Roman"/>
          <w:sz w:val="24"/>
        </w:rPr>
        <w:t>La comparación armoniza la base material, pero no supone que el sistema experimental de Jjagwe et al. y la operación real modelada en Turrialba sean físicamente idénticos; sus diferencias de diseño y operación se consideran en la discusión de resultados.</w:t>
      </w:r>
    </w:p>
    <w:p>
      <w:pPr>
        <w:ind w:left="0" w:firstLine="0"/>
        <w:jc w:val="center"/>
      </w:pPr>
      <w:r>
        <w:rPr>
          <w:rFonts w:ascii="Cambria Math" w:hAnsi="Cambria Math"/>
          <w:sz w:val="24"/>
        </w:rPr>
        <w:t>m_{\mathrm{MS,A2}} = m_{\mathrm{húmeda,A2}} \times f_{\mathrm{MS,A2}}</w:t>
      </w:r>
    </w:p>
    <w:p>
      <w:pPr>
        <w:ind w:left="0" w:firstLine="0"/>
        <w:jc w:val="center"/>
      </w:pPr>
      <w:r>
        <w:rPr>
          <w:rFonts w:ascii="Cambria Math" w:hAnsi="Cambria Math"/>
          <w:sz w:val="24"/>
        </w:rPr>
        <w:t>I_{\mathrm{CH_4}} = \frac{m_{\mathrm{CH_4,A2}} \times 10^3}{m_{\mathrm{MS,A2}}}</w:t>
      </w:r>
    </w:p>
    <w:p>
      <w:pPr>
        <w:spacing w:line="240" w:lineRule="auto" w:before="0" w:after="0"/>
        <w:ind w:left="100" w:firstLine="719"/>
        <w:jc w:val="both"/>
      </w:pPr>
      <w:r>
        <w:rPr>
          <w:rFonts w:ascii="Times New Roman" w:hAnsi="Times New Roman"/>
          <w:sz w:val="24"/>
        </w:rPr>
        <w:t>Donde: I CH₄ = intensidad de metano, g CH₄/kg de materia seca de entrada.</w:t>
      </w:r>
    </w:p>
    <w:p>
      <w:pPr>
        <w:ind w:left="0" w:firstLine="0"/>
        <w:jc w:val="center"/>
      </w:pPr>
      <w:r>
        <w:rPr>
          <w:rFonts w:ascii="Cambria Math" w:hAnsi="Cambria Math"/>
          <w:sz w:val="24"/>
        </w:rPr>
        <w:t>I_{\mathrm{N_2O,directo}} = \frac{m_{\mathrm{N_2O,directo,A2}} \times 10^6}{m_{\mathrm{MS,A2}}}</w:t>
      </w:r>
    </w:p>
    <w:p>
      <w:pPr>
        <w:spacing w:line="240" w:lineRule="auto" w:before="0" w:after="0"/>
        <w:ind w:left="100" w:firstLine="719"/>
        <w:jc w:val="both"/>
      </w:pPr>
      <w:r>
        <w:rPr>
          <w:rFonts w:ascii="Times New Roman" w:hAnsi="Times New Roman"/>
          <w:sz w:val="24"/>
        </w:rPr>
        <w:t>Donde: I N₂O,directo = intensidad de óxido nitroso directo, mg N₂O/kg de materia seca de entrada.</w:t>
      </w:r>
    </w:p>
    <w:p>
      <w:pPr>
        <w:ind w:left="0" w:firstLine="0"/>
        <w:jc w:val="center"/>
      </w:pPr>
      <w:r>
        <w:rPr>
          <w:rFonts w:ascii="Cambria Math" w:hAnsi="Cambria Math"/>
          <w:sz w:val="24"/>
        </w:rPr>
        <w:t>F_{\mathrm{N_2O-N/N}} = \frac{m_{\mathrm{N_2O}} \times (28/44)}{m_{\mathrm{N,inicial}}}</w:t>
      </w:r>
    </w:p>
    <w:p>
      <w:pPr>
        <w:pStyle w:val="Heading2"/>
      </w:pPr>
      <w:r>
        <w:rPr>
          <w:rFonts w:ascii="Times New Roman" w:hAnsi="Times New Roman"/>
          <w:color w:val="000000"/>
        </w:rPr>
        <w:t>21.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adopción conservadora de 7 % del peso vivo/día para estimar el depósito teórico durante la permanencia en sala,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Para el inventario de N reactivo se emplearon especies explícitas y rutas físicas diferenciadas. No se aplicó una distribución artificial por partes iguales entre NH₃ y NO₃⁻.</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22. Limitaciones metodológicas</w:t>
      </w:r>
    </w:p>
    <w:p>
      <w:pPr>
        <w:spacing w:line="240" w:lineRule="auto" w:before="0" w:after="0"/>
        <w:ind w:left="100" w:firstLine="719"/>
        <w:jc w:val="both"/>
      </w:pPr>
      <w:r>
        <w:rPr>
          <w:rFonts w:ascii="Times New Roman" w:hAnsi="Times New Roman"/>
          <w:sz w:val="24"/>
        </w:rPr>
        <w:t>La estimación depende de la representatividad temporal de las jornadas y de las muestras de laboratorio. El intervalo de acumulación previo al muestreo líquido describe la condición concreta de las muestras y no se interpreta como residencia canónica.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2"/>
      </w:pPr>
      <w:r>
        <w:rPr>
          <w:rFonts w:ascii="Times New Roman" w:hAnsi="Times New Roman"/>
          <w:color w:val="000000"/>
        </w:rPr>
        <w:t>23. Referencias metodológicas incorporadas</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15a edición / 2025. San José, Costa Rica. Secciones de energía, pp. 3–4.</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Estiércol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European Environment Agency. (2023). EMEP/EEA air pollutant Emisión estimada inventory guidebook 2023: Chapter 3.B, Estiércol management, y Chapter 3.D, Crop production and agricultural soils. Publications Office of the European Union.</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Chapters 10–11. IPCC.</w:t>
      </w:r>
    </w:p>
    <w:p>
      <w:pPr>
        <w:spacing w:line="240" w:lineRule="auto" w:before="0" w:after="0"/>
        <w:ind w:left="100" w:firstLine="719"/>
        <w:jc w:val="both"/>
      </w:pPr>
      <w:r>
        <w:rPr>
          <w:rFonts w:ascii="Times New Roman" w:hAnsi="Times New Roman"/>
          <w:sz w:val="24"/>
        </w:rPr>
        <w:t>Møller, H. B., Sommer, S. G., &amp; Ahring, B. K. (2004). Methane productivity of Estiércol, straw and solid fractions of Estiércol. Biomass and Bioenergy, 26, 485–495.</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Emisiones estimadas from Estiércol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fracción másica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usada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mol N-eq/año o kg N-eq/año</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